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621030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22" w:lineRule="exact"/>
        <w:rPr>
          <w:sz w:val="24"/>
          <w:szCs w:val="24"/>
          <w:color w:val="auto"/>
        </w:rPr>
      </w:pPr>
    </w:p>
    <w:p>
      <w:pPr>
        <w:ind w:left="4260" w:right="3840" w:hanging="4241"/>
        <w:spacing w:after="0" w:line="355" w:lineRule="auto"/>
        <w:tabs>
          <w:tab w:leader="none" w:pos="521"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15" w:lineRule="exact"/>
        <w:rPr>
          <w:sz w:val="24"/>
          <w:szCs w:val="24"/>
          <w:color w:val="auto"/>
        </w:rPr>
      </w:pPr>
    </w:p>
    <w:p>
      <w:pPr>
        <w:ind w:left="4580" w:right="3560" w:hanging="4561"/>
        <w:spacing w:after="0" w:line="398" w:lineRule="auto"/>
        <w:tabs>
          <w:tab w:leader="none" w:pos="527"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Commission file number 001-11625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2812415</wp:posOffset>
            </wp:positionH>
            <wp:positionV relativeFrom="paragraph">
              <wp:posOffset>-26035</wp:posOffset>
            </wp:positionV>
            <wp:extent cx="1543050" cy="390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390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Pentair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1"/>
          <w:szCs w:val="11"/>
          <w:i w:val="1"/>
          <w:iCs w:val="1"/>
          <w:color w:val="auto"/>
        </w:rPr>
        <w:t>(Exact name of Registrant as specified in its charter)</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jc w:val="center"/>
              <w:ind w:left="1269"/>
              <w:spacing w:after="0"/>
              <w:rPr>
                <w:sz w:val="20"/>
                <w:szCs w:val="20"/>
                <w:color w:val="auto"/>
              </w:rPr>
            </w:pPr>
            <w:r>
              <w:rPr>
                <w:rFonts w:ascii="Arial" w:cs="Arial" w:eastAsia="Arial" w:hAnsi="Arial"/>
                <w:sz w:val="14"/>
                <w:szCs w:val="14"/>
                <w:b w:val="1"/>
                <w:bCs w:val="1"/>
                <w:color w:val="auto"/>
              </w:rPr>
              <w:t>Ireland</w:t>
            </w:r>
          </w:p>
        </w:tc>
        <w:tc>
          <w:tcPr>
            <w:tcW w:w="136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tcPr>
          <w:p>
            <w:pPr>
              <w:jc w:val="center"/>
              <w:ind w:right="1789"/>
              <w:spacing w:after="0"/>
              <w:rPr>
                <w:sz w:val="20"/>
                <w:szCs w:val="20"/>
                <w:color w:val="auto"/>
              </w:rPr>
            </w:pPr>
            <w:r>
              <w:rPr>
                <w:rFonts w:ascii="Arial" w:cs="Arial" w:eastAsia="Arial" w:hAnsi="Arial"/>
                <w:sz w:val="14"/>
                <w:szCs w:val="14"/>
                <w:b w:val="1"/>
                <w:bCs w:val="1"/>
                <w:color w:val="auto"/>
                <w:w w:val="90"/>
              </w:rPr>
              <w:t>98-1141328</w:t>
            </w:r>
          </w:p>
        </w:tc>
        <w:tc>
          <w:tcPr>
            <w:tcW w:w="20" w:type="dxa"/>
            <w:vAlign w:val="bottom"/>
          </w:tcPr>
          <w:p>
            <w:pPr>
              <w:spacing w:after="0"/>
              <w:rPr>
                <w:sz w:val="16"/>
                <w:szCs w:val="16"/>
                <w:color w:val="auto"/>
              </w:rPr>
            </w:pPr>
          </w:p>
        </w:tc>
      </w:tr>
      <w:tr>
        <w:trPr>
          <w:trHeight w:val="129"/>
        </w:trPr>
        <w:tc>
          <w:tcPr>
            <w:tcW w:w="20" w:type="dxa"/>
            <w:vAlign w:val="bottom"/>
          </w:tcPr>
          <w:p>
            <w:pPr>
              <w:spacing w:after="0"/>
              <w:rPr>
                <w:sz w:val="11"/>
                <w:szCs w:val="11"/>
                <w:color w:val="auto"/>
              </w:rPr>
            </w:pPr>
          </w:p>
        </w:tc>
        <w:tc>
          <w:tcPr>
            <w:tcW w:w="4200" w:type="dxa"/>
            <w:vAlign w:val="bottom"/>
          </w:tcPr>
          <w:p>
            <w:pPr>
              <w:jc w:val="center"/>
              <w:ind w:left="1269"/>
              <w:spacing w:after="0" w:line="129" w:lineRule="exact"/>
              <w:rPr>
                <w:sz w:val="20"/>
                <w:szCs w:val="20"/>
                <w:color w:val="auto"/>
              </w:rPr>
            </w:pPr>
            <w:r>
              <w:rPr>
                <w:rFonts w:ascii="Arial" w:cs="Arial" w:eastAsia="Arial" w:hAnsi="Arial"/>
                <w:sz w:val="14"/>
                <w:szCs w:val="14"/>
                <w:b w:val="1"/>
                <w:bCs w:val="1"/>
                <w:i w:val="1"/>
                <w:iCs w:val="1"/>
                <w:color w:val="auto"/>
                <w:w w:val="88"/>
              </w:rPr>
              <w:t>(State or other jurisdiction of</w:t>
            </w:r>
          </w:p>
        </w:tc>
        <w:tc>
          <w:tcPr>
            <w:tcW w:w="1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500" w:type="dxa"/>
            <w:vAlign w:val="bottom"/>
          </w:tcPr>
          <w:p>
            <w:pPr>
              <w:jc w:val="center"/>
              <w:ind w:right="1769"/>
              <w:spacing w:after="0" w:line="129" w:lineRule="exact"/>
              <w:rPr>
                <w:sz w:val="20"/>
                <w:szCs w:val="20"/>
                <w:color w:val="auto"/>
              </w:rPr>
            </w:pPr>
            <w:r>
              <w:rPr>
                <w:rFonts w:ascii="Arial" w:cs="Arial" w:eastAsia="Arial" w:hAnsi="Arial"/>
                <w:sz w:val="14"/>
                <w:szCs w:val="14"/>
                <w:b w:val="1"/>
                <w:bCs w:val="1"/>
                <w:i w:val="1"/>
                <w:iCs w:val="1"/>
                <w:color w:val="auto"/>
                <w:w w:val="91"/>
              </w:rPr>
              <w:t>(I.R.S. Employer</w:t>
            </w:r>
          </w:p>
        </w:tc>
        <w:tc>
          <w:tcPr>
            <w:tcW w:w="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4200" w:type="dxa"/>
            <w:vAlign w:val="bottom"/>
          </w:tcPr>
          <w:p>
            <w:pPr>
              <w:jc w:val="center"/>
              <w:ind w:left="1269"/>
              <w:spacing w:after="0"/>
              <w:rPr>
                <w:sz w:val="20"/>
                <w:szCs w:val="20"/>
                <w:color w:val="auto"/>
              </w:rPr>
            </w:pPr>
            <w:r>
              <w:rPr>
                <w:rFonts w:ascii="Arial" w:cs="Arial" w:eastAsia="Arial" w:hAnsi="Arial"/>
                <w:sz w:val="14"/>
                <w:szCs w:val="14"/>
                <w:b w:val="1"/>
                <w:bCs w:val="1"/>
                <w:i w:val="1"/>
                <w:iCs w:val="1"/>
                <w:color w:val="auto"/>
                <w:w w:val="89"/>
              </w:rPr>
              <w:t>incorporation or organization)</w:t>
            </w:r>
          </w:p>
        </w:tc>
        <w:tc>
          <w:tcPr>
            <w:tcW w:w="1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500" w:type="dxa"/>
            <w:vAlign w:val="bottom"/>
          </w:tcPr>
          <w:p>
            <w:pPr>
              <w:jc w:val="center"/>
              <w:ind w:right="1789"/>
              <w:spacing w:after="0"/>
              <w:rPr>
                <w:sz w:val="20"/>
                <w:szCs w:val="20"/>
                <w:color w:val="auto"/>
              </w:rPr>
            </w:pPr>
            <w:r>
              <w:rPr>
                <w:rFonts w:ascii="Arial" w:cs="Arial" w:eastAsia="Arial" w:hAnsi="Arial"/>
                <w:sz w:val="14"/>
                <w:szCs w:val="14"/>
                <w:b w:val="1"/>
                <w:bCs w:val="1"/>
                <w:i w:val="1"/>
                <w:iCs w:val="1"/>
                <w:color w:val="auto"/>
                <w:w w:val="89"/>
              </w:rPr>
              <w:t>Identification number)</w:t>
            </w:r>
          </w:p>
        </w:tc>
        <w:tc>
          <w:tcPr>
            <w:tcW w:w="20" w:type="dxa"/>
            <w:vAlign w:val="bottom"/>
          </w:tcPr>
          <w:p>
            <w:pPr>
              <w:spacing w:after="0"/>
              <w:rPr>
                <w:sz w:val="15"/>
                <w:szCs w:val="15"/>
                <w:color w:val="auto"/>
              </w:rPr>
            </w:pPr>
          </w:p>
        </w:tc>
      </w:tr>
      <w:tr>
        <w:trPr>
          <w:trHeight w:val="276"/>
        </w:trPr>
        <w:tc>
          <w:tcPr>
            <w:tcW w:w="20" w:type="dxa"/>
            <w:vAlign w:val="bottom"/>
          </w:tcPr>
          <w:p>
            <w:pPr>
              <w:spacing w:after="0"/>
              <w:rPr>
                <w:sz w:val="24"/>
                <w:szCs w:val="24"/>
                <w:color w:val="auto"/>
              </w:rPr>
            </w:pPr>
          </w:p>
        </w:tc>
        <w:tc>
          <w:tcPr>
            <w:tcW w:w="420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Regal House, 70 London Road,</w:t>
            </w:r>
          </w:p>
        </w:tc>
        <w:tc>
          <w:tcPr>
            <w:tcW w:w="16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Twickenham,</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London,</w:t>
            </w:r>
          </w:p>
        </w:tc>
        <w:tc>
          <w:tcPr>
            <w:tcW w:w="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TW13QS</w:t>
            </w:r>
          </w:p>
        </w:tc>
        <w:tc>
          <w:tcPr>
            <w:tcW w:w="35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United Kingdom</w:t>
            </w:r>
          </w:p>
        </w:tc>
        <w:tc>
          <w:tcPr>
            <w:tcW w:w="20" w:type="dxa"/>
            <w:vAlign w:val="bottom"/>
            <w:tcBorders>
              <w:bottom w:val="single" w:sz="8" w:color="auto"/>
            </w:tcBorders>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680" w:type="dxa"/>
            <w:vAlign w:val="bottom"/>
            <w:gridSpan w:val="3"/>
          </w:tcPr>
          <w:p>
            <w:pPr>
              <w:ind w:left="300"/>
              <w:spacing w:after="0"/>
              <w:rPr>
                <w:sz w:val="20"/>
                <w:szCs w:val="20"/>
                <w:color w:val="auto"/>
              </w:rPr>
            </w:pPr>
            <w:r>
              <w:rPr>
                <w:rFonts w:ascii="Arial" w:cs="Arial" w:eastAsia="Arial" w:hAnsi="Arial"/>
                <w:sz w:val="14"/>
                <w:szCs w:val="14"/>
                <w:color w:val="auto"/>
                <w:w w:val="98"/>
              </w:rPr>
              <w:t>(Address of principal executive offices)</w:t>
            </w:r>
          </w:p>
        </w:tc>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44-74-9421-6154</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Trading Symbol(s)</w:t>
            </w:r>
          </w:p>
        </w:tc>
        <w:tc>
          <w:tcPr>
            <w:tcW w:w="2860" w:type="dxa"/>
            <w:vAlign w:val="bottom"/>
            <w:gridSpan w:val="2"/>
          </w:tcPr>
          <w:p>
            <w:pPr>
              <w:ind w:left="220"/>
              <w:spacing w:after="0"/>
              <w:rPr>
                <w:sz w:val="20"/>
                <w:szCs w:val="20"/>
                <w:color w:val="auto"/>
              </w:rPr>
            </w:pPr>
            <w:r>
              <w:rPr>
                <w:rFonts w:ascii="Arial" w:cs="Arial" w:eastAsia="Arial" w:hAnsi="Arial"/>
                <w:sz w:val="14"/>
                <w:szCs w:val="14"/>
                <w:b w:val="1"/>
                <w:bCs w:val="1"/>
                <w:color w:val="auto"/>
                <w:w w:val="88"/>
              </w:rPr>
              <w:t>Name of each exchange on which registered</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5020" w:type="dxa"/>
            <w:vAlign w:val="bottom"/>
            <w:gridSpan w:val="2"/>
          </w:tcPr>
          <w:p>
            <w:pPr>
              <w:spacing w:after="0"/>
              <w:rPr>
                <w:sz w:val="20"/>
                <w:szCs w:val="20"/>
                <w:color w:val="auto"/>
              </w:rPr>
            </w:pPr>
            <w:r>
              <w:rPr>
                <w:rFonts w:ascii="Arial" w:cs="Arial" w:eastAsia="Arial" w:hAnsi="Arial"/>
                <w:sz w:val="14"/>
                <w:szCs w:val="14"/>
                <w:color w:val="auto"/>
              </w:rPr>
              <w:t>Ordinary Shares, nominal value $0.01 per share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PNR</w:t>
            </w:r>
          </w:p>
        </w:tc>
        <w:tc>
          <w:tcPr>
            <w:tcW w:w="2860" w:type="dxa"/>
            <w:vAlign w:val="bottom"/>
            <w:gridSpan w:val="2"/>
          </w:tcPr>
          <w:p>
            <w:pPr>
              <w:ind w:left="220"/>
              <w:spacing w:after="0"/>
              <w:rPr>
                <w:sz w:val="20"/>
                <w:szCs w:val="20"/>
                <w:color w:val="auto"/>
              </w:rPr>
            </w:pPr>
            <w:r>
              <w:rPr>
                <w:rFonts w:ascii="Arial" w:cs="Arial" w:eastAsia="Arial" w:hAnsi="Arial"/>
                <w:sz w:val="14"/>
                <w:szCs w:val="14"/>
                <w:color w:val="auto"/>
              </w:rPr>
              <w:t>New York Stock Exchange</w:t>
            </w:r>
          </w:p>
        </w:tc>
      </w:tr>
    </w:tbl>
    <w:p>
      <w:pPr>
        <w:spacing w:after="0" w:line="1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62" w:lineRule="exact"/>
        <w:rPr>
          <w:sz w:val="24"/>
          <w:szCs w:val="24"/>
          <w:color w:val="auto"/>
        </w:rPr>
      </w:pPr>
    </w:p>
    <w:p>
      <w:pPr>
        <w:ind w:left="140" w:right="4140" w:hanging="140"/>
        <w:spacing w:after="0" w:line="233"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r>
        <w:rPr>
          <w:sz w:val="20"/>
          <w:szCs w:val="20"/>
          <w:color w:val="auto"/>
        </w:rPr>
        <w:t xml:space="preserve"> </w:t>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5" w:lineRule="exact"/>
        <w:rPr>
          <w:sz w:val="24"/>
          <w:szCs w:val="24"/>
          <w:color w:val="auto"/>
        </w:rPr>
      </w:pPr>
    </w:p>
    <w:p>
      <w:pPr>
        <w:spacing w:after="0" w:line="161" w:lineRule="exact"/>
        <w:tabs>
          <w:tab w:leader="none" w:pos="6880" w:val="left"/>
          <w:tab w:leader="none" w:pos="740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8"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120" w:type="dxa"/>
            <w:vAlign w:val="bottom"/>
            <w:vMerge w:val="restart"/>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Accelerated filer</w:t>
            </w:r>
          </w:p>
        </w:tc>
        <w:tc>
          <w:tcPr>
            <w:tcW w:w="2380" w:type="dxa"/>
            <w:vAlign w:val="bottom"/>
            <w:vMerge w:val="restart"/>
          </w:tcPr>
          <w:p>
            <w:pPr>
              <w:ind w:left="4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tc>
        <w:tc>
          <w:tcPr>
            <w:tcW w:w="860" w:type="dxa"/>
            <w:vAlign w:val="bottom"/>
            <w:vMerge w:val="restart"/>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1540" w:type="dxa"/>
            <w:vAlign w:val="bottom"/>
          </w:tcPr>
          <w:p>
            <w:pPr>
              <w:jc w:val="center"/>
              <w:ind w:left="29"/>
              <w:spacing w:after="0"/>
              <w:rPr>
                <w:sz w:val="20"/>
                <w:szCs w:val="20"/>
                <w:color w:val="auto"/>
              </w:rPr>
            </w:pPr>
            <w:r>
              <w:rPr>
                <w:rFonts w:ascii="Arial" w:cs="Arial" w:eastAsia="Arial" w:hAnsi="Arial"/>
                <w:sz w:val="14"/>
                <w:szCs w:val="14"/>
                <w:color w:val="auto"/>
                <w:w w:val="93"/>
              </w:rPr>
              <w:t>Smaller reporting</w:t>
            </w:r>
          </w:p>
        </w:tc>
        <w:tc>
          <w:tcPr>
            <w:tcW w:w="52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1960" w:type="dxa"/>
            <w:vAlign w:val="bottom"/>
            <w:vMerge w:val="restart"/>
          </w:tcPr>
          <w:p>
            <w:pPr>
              <w:ind w:left="160"/>
              <w:spacing w:after="0" w:line="161" w:lineRule="exact"/>
              <w:rPr>
                <w:sz w:val="20"/>
                <w:szCs w:val="20"/>
                <w:color w:val="auto"/>
              </w:rPr>
            </w:pPr>
            <w:r>
              <w:rPr>
                <w:rFonts w:ascii="Arial" w:cs="Arial" w:eastAsia="Arial" w:hAnsi="Arial"/>
                <w:sz w:val="14"/>
                <w:szCs w:val="14"/>
                <w:color w:val="auto"/>
                <w:w w:val="94"/>
              </w:rPr>
              <w:t xml:space="preserve">Emerging growth company  </w:t>
            </w:r>
            <w:r>
              <w:rPr>
                <w:rFonts w:ascii="MS PGothic" w:cs="MS PGothic" w:eastAsia="MS PGothic" w:hAnsi="MS PGothic"/>
                <w:sz w:val="14"/>
                <w:szCs w:val="14"/>
                <w:color w:val="auto"/>
                <w:w w:val="94"/>
              </w:rPr>
              <w:t>☐</w:t>
            </w:r>
          </w:p>
        </w:tc>
        <w:tc>
          <w:tcPr>
            <w:tcW w:w="0" w:type="dxa"/>
            <w:vAlign w:val="bottom"/>
          </w:tcPr>
          <w:p>
            <w:pPr>
              <w:spacing w:after="0"/>
              <w:rPr>
                <w:sz w:val="1"/>
                <w:szCs w:val="1"/>
                <w:color w:val="auto"/>
              </w:rPr>
            </w:pPr>
          </w:p>
        </w:tc>
      </w:tr>
      <w:tr>
        <w:trPr>
          <w:trHeight w:val="207"/>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120" w:type="dxa"/>
            <w:vAlign w:val="bottom"/>
            <w:vMerge w:val="continue"/>
          </w:tcPr>
          <w:p>
            <w:pPr>
              <w:spacing w:after="0"/>
              <w:rPr>
                <w:sz w:val="17"/>
                <w:szCs w:val="17"/>
                <w:color w:val="auto"/>
              </w:rPr>
            </w:pPr>
          </w:p>
        </w:tc>
        <w:tc>
          <w:tcPr>
            <w:tcW w:w="238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540" w:type="dxa"/>
            <w:vAlign w:val="bottom"/>
          </w:tcPr>
          <w:p>
            <w:pPr>
              <w:jc w:val="center"/>
              <w:ind w:left="69"/>
              <w:spacing w:after="0"/>
              <w:rPr>
                <w:sz w:val="20"/>
                <w:szCs w:val="20"/>
                <w:color w:val="auto"/>
              </w:rPr>
            </w:pPr>
            <w:r>
              <w:rPr>
                <w:rFonts w:ascii="Arial" w:cs="Arial" w:eastAsia="Arial" w:hAnsi="Arial"/>
                <w:sz w:val="14"/>
                <w:szCs w:val="14"/>
                <w:color w:val="auto"/>
                <w:w w:val="91"/>
              </w:rPr>
              <w:t>company</w:t>
            </w:r>
          </w:p>
        </w:tc>
        <w:tc>
          <w:tcPr>
            <w:tcW w:w="520" w:type="dxa"/>
            <w:vAlign w:val="bottom"/>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8" w:lineRule="exact"/>
        <w:rPr>
          <w:sz w:val="24"/>
          <w:szCs w:val="24"/>
          <w:color w:val="auto"/>
        </w:rPr>
      </w:pPr>
    </w:p>
    <w:p>
      <w:pPr>
        <w:spacing w:after="0" w:line="18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24" w:lineRule="exact"/>
        <w:rPr>
          <w:sz w:val="24"/>
          <w:szCs w:val="24"/>
          <w:color w:val="auto"/>
        </w:rPr>
      </w:pPr>
    </w:p>
    <w:p>
      <w:pPr>
        <w:spacing w:after="0" w:line="161" w:lineRule="exact"/>
        <w:tabs>
          <w:tab w:leader="none" w:pos="5960" w:val="left"/>
          <w:tab w:leader="none" w:pos="64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8"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Aggregate market value of voting and non-voting common equity held by non-affiliates of the Registrant, based on the closing price of $45.77 per share as reported on the New York Stock Exchange on June 30, 2022 (the last business day of Registrant’s most recently completed second quarter): $7,452,025,298.</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Registrant’s only class of common stock on December 31, 2022 was 164,542,943.</w:t>
      </w:r>
    </w:p>
    <w:p>
      <w:pPr>
        <w:spacing w:after="0" w:line="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76"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Parts of the Registrant’s definitive proxy statement for its annual general meeting to be held on May 9, 2023, are incorporated by reference in this Form 10-K in response to Part III, ITEM 10, 11, 12, 13 and 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408305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60" w:type="dxa"/>
            <w:vAlign w:val="bottom"/>
            <w:gridSpan w:val="7"/>
          </w:tcPr>
          <w:p>
            <w:pPr>
              <w:jc w:val="center"/>
              <w:ind w:right="4100"/>
              <w:spacing w:after="0"/>
              <w:rPr>
                <w:sz w:val="20"/>
                <w:szCs w:val="20"/>
                <w:color w:val="auto"/>
              </w:rPr>
            </w:pPr>
            <w:r>
              <w:rPr>
                <w:rFonts w:ascii="Arial" w:cs="Arial" w:eastAsia="Arial" w:hAnsi="Arial"/>
                <w:sz w:val="14"/>
                <w:szCs w:val="14"/>
                <w:b w:val="1"/>
                <w:bCs w:val="1"/>
                <w:color w:val="auto"/>
                <w:w w:val="92"/>
              </w:rPr>
              <w:t>Pentair plc</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40" w:type="dxa"/>
            <w:vAlign w:val="bottom"/>
            <w:gridSpan w:val="9"/>
          </w:tcPr>
          <w:p>
            <w:pPr>
              <w:jc w:val="center"/>
              <w:ind w:right="3340"/>
              <w:spacing w:after="0"/>
              <w:rPr>
                <w:sz w:val="20"/>
                <w:szCs w:val="20"/>
                <w:color w:val="auto"/>
              </w:rPr>
            </w:pPr>
            <w:r>
              <w:rPr>
                <w:rFonts w:ascii="Arial" w:cs="Arial" w:eastAsia="Arial" w:hAnsi="Arial"/>
                <w:sz w:val="14"/>
                <w:szCs w:val="14"/>
                <w:b w:val="1"/>
                <w:bCs w:val="1"/>
                <w:color w:val="auto"/>
                <w:w w:val="94"/>
              </w:rPr>
              <w:t>Annual Report on Form 10-K</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40" w:type="dxa"/>
            <w:vAlign w:val="bottom"/>
            <w:gridSpan w:val="9"/>
          </w:tcPr>
          <w:p>
            <w:pPr>
              <w:jc w:val="center"/>
              <w:ind w:right="3340"/>
              <w:spacing w:after="0"/>
              <w:rPr>
                <w:sz w:val="20"/>
                <w:szCs w:val="20"/>
                <w:color w:val="auto"/>
              </w:rPr>
            </w:pPr>
            <w:r>
              <w:rPr>
                <w:rFonts w:ascii="Arial" w:cs="Arial" w:eastAsia="Arial" w:hAnsi="Arial"/>
                <w:sz w:val="14"/>
                <w:szCs w:val="14"/>
                <w:b w:val="1"/>
                <w:bCs w:val="1"/>
                <w:color w:val="auto"/>
                <w:w w:val="91"/>
              </w:rPr>
              <w:t>For the Year Ended December 31, 2022</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60" w:type="dxa"/>
            <w:vAlign w:val="bottom"/>
            <w:gridSpan w:val="7"/>
            <w:vMerge w:val="restart"/>
          </w:tcPr>
          <w:p>
            <w:pPr>
              <w:jc w:val="center"/>
              <w:ind w:right="4140"/>
              <w:spacing w:after="0"/>
              <w:rPr>
                <w:sz w:val="20"/>
                <w:szCs w:val="20"/>
                <w:color w:val="auto"/>
              </w:rPr>
            </w:pPr>
            <w:r>
              <w:rPr>
                <w:rFonts w:ascii="Arial" w:cs="Arial" w:eastAsia="Arial" w:hAnsi="Arial"/>
                <w:sz w:val="14"/>
                <w:szCs w:val="14"/>
                <w:b w:val="1"/>
                <w:bCs w:val="1"/>
                <w:color w:val="auto"/>
              </w:rPr>
              <w:t>PART I</w:t>
            </w:r>
          </w:p>
        </w:tc>
        <w:tc>
          <w:tcPr>
            <w:tcW w:w="1000" w:type="dxa"/>
            <w:vAlign w:val="bottom"/>
            <w:gridSpan w:val="4"/>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160" w:type="dxa"/>
            <w:vAlign w:val="bottom"/>
            <w:gridSpan w:val="7"/>
            <w:vMerge w:val="continue"/>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720" w:type="dxa"/>
            <w:vAlign w:val="bottom"/>
          </w:tcPr>
          <w:p>
            <w:pPr>
              <w:ind w:left="20"/>
              <w:spacing w:after="0"/>
              <w:rPr>
                <w:sz w:val="20"/>
                <w:szCs w:val="20"/>
                <w:color w:val="auto"/>
              </w:rPr>
            </w:pPr>
            <w:r>
              <w:rPr>
                <w:rFonts w:ascii="Arial" w:cs="Arial" w:eastAsia="Arial" w:hAnsi="Arial"/>
                <w:sz w:val="14"/>
                <w:szCs w:val="14"/>
                <w:color w:val="auto"/>
              </w:rPr>
              <w:t>ITEM 1.</w:t>
            </w:r>
          </w:p>
        </w:tc>
        <w:tc>
          <w:tcPr>
            <w:tcW w:w="520" w:type="dxa"/>
            <w:vAlign w:val="bottom"/>
          </w:tcPr>
          <w:p>
            <w:pPr>
              <w:spacing w:after="0"/>
              <w:rPr>
                <w:sz w:val="20"/>
                <w:szCs w:val="20"/>
                <w:color w:val="auto"/>
              </w:rPr>
            </w:pPr>
            <w:r>
              <w:rPr>
                <w:rFonts w:ascii="Arial" w:cs="Arial" w:eastAsia="Arial" w:hAnsi="Arial"/>
                <w:sz w:val="14"/>
                <w:szCs w:val="14"/>
                <w:color w:val="0000FF"/>
                <w:w w:val="84"/>
              </w:rPr>
              <w:t>Business</w:t>
            </w:r>
          </w:p>
        </w:tc>
        <w:tc>
          <w:tcPr>
            <w:tcW w:w="8040" w:type="dxa"/>
            <w:vAlign w:val="bottom"/>
            <w:gridSpan w:val="20"/>
          </w:tcPr>
          <w:p>
            <w:pPr>
              <w:spacing w:after="0"/>
              <w:rPr>
                <w:sz w:val="24"/>
                <w:szCs w:val="24"/>
                <w:color w:val="auto"/>
              </w:rPr>
            </w:pP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76"/>
              </w:rPr>
              <w:t>1</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1A.</w:t>
            </w:r>
          </w:p>
        </w:tc>
        <w:tc>
          <w:tcPr>
            <w:tcW w:w="720" w:type="dxa"/>
            <w:vAlign w:val="bottom"/>
            <w:gridSpan w:val="3"/>
          </w:tcPr>
          <w:p>
            <w:pPr>
              <w:spacing w:after="0"/>
              <w:rPr>
                <w:sz w:val="20"/>
                <w:szCs w:val="20"/>
                <w:color w:val="auto"/>
              </w:rPr>
            </w:pPr>
            <w:r>
              <w:rPr>
                <w:rFonts w:ascii="Arial" w:cs="Arial" w:eastAsia="Arial" w:hAnsi="Arial"/>
                <w:sz w:val="14"/>
                <w:szCs w:val="14"/>
                <w:color w:val="0000FF"/>
                <w:w w:val="89"/>
              </w:rPr>
              <w:t>Risk Factors</w:t>
            </w:r>
          </w:p>
        </w:tc>
        <w:tc>
          <w:tcPr>
            <w:tcW w:w="7840" w:type="dxa"/>
            <w:vAlign w:val="bottom"/>
            <w:gridSpan w:val="18"/>
          </w:tcPr>
          <w:p>
            <w:pPr>
              <w:spacing w:after="0"/>
              <w:rPr>
                <w:sz w:val="17"/>
                <w:szCs w:val="17"/>
                <w:color w:val="auto"/>
              </w:rPr>
            </w:pP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76"/>
              </w:rPr>
              <w:t>6</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1B.</w:t>
            </w:r>
          </w:p>
        </w:tc>
        <w:tc>
          <w:tcPr>
            <w:tcW w:w="1620" w:type="dxa"/>
            <w:vAlign w:val="bottom"/>
            <w:tcBorders>
              <w:bottom w:val="single" w:sz="8" w:color="0000FF"/>
            </w:tcBorders>
            <w:gridSpan w:val="9"/>
          </w:tcPr>
          <w:p>
            <w:pPr>
              <w:spacing w:after="0"/>
              <w:rPr>
                <w:sz w:val="20"/>
                <w:szCs w:val="20"/>
                <w:color w:val="auto"/>
              </w:rPr>
            </w:pPr>
            <w:r>
              <w:rPr>
                <w:rFonts w:ascii="Arial" w:cs="Arial" w:eastAsia="Arial" w:hAnsi="Arial"/>
                <w:sz w:val="14"/>
                <w:szCs w:val="14"/>
                <w:color w:val="0000FF"/>
                <w:w w:val="91"/>
              </w:rPr>
              <w:t>Unresolved Staff Comments</w:t>
            </w:r>
          </w:p>
        </w:tc>
        <w:tc>
          <w:tcPr>
            <w:tcW w:w="6940" w:type="dxa"/>
            <w:vAlign w:val="bottom"/>
            <w:gridSpan w:val="1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2.</w:t>
            </w:r>
          </w:p>
        </w:tc>
        <w:tc>
          <w:tcPr>
            <w:tcW w:w="8560" w:type="dxa"/>
            <w:vAlign w:val="bottom"/>
            <w:gridSpan w:val="21"/>
          </w:tcPr>
          <w:p>
            <w:pPr>
              <w:spacing w:after="0"/>
              <w:rPr>
                <w:sz w:val="20"/>
                <w:szCs w:val="20"/>
                <w:color w:val="auto"/>
              </w:rPr>
            </w:pPr>
            <w:r>
              <w:rPr>
                <w:rFonts w:ascii="Arial" w:cs="Arial" w:eastAsia="Arial" w:hAnsi="Arial"/>
                <w:sz w:val="14"/>
                <w:szCs w:val="14"/>
                <w:color w:val="0000FF"/>
              </w:rPr>
              <w:t>Properties</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18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3.</w:t>
            </w:r>
          </w:p>
        </w:tc>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89"/>
              </w:rPr>
              <w:t>Legal Proceedings</w:t>
            </w:r>
          </w:p>
        </w:tc>
        <w:tc>
          <w:tcPr>
            <w:tcW w:w="7500" w:type="dxa"/>
            <w:vAlign w:val="bottom"/>
            <w:gridSpan w:val="16"/>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18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4.</w:t>
            </w:r>
          </w:p>
        </w:tc>
        <w:tc>
          <w:tcPr>
            <w:tcW w:w="8560" w:type="dxa"/>
            <w:vAlign w:val="bottom"/>
            <w:gridSpan w:val="21"/>
          </w:tcPr>
          <w:p>
            <w:pPr>
              <w:spacing w:after="0"/>
              <w:rPr>
                <w:sz w:val="20"/>
                <w:szCs w:val="20"/>
                <w:color w:val="auto"/>
              </w:rPr>
            </w:pPr>
            <w:r>
              <w:rPr>
                <w:rFonts w:ascii="Arial" w:cs="Arial" w:eastAsia="Arial" w:hAnsi="Arial"/>
                <w:sz w:val="14"/>
                <w:szCs w:val="14"/>
                <w:color w:val="0000FF"/>
              </w:rPr>
              <w:t>Mine Safety Disclosures</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18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PART II</w:t>
            </w: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720" w:type="dxa"/>
            <w:vAlign w:val="bottom"/>
          </w:tcPr>
          <w:p>
            <w:pPr>
              <w:ind w:left="20"/>
              <w:spacing w:after="0"/>
              <w:rPr>
                <w:sz w:val="20"/>
                <w:szCs w:val="20"/>
                <w:color w:val="auto"/>
              </w:rPr>
            </w:pPr>
            <w:r>
              <w:rPr>
                <w:rFonts w:ascii="Arial" w:cs="Arial" w:eastAsia="Arial" w:hAnsi="Arial"/>
                <w:sz w:val="14"/>
                <w:szCs w:val="14"/>
                <w:color w:val="auto"/>
              </w:rPr>
              <w:t>ITEM 5.</w:t>
            </w:r>
          </w:p>
        </w:tc>
        <w:tc>
          <w:tcPr>
            <w:tcW w:w="636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1"/>
              </w:rPr>
              <w:t>Market for Registrant’s Common Equity, Related Stockholder Matters and Issuer Purchases of Equity Securities</w:t>
            </w: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20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6.</w:t>
            </w:r>
          </w:p>
        </w:tc>
        <w:tc>
          <w:tcPr>
            <w:tcW w:w="8560" w:type="dxa"/>
            <w:vAlign w:val="bottom"/>
            <w:gridSpan w:val="21"/>
          </w:tcPr>
          <w:p>
            <w:pPr>
              <w:spacing w:after="0"/>
              <w:rPr>
                <w:sz w:val="20"/>
                <w:szCs w:val="20"/>
                <w:color w:val="auto"/>
              </w:rPr>
            </w:pPr>
            <w:r>
              <w:rPr>
                <w:rFonts w:ascii="Arial" w:cs="Arial" w:eastAsia="Arial" w:hAnsi="Arial"/>
                <w:sz w:val="14"/>
                <w:szCs w:val="14"/>
                <w:color w:val="0000FF"/>
              </w:rPr>
              <w:t>[Reserved]</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21</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7.</w:t>
            </w:r>
          </w:p>
        </w:tc>
        <w:tc>
          <w:tcPr>
            <w:tcW w:w="8560" w:type="dxa"/>
            <w:vAlign w:val="bottom"/>
            <w:gridSpan w:val="21"/>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22</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7A.</w:t>
            </w:r>
          </w:p>
        </w:tc>
        <w:tc>
          <w:tcPr>
            <w:tcW w:w="340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4"/>
                <w:szCs w:val="14"/>
                <w:color w:val="0000FF"/>
                <w:w w:val="92"/>
              </w:rPr>
              <w:t>Quantitative and Qualitative Disclosures about Market Risk</w:t>
            </w:r>
          </w:p>
        </w:tc>
        <w:tc>
          <w:tcPr>
            <w:tcW w:w="1680" w:type="dxa"/>
            <w:vAlign w:val="bottom"/>
            <w:tcBorders>
              <w:top w:val="single" w:sz="8" w:color="0000FF"/>
            </w:tcBorders>
            <w:gridSpan w:val="3"/>
          </w:tcPr>
          <w:p>
            <w:pPr>
              <w:spacing w:after="0"/>
              <w:rPr>
                <w:sz w:val="17"/>
                <w:szCs w:val="17"/>
                <w:color w:val="auto"/>
              </w:rPr>
            </w:pPr>
          </w:p>
        </w:tc>
        <w:tc>
          <w:tcPr>
            <w:tcW w:w="348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2"/>
                <w:szCs w:val="12"/>
                <w:color w:val="0000FF"/>
                <w:w w:val="74"/>
              </w:rPr>
              <w:t>36</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8.</w:t>
            </w:r>
          </w:p>
        </w:tc>
        <w:tc>
          <w:tcPr>
            <w:tcW w:w="8560" w:type="dxa"/>
            <w:vAlign w:val="bottom"/>
            <w:gridSpan w:val="21"/>
          </w:tcPr>
          <w:p>
            <w:pPr>
              <w:spacing w:after="0"/>
              <w:rPr>
                <w:sz w:val="20"/>
                <w:szCs w:val="20"/>
                <w:color w:val="auto"/>
              </w:rPr>
            </w:pPr>
            <w:r>
              <w:rPr>
                <w:rFonts w:ascii="Arial" w:cs="Arial" w:eastAsia="Arial" w:hAnsi="Arial"/>
                <w:sz w:val="14"/>
                <w:szCs w:val="14"/>
                <w:color w:val="0000FF"/>
              </w:rPr>
              <w:t>Financial Statements and Supplementary Data</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38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9.</w:t>
            </w:r>
          </w:p>
        </w:tc>
        <w:tc>
          <w:tcPr>
            <w:tcW w:w="5100" w:type="dxa"/>
            <w:vAlign w:val="bottom"/>
            <w:tcBorders>
              <w:bottom w:val="single" w:sz="8" w:color="0000FF"/>
            </w:tcBorders>
            <w:gridSpan w:val="18"/>
          </w:tcPr>
          <w:p>
            <w:pPr>
              <w:spacing w:after="0"/>
              <w:rPr>
                <w:sz w:val="20"/>
                <w:szCs w:val="20"/>
                <w:color w:val="auto"/>
              </w:rPr>
            </w:pPr>
            <w:r>
              <w:rPr>
                <w:rFonts w:ascii="Arial" w:cs="Arial" w:eastAsia="Arial" w:hAnsi="Arial"/>
                <w:sz w:val="14"/>
                <w:szCs w:val="14"/>
                <w:color w:val="0000FF"/>
                <w:w w:val="91"/>
              </w:rPr>
              <w:t>Changes in and Disagreements with Accountants on Accounting and Financial Disclosure</w:t>
            </w:r>
          </w:p>
        </w:tc>
        <w:tc>
          <w:tcPr>
            <w:tcW w:w="346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77</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9A.</w:t>
            </w:r>
          </w:p>
        </w:tc>
        <w:tc>
          <w:tcPr>
            <w:tcW w:w="140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89"/>
              </w:rPr>
              <w:t>Controls and Procedures</w:t>
            </w:r>
          </w:p>
        </w:tc>
        <w:tc>
          <w:tcPr>
            <w:tcW w:w="7160" w:type="dxa"/>
            <w:vAlign w:val="bottom"/>
            <w:gridSpan w:val="14"/>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77</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9B.</w:t>
            </w:r>
          </w:p>
        </w:tc>
        <w:tc>
          <w:tcPr>
            <w:tcW w:w="1040" w:type="dxa"/>
            <w:vAlign w:val="bottom"/>
            <w:tcBorders>
              <w:bottom w:val="single" w:sz="8" w:color="0000FF"/>
            </w:tcBorders>
            <w:gridSpan w:val="4"/>
          </w:tcPr>
          <w:p>
            <w:pPr>
              <w:spacing w:after="0"/>
              <w:rPr>
                <w:sz w:val="20"/>
                <w:szCs w:val="20"/>
                <w:color w:val="auto"/>
              </w:rPr>
            </w:pPr>
            <w:r>
              <w:rPr>
                <w:rFonts w:ascii="Arial" w:cs="Arial" w:eastAsia="Arial" w:hAnsi="Arial"/>
                <w:sz w:val="14"/>
                <w:szCs w:val="14"/>
                <w:color w:val="0000FF"/>
                <w:w w:val="93"/>
              </w:rPr>
              <w:t>Other Information</w:t>
            </w:r>
          </w:p>
        </w:tc>
        <w:tc>
          <w:tcPr>
            <w:tcW w:w="7520" w:type="dxa"/>
            <w:vAlign w:val="bottom"/>
            <w:gridSpan w:val="17"/>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77</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9C.</w:t>
            </w:r>
          </w:p>
        </w:tc>
        <w:tc>
          <w:tcPr>
            <w:tcW w:w="8560" w:type="dxa"/>
            <w:vAlign w:val="bottom"/>
            <w:gridSpan w:val="21"/>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77</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PART III</w:t>
            </w: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720" w:type="dxa"/>
            <w:vAlign w:val="bottom"/>
          </w:tcPr>
          <w:p>
            <w:pPr>
              <w:ind w:left="20"/>
              <w:spacing w:after="0"/>
              <w:rPr>
                <w:sz w:val="20"/>
                <w:szCs w:val="20"/>
                <w:color w:val="auto"/>
              </w:rPr>
            </w:pPr>
            <w:r>
              <w:rPr>
                <w:rFonts w:ascii="Arial" w:cs="Arial" w:eastAsia="Arial" w:hAnsi="Arial"/>
                <w:sz w:val="14"/>
                <w:szCs w:val="14"/>
                <w:color w:val="auto"/>
              </w:rPr>
              <w:t>ITEM 10.</w:t>
            </w:r>
          </w:p>
        </w:tc>
        <w:tc>
          <w:tcPr>
            <w:tcW w:w="8560" w:type="dxa"/>
            <w:vAlign w:val="bottom"/>
            <w:gridSpan w:val="21"/>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78</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11.</w:t>
            </w:r>
          </w:p>
        </w:tc>
        <w:tc>
          <w:tcPr>
            <w:tcW w:w="3220" w:type="dxa"/>
            <w:vAlign w:val="bottom"/>
            <w:tcBorders>
              <w:top w:val="single" w:sz="8" w:color="0000FF"/>
            </w:tcBorders>
            <w:gridSpan w:val="13"/>
          </w:tcPr>
          <w:p>
            <w:pPr>
              <w:spacing w:after="0"/>
              <w:rPr>
                <w:sz w:val="20"/>
                <w:szCs w:val="20"/>
                <w:color w:val="auto"/>
              </w:rPr>
            </w:pPr>
            <w:r>
              <w:rPr>
                <w:rFonts w:ascii="Arial" w:cs="Arial" w:eastAsia="Arial" w:hAnsi="Arial"/>
                <w:sz w:val="14"/>
                <w:szCs w:val="14"/>
                <w:color w:val="0000FF"/>
              </w:rPr>
              <w:t>Executive Compensation</w:t>
            </w:r>
          </w:p>
        </w:tc>
        <w:tc>
          <w:tcPr>
            <w:tcW w:w="5340" w:type="dxa"/>
            <w:vAlign w:val="bottom"/>
            <w:gridSpan w:val="8"/>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78</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12.</w:t>
            </w:r>
          </w:p>
        </w:tc>
        <w:tc>
          <w:tcPr>
            <w:tcW w:w="5740" w:type="dxa"/>
            <w:vAlign w:val="bottom"/>
            <w:tcBorders>
              <w:bottom w:val="single" w:sz="8" w:color="0000FF"/>
            </w:tcBorders>
            <w:gridSpan w:val="19"/>
          </w:tcPr>
          <w:p>
            <w:pPr>
              <w:spacing w:after="0"/>
              <w:rPr>
                <w:sz w:val="20"/>
                <w:szCs w:val="20"/>
                <w:color w:val="auto"/>
              </w:rPr>
            </w:pPr>
            <w:r>
              <w:rPr>
                <w:rFonts w:ascii="Arial" w:cs="Arial" w:eastAsia="Arial" w:hAnsi="Arial"/>
                <w:sz w:val="14"/>
                <w:szCs w:val="14"/>
                <w:color w:val="0000FF"/>
                <w:w w:val="91"/>
              </w:rPr>
              <w:t>Security Ownership of Certain Beneficial Owners and Management and Related Stockholder Matters</w:t>
            </w:r>
          </w:p>
        </w:tc>
        <w:tc>
          <w:tcPr>
            <w:tcW w:w="28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79</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13.</w:t>
            </w:r>
          </w:p>
        </w:tc>
        <w:tc>
          <w:tcPr>
            <w:tcW w:w="4260" w:type="dxa"/>
            <w:vAlign w:val="bottom"/>
            <w:tcBorders>
              <w:bottom w:val="single" w:sz="8" w:color="0000FF"/>
            </w:tcBorders>
            <w:gridSpan w:val="16"/>
          </w:tcPr>
          <w:p>
            <w:pPr>
              <w:spacing w:after="0"/>
              <w:rPr>
                <w:sz w:val="20"/>
                <w:szCs w:val="20"/>
                <w:color w:val="auto"/>
              </w:rPr>
            </w:pPr>
            <w:r>
              <w:rPr>
                <w:rFonts w:ascii="Arial" w:cs="Arial" w:eastAsia="Arial" w:hAnsi="Arial"/>
                <w:sz w:val="14"/>
                <w:szCs w:val="14"/>
                <w:color w:val="0000FF"/>
                <w:w w:val="90"/>
              </w:rPr>
              <w:t>Certain Relationships and Related Transactions and Director Independence</w:t>
            </w:r>
          </w:p>
        </w:tc>
        <w:tc>
          <w:tcPr>
            <w:tcW w:w="4300" w:type="dxa"/>
            <w:vAlign w:val="bottom"/>
            <w:gridSpan w:val="5"/>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2"/>
                <w:szCs w:val="12"/>
                <w:color w:val="0000FF"/>
                <w:w w:val="74"/>
              </w:rPr>
              <w:t>79</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14.</w:t>
            </w:r>
          </w:p>
        </w:tc>
        <w:tc>
          <w:tcPr>
            <w:tcW w:w="8560" w:type="dxa"/>
            <w:vAlign w:val="bottom"/>
            <w:gridSpan w:val="21"/>
          </w:tcPr>
          <w:p>
            <w:pPr>
              <w:spacing w:after="0"/>
              <w:rPr>
                <w:sz w:val="20"/>
                <w:szCs w:val="20"/>
                <w:color w:val="auto"/>
              </w:rPr>
            </w:pPr>
            <w:r>
              <w:rPr>
                <w:rFonts w:ascii="Arial" w:cs="Arial" w:eastAsia="Arial" w:hAnsi="Arial"/>
                <w:sz w:val="14"/>
                <w:szCs w:val="14"/>
                <w:color w:val="0000FF"/>
              </w:rPr>
              <w:t>Principal Accounting Fees and Services</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79</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PART IV</w:t>
            </w:r>
          </w:p>
        </w:tc>
        <w:tc>
          <w:tcPr>
            <w:tcW w:w="5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720" w:type="dxa"/>
            <w:vAlign w:val="bottom"/>
          </w:tcPr>
          <w:p>
            <w:pPr>
              <w:ind w:left="20"/>
              <w:spacing w:after="0"/>
              <w:rPr>
                <w:sz w:val="20"/>
                <w:szCs w:val="20"/>
                <w:color w:val="auto"/>
              </w:rPr>
            </w:pPr>
            <w:r>
              <w:rPr>
                <w:rFonts w:ascii="Arial" w:cs="Arial" w:eastAsia="Arial" w:hAnsi="Arial"/>
                <w:sz w:val="14"/>
                <w:szCs w:val="14"/>
                <w:color w:val="auto"/>
              </w:rPr>
              <w:t>ITEM 15.</w:t>
            </w:r>
          </w:p>
        </w:tc>
        <w:tc>
          <w:tcPr>
            <w:tcW w:w="8560" w:type="dxa"/>
            <w:vAlign w:val="bottom"/>
            <w:gridSpan w:val="21"/>
          </w:tcPr>
          <w:p>
            <w:pPr>
              <w:spacing w:after="0"/>
              <w:rPr>
                <w:sz w:val="20"/>
                <w:szCs w:val="20"/>
                <w:color w:val="auto"/>
              </w:rPr>
            </w:pPr>
            <w:r>
              <w:rPr>
                <w:rFonts w:ascii="Arial" w:cs="Arial" w:eastAsia="Arial" w:hAnsi="Arial"/>
                <w:sz w:val="14"/>
                <w:szCs w:val="14"/>
                <w:color w:val="0000FF"/>
              </w:rPr>
              <w:t>Exhibits and Financial Statement Schedules</w:t>
            </w:r>
          </w:p>
        </w:tc>
        <w:tc>
          <w:tcPr>
            <w:tcW w:w="560" w:type="dxa"/>
            <w:vAlign w:val="bottom"/>
            <w:gridSpan w:val="2"/>
          </w:tcPr>
          <w:p>
            <w:pPr>
              <w:jc w:val="center"/>
              <w:ind w:left="349"/>
              <w:spacing w:after="0"/>
              <w:rPr>
                <w:sz w:val="20"/>
                <w:szCs w:val="20"/>
                <w:color w:val="auto"/>
              </w:rPr>
            </w:pPr>
            <w:r>
              <w:rPr>
                <w:rFonts w:ascii="Arial" w:cs="Arial" w:eastAsia="Arial" w:hAnsi="Arial"/>
                <w:sz w:val="14"/>
                <w:szCs w:val="14"/>
                <w:color w:val="0000FF"/>
                <w:w w:val="89"/>
              </w:rPr>
              <w:t>80</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20" w:type="dxa"/>
            <w:vAlign w:val="bottom"/>
          </w:tcPr>
          <w:p>
            <w:pPr>
              <w:ind w:left="20"/>
              <w:spacing w:after="0"/>
              <w:rPr>
                <w:sz w:val="20"/>
                <w:szCs w:val="20"/>
                <w:color w:val="auto"/>
              </w:rPr>
            </w:pPr>
            <w:r>
              <w:rPr>
                <w:rFonts w:ascii="Arial" w:cs="Arial" w:eastAsia="Arial" w:hAnsi="Arial"/>
                <w:sz w:val="14"/>
                <w:szCs w:val="14"/>
                <w:color w:val="auto"/>
              </w:rPr>
              <w:t>ITEM 16.</w:t>
            </w:r>
          </w:p>
        </w:tc>
        <w:tc>
          <w:tcPr>
            <w:tcW w:w="2480" w:type="dxa"/>
            <w:vAlign w:val="bottom"/>
            <w:tcBorders>
              <w:top w:val="single" w:sz="8" w:color="0000FF"/>
            </w:tcBorders>
            <w:gridSpan w:val="11"/>
          </w:tcPr>
          <w:p>
            <w:pPr>
              <w:spacing w:after="0"/>
              <w:rPr>
                <w:sz w:val="20"/>
                <w:szCs w:val="20"/>
                <w:color w:val="auto"/>
              </w:rPr>
            </w:pPr>
            <w:r>
              <w:rPr>
                <w:rFonts w:ascii="Arial" w:cs="Arial" w:eastAsia="Arial" w:hAnsi="Arial"/>
                <w:sz w:val="14"/>
                <w:szCs w:val="14"/>
                <w:color w:val="0000FF"/>
              </w:rPr>
              <w:t>Form 10-K Summary</w:t>
            </w:r>
          </w:p>
        </w:tc>
        <w:tc>
          <w:tcPr>
            <w:tcW w:w="6080" w:type="dxa"/>
            <w:vAlign w:val="bottom"/>
            <w:gridSpan w:val="10"/>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83</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220" w:type="dxa"/>
            <w:vAlign w:val="bottom"/>
            <w:tcBorders>
              <w:top w:val="single" w:sz="8" w:color="0000FF"/>
            </w:tcBorders>
            <w:gridSpan w:val="6"/>
          </w:tcPr>
          <w:p>
            <w:pPr>
              <w:spacing w:after="0"/>
              <w:rPr>
                <w:sz w:val="20"/>
                <w:szCs w:val="20"/>
                <w:color w:val="auto"/>
              </w:rPr>
            </w:pPr>
            <w:r>
              <w:rPr>
                <w:rFonts w:ascii="Arial" w:cs="Arial" w:eastAsia="Arial" w:hAnsi="Arial"/>
                <w:sz w:val="14"/>
                <w:szCs w:val="14"/>
                <w:color w:val="0000FF"/>
              </w:rPr>
              <w:t>Signatures</w:t>
            </w:r>
          </w:p>
        </w:tc>
        <w:tc>
          <w:tcPr>
            <w:tcW w:w="7340" w:type="dxa"/>
            <w:vAlign w:val="bottom"/>
            <w:gridSpan w:val="15"/>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2"/>
                <w:szCs w:val="12"/>
                <w:color w:val="0000FF"/>
                <w:w w:val="74"/>
              </w:rPr>
              <w:t>84</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7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PART I</w:t>
      </w:r>
    </w:p>
    <w:p>
      <w:pPr>
        <w:spacing w:after="0" w:line="200"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the context otherwise indicates, references herein to “Pentair,” the “Company,” and such words as “we,” “us,” and “our” include Pentair plc and its consolidated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4"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At Pentair, we help the world sustainably move, improve and enjoy water, life’s most essential resource. From our residential and commercial water solutions to industrial water management and everything in between, Pentair is focused on creating a better world for people and our planet through smart, sustainable water solutions.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Pentair strategy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Our vision is to be the world’s most valued sustainable water solutions company for our employees, customers and shareholders. As a company, we:</w:t>
      </w:r>
    </w:p>
    <w:p>
      <w:pPr>
        <w:spacing w:after="0" w:line="126" w:lineRule="exact"/>
        <w:rPr>
          <w:sz w:val="20"/>
          <w:szCs w:val="20"/>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Focus on growth in our core businesses and strategic initiatives;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Accelerate digital, innovation, technology and environmental, social and governance (“ESG”) investments;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Expedite growth and drive margin expansion through our transformation program;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Build a high performance growth culture and deliver on our commitments while living our Win Right values.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 AND DEVELOPMENT</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July 28, 2022, as part of our Consumer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registered principal office is located at Regal House, 70 London Road, Twickenham, London, TW13QS United Kingdom. Our management office in the United States (“U.S.”) is located at 5500 Wayzata Boulevard, Suite 900, Golden Valley, Minnesota.</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PRODUCTS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following is a brief description of each of the Company’s 2022 reportable segments and business activities. Effective January 1, 2023, we reorganized our segments, going from two segments to three with the three segments being Pool, Water Solutions and Industrial &amp; Flow Technologies. The discussions below that speak to historical periods refer to the prior segments, while statements about present and future periods refer to the businesses underlying those segments and carry forward with those businesses (including our customers, seasonality and competition) in their re-segmented form. Additional information regarding this re-segmentation is found below under the section titled “New Segmentation.”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Consumer Solutions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Consumer Solutions segment designs, manufactures and sells energy-efficient residential and commercial pool equipment and accessories, and commercial and residential water 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commercial ice machines,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 service operations. In addition, our water solutions business also provides installation and preventative services for water management solutions for commercial operators. The primary focus of this segment is business-to-consumer.</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the fiscal year ended December 31, 2022, our pool business comprised approximately 60% of the Consumer Solutions sales. The pool business is a leader in North American pool equipment, serving an end market that is primarily replacement.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 w:name="page4"/>
    <w:bookmarkEnd w:id="3"/>
    <w:p>
      <w:pPr>
        <w:jc w:val="both"/>
        <w:spacing w:after="0" w:line="281" w:lineRule="auto"/>
        <w:rPr>
          <w:sz w:val="20"/>
          <w:szCs w:val="20"/>
          <w:color w:val="auto"/>
        </w:rPr>
      </w:pPr>
      <w:r>
        <w:rPr>
          <w:rFonts w:ascii="Arial" w:cs="Arial" w:eastAsia="Arial" w:hAnsi="Arial"/>
          <w:sz w:val="14"/>
          <w:szCs w:val="14"/>
          <w:color w:val="auto"/>
        </w:rPr>
        <w:t>The other approximately 40% of sales were from the water treatment and water solutions businesses, which sell residential and commercial components, residential systems, commercial systems and commercial ice machines.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Consumer Solutions brand names include Everpure, KBI, Kreepy Krauly, Manitowoc Ice, Pleatco, RainSoft and Sta-Rite.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Consumer Solutions customers include businesses engaged in wholesale and retail distribution in the residential and commercial vertical markets. Customers also include end-users, consumers, commercial operators and original equipment manufacturers.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One customer in the Consumer Solutions’ pool business represented approximately 20% of our consolidated net sales in 2022 and 2021.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historically experienced seasonal demand with several end-customers and end-users within Consumer Solutions. End-user demand for pool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Consumer Solutions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are competitively priced. We believe our distribution channels and reputation for quality also provide us a competitive advantage.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Industrial &amp; Flow Technologies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Industrial &amp; Flow Technologies segment manufactures and sells a variety of fluid treatment products (advanced membrane filtration, separation systems, membrane bioreactors), pumps (water supply pumps, water disposal pumps, solid handling pumps, fluid transfer pumps, turbine pumps), valves, and spray nozzles as well as systems combining these products (process filtration systems, gas recovery solutions). These products and systems serve the global residential, commercial, industrial, agricultural and infrastructure vertical markets. They are used in a range of applications, food and beverage, fluid separation technologies (oil and gas and other industries), water and wastewater treatment, water wells, pressure boosting, fire suppression, flood control, agricultural irrigation, crop spray and fluid circulation and transfer. The primary focus of this segment is business-to-business.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the fiscal year ended December 31, 2022, our residential and irrigation flow businesses comprised approximately 45% of the Industrial &amp; Flow Technologies sales. The residential and irrigation flow businesses sell pumps focused on residential and agriculture. Another approximately 25% of sales were from the commercial &amp; infrastructure flow businesses, which sell larger pumps focused on fire suppression, waste water and flood control. The remaining approximately 30% of sales were from the industrial solutions business, comprised of applications focused on industrial process filtration and sustainable gas.</w:t>
      </w:r>
    </w:p>
    <w:p>
      <w:pPr>
        <w:spacing w:after="0" w:line="78"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Industrial &amp; Flow Technologies brand names include Pentair, Aurora, Berkeley, Codeline, Fairbanks-Nijhuis, Haffmans, Hydromatic, Hypro, Jung Pumpen, Myers, Sta-Rite, Shurflo, S</w:t>
      </w:r>
      <w:r>
        <w:rPr>
          <w:rFonts w:ascii="MS PGothic" w:cs="MS PGothic" w:eastAsia="MS PGothic" w:hAnsi="MS PGothic"/>
          <w:sz w:val="14"/>
          <w:szCs w:val="14"/>
          <w:color w:val="auto"/>
        </w:rPr>
        <w:t>✔</w:t>
      </w:r>
      <w:r>
        <w:rPr>
          <w:rFonts w:ascii="Arial" w:cs="Arial" w:eastAsia="Arial" w:hAnsi="Arial"/>
          <w:sz w:val="14"/>
          <w:szCs w:val="14"/>
          <w:color w:val="auto"/>
        </w:rPr>
        <w:t>dmo and X-Flow.</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Customers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Industrial &amp; Flow Technologies customers include businesses engaged with end users, and wholesale and retail distribution in the residential, commercial, food &amp; beverage and industrial vertical markets.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 have historically experienced increased demand for residential water supply and irrigation pumps following weather trends, which historically has been at seasonal highs from April to August.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Seasonal effects may vary from year to year and are impacted by weather patterns, particularly by temperatures, heavy flooding and droughts.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Industrial &amp; Flow Technologies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are competitively priced.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NEW SEGMENTATION</w:t>
      </w:r>
    </w:p>
    <w:p>
      <w:pPr>
        <w:spacing w:after="0" w:line="193" w:lineRule="exact"/>
        <w:rPr>
          <w:sz w:val="20"/>
          <w:szCs w:val="20"/>
          <w:color w:val="auto"/>
        </w:rPr>
      </w:pPr>
    </w:p>
    <w:p>
      <w:pPr>
        <w:jc w:val="both"/>
        <w:spacing w:after="0" w:line="304" w:lineRule="auto"/>
        <w:rPr>
          <w:sz w:val="20"/>
          <w:szCs w:val="20"/>
          <w:color w:val="auto"/>
        </w:rPr>
      </w:pPr>
      <w:r>
        <w:rPr>
          <w:rFonts w:ascii="Arial" w:cs="Arial" w:eastAsia="Arial" w:hAnsi="Arial"/>
          <w:sz w:val="13"/>
          <w:szCs w:val="13"/>
          <w:color w:val="auto"/>
        </w:rPr>
        <w:t>Effective January 1, 2023, we reorganized our reporting segments to reflect how we are managing our business beginning in 2023. We believe the new alignment into three segments, Pool, Water Solutions and Industrial &amp; Flow Technologies, will help us accelerate our efforts to improve customer experiences, differentiate our products and drive profitability for our shareholders.</w:t>
      </w:r>
    </w:p>
    <w:p>
      <w:pPr>
        <w:spacing w:after="0" w:line="14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part of this reorganization, the legacy Consumer Solutions segment was divided into a Pool segment and a Water Solutions segment. The Industrial &amp; Flow Technologies segment remains the same. All segment information presented throughout this Annual Report on Form 10-K, with the exception of the table below, was prepared based on the reporting segments in place during 2022.</w:t>
      </w:r>
    </w:p>
    <w:p>
      <w:pPr>
        <w:spacing w:after="0" w:line="13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below table presents net sales and segment income under the revised reporting segments (Pool, Water Solutions, and Industrial &amp; Flow Technologies) for the years ended December 31, 2022, 2021 and 2020.</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8"/>
              </w:rPr>
              <w:t>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71"/>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2020</w:t>
            </w:r>
          </w:p>
        </w:tc>
      </w:tr>
      <w:tr>
        <w:trPr>
          <w:trHeight w:val="171"/>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Sales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7380" w:type="dxa"/>
            <w:vAlign w:val="bottom"/>
          </w:tcPr>
          <w:p>
            <w:pPr>
              <w:ind w:left="20"/>
              <w:spacing w:after="0"/>
              <w:rPr>
                <w:sz w:val="20"/>
                <w:szCs w:val="20"/>
                <w:color w:val="auto"/>
              </w:rPr>
            </w:pPr>
            <w:r>
              <w:rPr>
                <w:rFonts w:ascii="Arial" w:cs="Arial" w:eastAsia="Arial" w:hAnsi="Arial"/>
                <w:sz w:val="14"/>
                <w:szCs w:val="14"/>
                <w:color w:val="auto"/>
              </w:rPr>
              <w:t>Pool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1,632.7</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1,572.0</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1,123.5</w:t>
            </w:r>
          </w:p>
        </w:tc>
      </w:tr>
      <w:tr>
        <w:trPr>
          <w:trHeight w:val="181"/>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Water Solutions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986.8</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769.9</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619.4</w:t>
            </w:r>
          </w:p>
        </w:tc>
      </w:tr>
      <w:tr>
        <w:trPr>
          <w:trHeight w:val="180"/>
        </w:trPr>
        <w:tc>
          <w:tcPr>
            <w:tcW w:w="7380" w:type="dxa"/>
            <w:vAlign w:val="bottom"/>
          </w:tcPr>
          <w:p>
            <w:pPr>
              <w:ind w:left="20"/>
              <w:spacing w:after="0"/>
              <w:rPr>
                <w:sz w:val="20"/>
                <w:szCs w:val="20"/>
                <w:color w:val="auto"/>
              </w:rPr>
            </w:pPr>
            <w:r>
              <w:rPr>
                <w:rFonts w:ascii="Arial" w:cs="Arial" w:eastAsia="Arial" w:hAnsi="Arial"/>
                <w:sz w:val="14"/>
                <w:szCs w:val="14"/>
                <w:color w:val="auto"/>
              </w:rPr>
              <w:t>Industrial &amp; Flow Technologies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1,500.8</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1,421.4</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1,273.6</w:t>
            </w:r>
          </w:p>
        </w:tc>
      </w:tr>
      <w:tr>
        <w:trPr>
          <w:trHeight w:val="18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4,121.8</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3,764.8</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3,017.8</w:t>
            </w: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3"/>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Segment income (loss)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80"/>
        </w:trPr>
        <w:tc>
          <w:tcPr>
            <w:tcW w:w="7380" w:type="dxa"/>
            <w:vAlign w:val="bottom"/>
          </w:tcPr>
          <w:p>
            <w:pPr>
              <w:ind w:left="20"/>
              <w:spacing w:after="0"/>
              <w:rPr>
                <w:sz w:val="20"/>
                <w:szCs w:val="20"/>
                <w:color w:val="auto"/>
              </w:rPr>
            </w:pPr>
            <w:r>
              <w:rPr>
                <w:rFonts w:ascii="Arial" w:cs="Arial" w:eastAsia="Arial" w:hAnsi="Arial"/>
                <w:sz w:val="14"/>
                <w:szCs w:val="14"/>
                <w:color w:val="auto"/>
              </w:rPr>
              <w:t>Pool</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462.1</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452.7</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321.4</w:t>
            </w:r>
          </w:p>
        </w:tc>
      </w:tr>
      <w:tr>
        <w:trPr>
          <w:trHeight w:val="181"/>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Water Solutions</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w:t>
            </w:r>
          </w:p>
        </w:tc>
      </w:tr>
      <w:tr>
        <w:trPr>
          <w:trHeight w:val="180"/>
        </w:trPr>
        <w:tc>
          <w:tcPr>
            <w:tcW w:w="7380" w:type="dxa"/>
            <w:vAlign w:val="bottom"/>
          </w:tcPr>
          <w:p>
            <w:pPr>
              <w:ind w:left="20"/>
              <w:spacing w:after="0"/>
              <w:rPr>
                <w:sz w:val="20"/>
                <w:szCs w:val="20"/>
                <w:color w:val="auto"/>
              </w:rPr>
            </w:pPr>
            <w:r>
              <w:rPr>
                <w:rFonts w:ascii="Arial" w:cs="Arial" w:eastAsia="Arial" w:hAnsi="Arial"/>
                <w:sz w:val="14"/>
                <w:szCs w:val="14"/>
                <w:color w:val="auto"/>
              </w:rPr>
              <w:t>Industrial &amp; Flow Technologies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242.3</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213.3</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164.6</w:t>
            </w:r>
          </w:p>
        </w:tc>
      </w:tr>
      <w:tr>
        <w:trPr>
          <w:trHeight w:val="180"/>
        </w:trPr>
        <w:tc>
          <w:tcPr>
            <w:tcW w:w="7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w:t>
            </w: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w:t>
            </w:r>
          </w:p>
        </w:tc>
      </w:tr>
      <w:tr>
        <w:trPr>
          <w:trHeight w:val="171"/>
        </w:trPr>
        <w:tc>
          <w:tcPr>
            <w:tcW w:w="7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w:t>
            </w: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685.9</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517.6</w:t>
            </w:r>
          </w:p>
        </w:tc>
      </w:tr>
      <w:tr>
        <w:trPr>
          <w:trHeight w:val="20"/>
        </w:trPr>
        <w:tc>
          <w:tcPr>
            <w:tcW w:w="7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REGARDING ALL REPORTABLE SEGMENTS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9" w:lineRule="exact"/>
        <w:rPr>
          <w:sz w:val="20"/>
          <w:szCs w:val="20"/>
          <w:color w:val="auto"/>
        </w:rPr>
      </w:pPr>
    </w:p>
    <w:p>
      <w:pPr>
        <w:ind w:right="160"/>
        <w:spacing w:after="0" w:line="347" w:lineRule="auto"/>
        <w:rPr>
          <w:sz w:val="20"/>
          <w:szCs w:val="20"/>
          <w:color w:val="auto"/>
        </w:rPr>
      </w:pPr>
      <w:r>
        <w:rPr>
          <w:rFonts w:ascii="Arial" w:cs="Arial" w:eastAsia="Arial" w:hAnsi="Arial"/>
          <w:sz w:val="14"/>
          <w:szCs w:val="14"/>
          <w:color w:val="auto"/>
        </w:rPr>
        <w:t xml:space="preserve">We conduct research and development activities primarily in our own facilities. These efforts consist mostly of the development of new products, product applications and manufacturing processes. </w:t>
      </w:r>
      <w:r>
        <w:rPr>
          <w:rFonts w:ascii="Arial" w:cs="Arial" w:eastAsia="Arial" w:hAnsi="Arial"/>
          <w:sz w:val="14"/>
          <w:szCs w:val="14"/>
          <w:b w:val="1"/>
          <w:bCs w:val="1"/>
          <w:i w:val="1"/>
          <w:iCs w:val="1"/>
          <w:color w:val="auto"/>
        </w:rPr>
        <w:t>Raw materials</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principal materials we use in manufacturing our products are mild steel, stainless steel, electronic components (including drives and motors), plastics (resins, fiberglass, epoxies), copper and paint (powder and liquid). In addition to the purchase of raw materials, we purchase some finished goods for distribution for resale.</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purchase the materials we use in various manufacturing processes on the open market, and the majority are available through multiple sources. Supplier capabilities were stressed in 2022 and 2021 compared to previous years as a result of various degrees of supply chain challenges, including reduced labor availability and increased lead times for electronic components and other raw materials due to availability constraints and high demand. We have certain long-term commitments, principally price commitments, for the purchase of various component parts and raw materials and continue to work with our suppliers to maintain delivery continuity. Alternate sources of supply are available for most materials and we believe that the termination of any of these commitments would not have a material adverse effect on our financial position, results of operations or cash flows.</w:t>
      </w:r>
    </w:p>
    <w:p>
      <w:pPr>
        <w:spacing w:after="0" w:line="1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Certain commodities, such as metals and resins, are subject to commodity market and duty-driven price fluctuations. We manage these fluctuations through several mechanisms, including long-term agreements with price adjustment clauses for significant commodity market movements in certain circumstances. Prices for raw materials, such as metals, resins and electronics, may trend higher in the near future due to the existing inflationary market trends.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Intellectual property</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Human capital resources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believe our success depends on our ability to attract, develop and retain strong employees. We believe a deep-rooted culture energizes our employees to make a difference within and beyond the workplace. We strive to be the destination for top talent, and work hard to develop and retain high performers throughout their career. We also believe our Win Right values, positive culture and commitment to inclusion and diversity foster innovation and curiosity, which, in turn, contribute to us being an industry leader.</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As of December 31, 2022, we had approximately 11,250 employees worldwide, of which approximately 53% are located in the U.S. A small portion of our U.S. employees are unionized, while outside the U.S., we have employees in certain countries, particularly in Europe, that are represented by an employee representative organization, such as a union, works council or employee association.</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engagement and development</w:t>
      </w:r>
    </w:p>
    <w:p>
      <w:pPr>
        <w:spacing w:after="0" w:line="10"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Engaging our employees and developing their careers is important to our long-term success and ties directly to our Win Right culture and values. We engage with our employees and gather feedback about our employee programs, practices and policies through various approaches that include: town hall meetings where Pentair leaders share strategies and perspectives; quarterly leadership webcasts to help ensure our results and expectations are clearly communicated; an annual global leadership meeting to help drive growth and productivity initiatives and share best practices; and a feedback feature on our employee intranet. In addition, we periodically conduct employee engagement and culture surveys to gauge the level of engagement and actions needed on culture, engagement and retention.</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Training and development</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To support employees in their career journey, we have developed and shared through our employee intranet a number of tools and resources. These resources include: live training sessions; on-demand eLearning and virtual classrooms; and downloadable materials. Additionally, our annual talent management process allows employees to build development plans with their leaders to advance their careers.</w:t>
      </w:r>
    </w:p>
    <w:p>
      <w:pPr>
        <w:spacing w:after="0" w:line="9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talent development efforts span across all levels of our organization, including our campus Leadership Development Program, a 36-month program in which future leaders participate in rotations intended to develop their capabilities through organization-wide exposure, and our Growth Manager development programs that prepare our new and experienced managers to be more effective and inclusive leaders at Pentair.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Inclusion and diversity</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commitment to inclusion and diversity is part of living our Win Right values. Our success also depends on our ability to attract, engage and retain a diverse group of employees. We believe an inclusive and diverse workforce contributes different perspectives and innovative ideas that enable us to improve every day. We believe that every employee should be provided the same opportunity to be heard, respected, have a sense of belonging and contribute to our mission. Race, gender, ethnicity, country of origin, age, personal style, sexual orientation, physical ability, religion, life experiences and many more factors contribute to this diversity. Our Business Resource Groups have been put into place to help promote a culture of inclusion through employees providing feedback and sponsoring awareness, education and engagement.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6" w:name="page7"/>
    <w:bookmarkEnd w:id="6"/>
    <w:p>
      <w:pPr>
        <w:spacing w:after="0"/>
        <w:rPr>
          <w:sz w:val="20"/>
          <w:szCs w:val="20"/>
          <w:color w:val="auto"/>
        </w:rPr>
      </w:pPr>
      <w:r>
        <w:rPr>
          <w:rFonts w:ascii="Arial" w:cs="Arial" w:eastAsia="Arial" w:hAnsi="Arial"/>
          <w:sz w:val="13"/>
          <w:szCs w:val="13"/>
          <w:color w:val="auto"/>
        </w:rPr>
        <w:t>Our statistics are a measure of our performance, and we are committed to advancing a diverse workplace. The following sets forth information regarding the diversity of our workforce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tcPr>
          <w:p>
            <w:pPr>
              <w:jc w:val="center"/>
              <w:ind w:left="1569"/>
              <w:spacing w:after="0"/>
              <w:rPr>
                <w:sz w:val="20"/>
                <w:szCs w:val="20"/>
                <w:color w:val="auto"/>
              </w:rPr>
            </w:pPr>
            <w:r>
              <w:rPr>
                <w:rFonts w:ascii="Arial" w:cs="Arial" w:eastAsia="Arial" w:hAnsi="Arial"/>
                <w:sz w:val="14"/>
                <w:szCs w:val="14"/>
                <w:b w:val="1"/>
                <w:bCs w:val="1"/>
                <w:color w:val="auto"/>
                <w:w w:val="91"/>
              </w:rPr>
              <w:t>Percent of workforce</w:t>
            </w:r>
          </w:p>
        </w:tc>
        <w:tc>
          <w:tcPr>
            <w:tcW w:w="338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w w:val="87"/>
              </w:rPr>
              <w:t xml:space="preserve">Percent of leadership roles </w:t>
            </w:r>
            <w:r>
              <w:rPr>
                <w:rFonts w:ascii="Arial" w:cs="Arial" w:eastAsia="Arial" w:hAnsi="Arial"/>
                <w:sz w:val="18"/>
                <w:szCs w:val="18"/>
                <w:b w:val="1"/>
                <w:bCs w:val="1"/>
                <w:color w:val="auto"/>
                <w:w w:val="87"/>
                <w:vertAlign w:val="superscript"/>
              </w:rPr>
              <w:t>(3)</w:t>
            </w:r>
          </w:p>
        </w:tc>
      </w:tr>
      <w:tr>
        <w:trPr>
          <w:trHeight w:val="192"/>
        </w:trPr>
        <w:tc>
          <w:tcPr>
            <w:tcW w:w="3260" w:type="dxa"/>
            <w:vAlign w:val="bottom"/>
            <w:shd w:val="clear" w:color="auto" w:fill="CCEEFF"/>
          </w:tcPr>
          <w:p>
            <w:pPr>
              <w:ind w:left="20"/>
              <w:spacing w:after="0" w:line="192" w:lineRule="exact"/>
              <w:rPr>
                <w:sz w:val="20"/>
                <w:szCs w:val="20"/>
                <w:color w:val="auto"/>
              </w:rPr>
            </w:pPr>
            <w:r>
              <w:rPr>
                <w:rFonts w:ascii="Arial" w:cs="Arial" w:eastAsia="Arial" w:hAnsi="Arial"/>
                <w:sz w:val="14"/>
                <w:szCs w:val="14"/>
                <w:color w:val="auto"/>
              </w:rPr>
              <w:t xml:space="preserve">Minorities </w:t>
            </w:r>
            <w:r>
              <w:rPr>
                <w:rFonts w:ascii="Arial" w:cs="Arial" w:eastAsia="Arial" w:hAnsi="Arial"/>
                <w:sz w:val="18"/>
                <w:szCs w:val="18"/>
                <w:color w:val="auto"/>
                <w:vertAlign w:val="superscript"/>
              </w:rPr>
              <w:t>(1)</w:t>
            </w:r>
          </w:p>
        </w:tc>
        <w:tc>
          <w:tcPr>
            <w:tcW w:w="4640" w:type="dxa"/>
            <w:vAlign w:val="bottom"/>
            <w:shd w:val="clear" w:color="auto" w:fill="CCEEFF"/>
          </w:tcPr>
          <w:p>
            <w:pPr>
              <w:jc w:val="center"/>
              <w:ind w:left="1589"/>
              <w:spacing w:after="0"/>
              <w:rPr>
                <w:sz w:val="20"/>
                <w:szCs w:val="20"/>
                <w:color w:val="auto"/>
              </w:rPr>
            </w:pPr>
            <w:r>
              <w:rPr>
                <w:rFonts w:ascii="Arial" w:cs="Arial" w:eastAsia="Arial" w:hAnsi="Arial"/>
                <w:sz w:val="14"/>
                <w:szCs w:val="14"/>
                <w:color w:val="auto"/>
                <w:w w:val="92"/>
              </w:rPr>
              <w:t>40%</w:t>
            </w:r>
          </w:p>
        </w:tc>
        <w:tc>
          <w:tcPr>
            <w:tcW w:w="3380" w:type="dxa"/>
            <w:vAlign w:val="bottom"/>
            <w:shd w:val="clear" w:color="auto" w:fill="CCEEFF"/>
          </w:tcPr>
          <w:p>
            <w:pPr>
              <w:jc w:val="center"/>
              <w:ind w:left="49"/>
              <w:spacing w:after="0"/>
              <w:rPr>
                <w:sz w:val="20"/>
                <w:szCs w:val="20"/>
                <w:color w:val="auto"/>
              </w:rPr>
            </w:pPr>
            <w:r>
              <w:rPr>
                <w:rFonts w:ascii="Arial" w:cs="Arial" w:eastAsia="Arial" w:hAnsi="Arial"/>
                <w:sz w:val="14"/>
                <w:szCs w:val="14"/>
                <w:color w:val="auto"/>
                <w:w w:val="92"/>
              </w:rPr>
              <w:t>25%</w:t>
            </w:r>
          </w:p>
        </w:tc>
      </w:tr>
      <w:tr>
        <w:trPr>
          <w:trHeight w:val="194"/>
        </w:trPr>
        <w:tc>
          <w:tcPr>
            <w:tcW w:w="3260" w:type="dxa"/>
            <w:vAlign w:val="bottom"/>
          </w:tcPr>
          <w:p>
            <w:pPr>
              <w:ind w:left="20"/>
              <w:spacing w:after="0" w:line="194" w:lineRule="exact"/>
              <w:rPr>
                <w:sz w:val="20"/>
                <w:szCs w:val="20"/>
                <w:color w:val="auto"/>
              </w:rPr>
            </w:pPr>
            <w:r>
              <w:rPr>
                <w:rFonts w:ascii="Arial" w:cs="Arial" w:eastAsia="Arial" w:hAnsi="Arial"/>
                <w:sz w:val="14"/>
                <w:szCs w:val="14"/>
                <w:color w:val="auto"/>
              </w:rPr>
              <w:t xml:space="preserve">Women </w:t>
            </w:r>
            <w:r>
              <w:rPr>
                <w:rFonts w:ascii="Arial" w:cs="Arial" w:eastAsia="Arial" w:hAnsi="Arial"/>
                <w:sz w:val="18"/>
                <w:szCs w:val="18"/>
                <w:color w:val="auto"/>
                <w:vertAlign w:val="superscript"/>
              </w:rPr>
              <w:t>(2)</w:t>
            </w:r>
          </w:p>
        </w:tc>
        <w:tc>
          <w:tcPr>
            <w:tcW w:w="4640" w:type="dxa"/>
            <w:vAlign w:val="bottom"/>
          </w:tcPr>
          <w:p>
            <w:pPr>
              <w:jc w:val="center"/>
              <w:ind w:left="1589"/>
              <w:spacing w:after="0"/>
              <w:rPr>
                <w:sz w:val="20"/>
                <w:szCs w:val="20"/>
                <w:color w:val="auto"/>
              </w:rPr>
            </w:pPr>
            <w:r>
              <w:rPr>
                <w:rFonts w:ascii="Arial" w:cs="Arial" w:eastAsia="Arial" w:hAnsi="Arial"/>
                <w:sz w:val="14"/>
                <w:szCs w:val="14"/>
                <w:color w:val="auto"/>
                <w:w w:val="92"/>
              </w:rPr>
              <w:t>32%</w:t>
            </w:r>
          </w:p>
        </w:tc>
        <w:tc>
          <w:tcPr>
            <w:tcW w:w="3380" w:type="dxa"/>
            <w:vAlign w:val="bottom"/>
          </w:tcPr>
          <w:p>
            <w:pPr>
              <w:jc w:val="center"/>
              <w:ind w:left="49"/>
              <w:spacing w:after="0"/>
              <w:rPr>
                <w:sz w:val="20"/>
                <w:szCs w:val="20"/>
                <w:color w:val="auto"/>
              </w:rPr>
            </w:pPr>
            <w:r>
              <w:rPr>
                <w:rFonts w:ascii="Arial" w:cs="Arial" w:eastAsia="Arial" w:hAnsi="Arial"/>
                <w:sz w:val="14"/>
                <w:szCs w:val="14"/>
                <w:color w:val="auto"/>
                <w:w w:val="92"/>
              </w:rPr>
              <w:t>32%</w:t>
            </w:r>
          </w:p>
        </w:tc>
      </w:tr>
    </w:tbl>
    <w:p>
      <w:pPr>
        <w:ind w:left="160" w:hanging="141"/>
        <w:spacing w:after="0" w:line="212" w:lineRule="auto"/>
        <w:tabs>
          <w:tab w:leader="none" w:pos="160" w:val="left"/>
        </w:tabs>
        <w:numPr>
          <w:ilvl w:val="0"/>
          <w:numId w:val="4"/>
        </w:numPr>
        <w:rPr>
          <w:rFonts w:ascii="Arial" w:cs="Arial" w:eastAsia="Arial" w:hAnsi="Arial"/>
          <w:sz w:val="17"/>
          <w:szCs w:val="17"/>
          <w:color w:val="auto"/>
          <w:vertAlign w:val="superscript"/>
        </w:rPr>
      </w:pPr>
      <w:r>
        <w:rPr>
          <w:rFonts w:ascii="Arial" w:cs="Arial" w:eastAsia="Arial" w:hAnsi="Arial"/>
          <w:sz w:val="12"/>
          <w:szCs w:val="12"/>
          <w:color w:val="auto"/>
        </w:rPr>
        <w:t>Inclusive of the following racial minority groups: Black/African American, Hispanic/Latino, American Indian/Alaskan Native, Asian, Native Hawaiian/Other Pacific Islander. Data for U.S. employee population only.</w:t>
      </w:r>
    </w:p>
    <w:p>
      <w:pPr>
        <w:spacing w:after="0" w:line="39" w:lineRule="exact"/>
        <w:rPr>
          <w:rFonts w:ascii="Arial" w:cs="Arial" w:eastAsia="Arial" w:hAnsi="Arial"/>
          <w:sz w:val="17"/>
          <w:szCs w:val="17"/>
          <w:color w:val="auto"/>
          <w:vertAlign w:val="superscript"/>
        </w:rPr>
      </w:pPr>
    </w:p>
    <w:p>
      <w:pPr>
        <w:ind w:left="160" w:hanging="141"/>
        <w:spacing w:after="0" w:line="185" w:lineRule="auto"/>
        <w:tabs>
          <w:tab w:leader="none" w:pos="160" w:val="left"/>
        </w:tabs>
        <w:numPr>
          <w:ilvl w:val="0"/>
          <w:numId w:val="4"/>
        </w:numPr>
        <w:rPr>
          <w:rFonts w:ascii="Arial" w:cs="Arial" w:eastAsia="Arial" w:hAnsi="Arial"/>
          <w:sz w:val="17"/>
          <w:szCs w:val="17"/>
          <w:color w:val="auto"/>
          <w:vertAlign w:val="superscript"/>
        </w:rPr>
      </w:pPr>
      <w:r>
        <w:rPr>
          <w:rFonts w:ascii="Arial" w:cs="Arial" w:eastAsia="Arial" w:hAnsi="Arial"/>
          <w:sz w:val="12"/>
          <w:szCs w:val="12"/>
          <w:color w:val="auto"/>
        </w:rPr>
        <w:t>Global data.</w:t>
      </w:r>
    </w:p>
    <w:p>
      <w:pPr>
        <w:spacing w:after="0" w:line="40" w:lineRule="exact"/>
        <w:rPr>
          <w:rFonts w:ascii="Arial" w:cs="Arial" w:eastAsia="Arial" w:hAnsi="Arial"/>
          <w:sz w:val="17"/>
          <w:szCs w:val="17"/>
          <w:color w:val="auto"/>
          <w:vertAlign w:val="superscript"/>
        </w:rPr>
      </w:pPr>
    </w:p>
    <w:p>
      <w:pPr>
        <w:ind w:left="160" w:hanging="141"/>
        <w:spacing w:after="0" w:line="185" w:lineRule="auto"/>
        <w:tabs>
          <w:tab w:leader="none" w:pos="160" w:val="left"/>
        </w:tabs>
        <w:numPr>
          <w:ilvl w:val="0"/>
          <w:numId w:val="4"/>
        </w:numPr>
        <w:rPr>
          <w:rFonts w:ascii="Arial" w:cs="Arial" w:eastAsia="Arial" w:hAnsi="Arial"/>
          <w:sz w:val="17"/>
          <w:szCs w:val="17"/>
          <w:color w:val="auto"/>
          <w:vertAlign w:val="superscript"/>
        </w:rPr>
      </w:pPr>
      <w:r>
        <w:rPr>
          <w:rFonts w:ascii="Arial" w:cs="Arial" w:eastAsia="Arial" w:hAnsi="Arial"/>
          <w:sz w:val="12"/>
          <w:szCs w:val="12"/>
          <w:color w:val="auto"/>
        </w:rPr>
        <w:t>Leadership roles are those of employees who are director level and above.</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color w:val="auto"/>
        </w:rPr>
        <w:t>We take an integrated approach to supporting and promoting workplace inclusion and diversity including: ensuring leadership involvement and ownership; attracting and retaining diverse talent at all</w:t>
      </w:r>
    </w:p>
    <w:p>
      <w:pPr>
        <w:spacing w:after="0" w:line="42" w:lineRule="exact"/>
        <w:rPr>
          <w:sz w:val="20"/>
          <w:szCs w:val="20"/>
          <w:color w:val="auto"/>
        </w:rPr>
      </w:pPr>
    </w:p>
    <w:p>
      <w:pPr>
        <w:jc w:val="both"/>
        <w:spacing w:after="0" w:line="319" w:lineRule="auto"/>
        <w:rPr>
          <w:sz w:val="20"/>
          <w:szCs w:val="20"/>
          <w:color w:val="auto"/>
        </w:rPr>
      </w:pPr>
      <w:r>
        <w:rPr>
          <w:rFonts w:ascii="Arial" w:cs="Arial" w:eastAsia="Arial" w:hAnsi="Arial"/>
          <w:sz w:val="13"/>
          <w:szCs w:val="13"/>
          <w:color w:val="auto"/>
        </w:rPr>
        <w:t>levels; fostering a globally aware, inclusive culture; and ensuring our practices are fair and nondiscriminatory. In addition, we promote an inclusive and diverse workplace through: a training called the “The Power of Inclusion”</w:t>
      </w:r>
      <w:r>
        <w:rPr>
          <w:rFonts w:ascii="Arial" w:cs="Arial" w:eastAsia="Arial" w:hAnsi="Arial"/>
          <w:sz w:val="15"/>
          <w:szCs w:val="15"/>
          <w:color w:val="auto"/>
        </w:rPr>
        <w:t>;</w:t>
      </w:r>
      <w:r>
        <w:rPr>
          <w:rFonts w:ascii="Arial" w:cs="Arial" w:eastAsia="Arial" w:hAnsi="Arial"/>
          <w:sz w:val="13"/>
          <w:szCs w:val="13"/>
          <w:color w:val="auto"/>
        </w:rPr>
        <w:t xml:space="preserve"> Business Resource Groups led by employees; Pentair’s Code of Business Conduct and Ethics; and an Inclusion and Diversity Hub on our company’s intranet.</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 safety and wellness</w:t>
      </w:r>
    </w:p>
    <w:p>
      <w:pPr>
        <w:jc w:val="both"/>
        <w:spacing w:after="0"/>
        <w:rPr>
          <w:sz w:val="20"/>
          <w:szCs w:val="20"/>
          <w:color w:val="auto"/>
        </w:rPr>
      </w:pPr>
      <w:r>
        <w:rPr>
          <w:rFonts w:ascii="Arial" w:cs="Arial" w:eastAsia="Arial" w:hAnsi="Arial"/>
          <w:sz w:val="14"/>
          <w:szCs w:val="14"/>
          <w:color w:val="auto"/>
        </w:rPr>
        <w:t>We are committed to providing a safe workplace for all of our employees. We encourage employees to “Stop Work” anytime there is a potential concern regarding worker safety, and promote an open door policy so that all of our employees feel free to speak to their manager if there are any potential health, safety, compliance or sustainability concerns. Additionally, each site maintains a confidential reporting process, and we encourage the use of the Ethics Hotline for employees to report anonymously potential safety concerns. All locations, enterprise wide, must meet and/or exceed regulatory agency standards as applicable to each plant’s location.</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Compensation and benefits</w:t>
      </w:r>
    </w:p>
    <w:p>
      <w:pPr>
        <w:jc w:val="both"/>
        <w:spacing w:after="0" w:line="242" w:lineRule="auto"/>
        <w:rPr>
          <w:sz w:val="20"/>
          <w:szCs w:val="20"/>
          <w:color w:val="auto"/>
        </w:rPr>
      </w:pPr>
      <w:r>
        <w:rPr>
          <w:rFonts w:ascii="Arial" w:cs="Arial" w:eastAsia="Arial" w:hAnsi="Arial"/>
          <w:sz w:val="14"/>
          <w:szCs w:val="14"/>
          <w:color w:val="auto"/>
        </w:rPr>
        <w:t>In the U.S., all non-union full-time employees are eligible to receive the following benefits: short-term and long-term disability insurance; flexible and health savings accounts and wellness programs; health insurance (medical, pharmacy, dental); eight weeks paid parental leave for birth, adoptive and foster parents; two weeks paid caregiver leave; legal services; retirement benefits; stock ownership; tuition reimbursement; holidays; vacation and sick time. Union employee benefits vary by contract.</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ESG (Environmental, Social and Governance) Activities</w:t>
      </w:r>
    </w:p>
    <w:p>
      <w:pPr>
        <w:spacing w:after="0" w:line="10"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As a leading provider of water treatment and sustainable solutions and with a foundation of Win Right values, we recognize that the work we do and the products and services we provide help to improve lives and the environment around the world. Pentair strives to be a positive influence on the social and environmental issues of today. As we progress, we are focused on building on our Win Right values and culture by further contributing to the development of a sustainable and responsible society that we believe will also drive our future growth. We are also focused on further integrating our ESG goals throughout our business by creating broad accountability for our social responsibility strategy and creating shared commitments and targets. We have established a formal social responsibility program to further advance our social responsibility goals. In 2020, Pentair completed a formal ESG assessment to identify ESG topics of importance to our shareholders, customers, suppliers, employees and communities. Through engagement with these stakeholders, internal business leaders and subject matter experts, we identified ESG goals, which ultimately culminated into Pentair’s Social Responsibility Targets, which we announced in 2021.</w:t>
      </w:r>
    </w:p>
    <w:p>
      <w:pPr>
        <w:spacing w:after="0" w:line="111" w:lineRule="exact"/>
        <w:rPr>
          <w:sz w:val="20"/>
          <w:szCs w:val="20"/>
          <w:color w:val="auto"/>
        </w:rPr>
      </w:pPr>
    </w:p>
    <w:p>
      <w:pPr>
        <w:ind w:right="680"/>
        <w:spacing w:after="0" w:line="281" w:lineRule="auto"/>
        <w:rPr>
          <w:sz w:val="20"/>
          <w:szCs w:val="20"/>
          <w:color w:val="auto"/>
        </w:rPr>
      </w:pPr>
      <w:r>
        <w:rPr>
          <w:rFonts w:ascii="Arial" w:cs="Arial" w:eastAsia="Arial" w:hAnsi="Arial"/>
          <w:sz w:val="14"/>
          <w:szCs w:val="14"/>
          <w:color w:val="auto"/>
        </w:rPr>
        <w:t>Annually, we publish a corporate responsibility report on our ESG and social responsibility activities and accomplishments, which can be found on our corporate website, and which is not incorporated by reference into this Annual Report on Form 10-K.</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Matters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See ITEM 1A “Risk Factors - We are exposed to potential environmental laws, liabilities and litigation.”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Captive insurance subsidiary</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portion of our property and casualty insurance program is insured through our regulated wholly-owned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auto"/>
        </w:rPr>
        <w:t>Matters pertaining to Penwald are discussed in ITEM 8, Note 1 of the Notes to Consolidated Financial Statements – Insurance subsidiary, included in this Form 10-K.</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i w:val="1"/>
          <w:iCs w:val="1"/>
          <w:color w:val="auto"/>
        </w:rPr>
        <w:t>Available information</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make available free of charge (other than an investor’s own Internet access charges) through our Internet website (</w:t>
      </w:r>
      <w:r>
        <w:rPr>
          <w:rFonts w:ascii="Arial" w:cs="Arial" w:eastAsia="Arial" w:hAnsi="Arial"/>
          <w:sz w:val="14"/>
          <w:szCs w:val="14"/>
          <w:u w:val="single" w:color="auto"/>
          <w:color w:val="auto"/>
        </w:rPr>
        <w:t>https://www.pentair.com</w:t>
      </w:r>
      <w:r>
        <w:rPr>
          <w:rFonts w:ascii="Arial" w:cs="Arial" w:eastAsia="Arial" w:hAnsi="Arial"/>
          <w:sz w:val="14"/>
          <w:szCs w:val="14"/>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the SEC maintains an internet site that contains reports, proxy and information statements, and other information regarding issuers that file electronically with the SEC, and you may access any materials we file with the SEC through their website at www.sec.gov.</w:t>
      </w:r>
    </w:p>
    <w:p>
      <w:pPr>
        <w:spacing w:after="0" w:line="8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tab/>
        <w:t>RISK FACTORS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Business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global economic and business conditions affect demand for our products.</w:t>
      </w:r>
    </w:p>
    <w:p>
      <w:pPr>
        <w:jc w:val="both"/>
        <w:spacing w:after="0" w:line="281" w:lineRule="auto"/>
        <w:rPr>
          <w:sz w:val="20"/>
          <w:szCs w:val="20"/>
          <w:color w:val="auto"/>
        </w:rPr>
      </w:pPr>
      <w:r>
        <w:rPr>
          <w:rFonts w:ascii="Arial" w:cs="Arial" w:eastAsia="Arial" w:hAnsi="Arial"/>
          <w:sz w:val="12"/>
          <w:szCs w:val="12"/>
          <w:color w:val="auto"/>
        </w:rPr>
        <w:t>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In particular, during 2021, we had higher than anticipated demand in our pool business and certain parts of our residential and commercial businesses. However, such demand in our pool and other residential businesses declined during 2022 and may not be repeated in future periods. Important factors for our businesses and the businesses of our customers include the overall strength of the global economy and various regional economies and our customers’ confidence in these economies, industrial and governmental capital spending, the strength of residential and commercial real estate markets, residential housing markets, the commercial business climate, global supply chain stability, unemployment rates, availability of consumer and commercial financing, interest rates, inflation rates, and energy and commodity prices. Recessions, economic downturns, inflation, slowing economic growth and social and political instability in the industries and/or markets where we compete could negatively affect our revenues and financial performance in future periods, result in future restructuring charges, and adversely impact our ability to grow or sustain our business. For example, current macroeconomic and political instability caused by global supply chain disruptions, inflation, the strengthening of the U.S. dollar and the conflict between Russia and Ukraine, have and could continue to adversely impact our results of operations. 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b w:val="1"/>
          <w:bCs w:val="1"/>
          <w:i w:val="1"/>
          <w:iCs w:val="1"/>
          <w:color w:val="auto"/>
        </w:rPr>
        <w:t>We compete in attractive markets with a high level of competition, which may result in pressure on our profit margins and limit our ability to maintain or increase the market share of our products.</w:t>
      </w:r>
    </w:p>
    <w:p>
      <w:pPr>
        <w:jc w:val="both"/>
        <w:spacing w:after="0" w:line="256" w:lineRule="auto"/>
        <w:rPr>
          <w:sz w:val="20"/>
          <w:szCs w:val="20"/>
          <w:color w:val="auto"/>
        </w:rPr>
      </w:pPr>
      <w:r>
        <w:rPr>
          <w:rFonts w:ascii="Arial" w:cs="Arial" w:eastAsia="Arial" w:hAnsi="Arial"/>
          <w:sz w:val="13"/>
          <w:szCs w:val="13"/>
          <w:color w:val="auto"/>
        </w:rPr>
        <w:t>The markets for our products and services are geographically diverse and highly competitive. We compete against large and well-established national and global companies, regional and local companies, diversified and pure-play companies, and lower cost manufacturers. Competition may also result from new entrants into the markets we serve offering products and/or services that compete with ours. We compete based on technical expertise, intellectual property, reputation for quality and reliability, timeliness of delivery, previous installation history, contractual terms, service offerings, customer experience and service, and price. Some of our competitors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adoption of new technology and connected products, and changes in customers’ preferences for our products, including the success of products offered by our competitors. Customer purchasing behavior may also shift by product mix in the market or result in a shift to new distribution channels. If we are unable to continue to differentiate our products, services and solutions or adapt to changes in customer purchasing behavior or shifts in distribution channels, or if we are unable to maintain our desired pricing or forced to incur additional costs to remain competitive, it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8" w:name="page9"/>
    <w:bookmarkEnd w:id="8"/>
    <w:p>
      <w:pPr>
        <w:jc w:val="both"/>
        <w:spacing w:after="0" w:line="260" w:lineRule="auto"/>
        <w:rPr>
          <w:sz w:val="20"/>
          <w:szCs w:val="20"/>
          <w:color w:val="auto"/>
        </w:rPr>
      </w:pPr>
      <w:r>
        <w:rPr>
          <w:rFonts w:ascii="Arial" w:cs="Arial" w:eastAsia="Arial" w:hAnsi="Arial"/>
          <w:sz w:val="14"/>
          <w:szCs w:val="14"/>
          <w:b w:val="1"/>
          <w:bCs w:val="1"/>
          <w:i w:val="1"/>
          <w:iCs w:val="1"/>
          <w:color w:val="auto"/>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operate in global markets that are characterized by customer demand that is often global in scope but localized in delivery. We compete with thousands of smaller regional and local companies that may be positioned to offer products produced at lower cost than ours, or to capitalize on highly localized relationships and knowledge that are difficult for us to replicate. Also, in several emerging markets, potential customers prefer local suppliers, in some cases because of existing relationships and in other cases because of local legal restrictions or incentives that favor local businesses. In addition, we need to be flexible to adapt our products to ever changing customer preferences, including those relating to regulatory, climate change and social responsibility matters. Accordingly, our future success depends upon a number of factors, including our ability to transform and adapt our products, services, solutions, organization, workforce and sales strategies to fit localities throughout the world, particularly in high growth emerging markets; identify emerging technological and other trends in our target end markets; and develop or acquire competitive technologies, products, services, and solutions and bring them to market quickly and cost-effectively. The failure to effectively adapt our products, services, or solutions could have a material adverse effect on our business, financial condition, results of operations and cash flows.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We may not be able to identify, finance and complete suitable acquisitions and investments, and any completed acquisitions and investments may be unsuccessful or consume significant resources.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Acquisitions and investments may involve significant cash expenditures, debt incurrences, equity issuances, operating losses and expenses. Acquisitions involve numerous other risks, including:</w:t>
      </w:r>
    </w:p>
    <w:p>
      <w:pPr>
        <w:spacing w:after="0" w:line="107"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diversion of management time and attention from daily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difficulties integrating acquired businesses, technologies and personnel into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difficulties in obtaining and verifying the financial statements and other business information of acquired businesses;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inability to obtain required regulatory approvals;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potential loss of key employees, key contractual relationships or key customers of acquired companies or of ours;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assumption of the liabilities and exposure to unforeseen liabilities of acquired companies;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dilution of interests of holders of our shares through the issuance of equity securities or equity-linked securities.</w:t>
      </w:r>
    </w:p>
    <w:p>
      <w:pPr>
        <w:spacing w:after="0" w:line="14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It may be difficult for us to integrate acquired businesses efficiently into our business operations. Any acquisitions or investments may not be successful or realize the intended benefits and may ultimately result in impairment charges or have a material adverse effect on our business, financial condition,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achieve some or all of the expected benefits of our business initiatives.</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During 2022 and 2021, we initiated and continued execution of certain business initiatives aimed at reducing our fixed cost structure and realigning our business. During 2021, we also launched and committed resources to a program designed to accelerate growth and drive margin expansion through transformation of our business model to drive operational excellence, reduce complexity and streamline our processes. As a result, we have incurred and expect to continue to incur in the future substantial expense, including transformation costs that include professional services, project management and related design and execution charges, as well as costs related to both labor and non-labor restructuring and IT investments, and restructuring charges. We may not be able to achieve accelerated growth and margin expansion or operating efficiencies to reduce costs or realize benefits that we anticipated in connection with these initiatives. If we are unable to execute these initiatives as planned, we may not realize all or any of the anticipated benefits, which could have a material adverse effect on our business, financial condition, results of operations and cash flows</w:t>
      </w:r>
      <w:r>
        <w:rPr>
          <w:rFonts w:ascii="Arial" w:cs="Arial" w:eastAsia="Arial" w:hAnsi="Arial"/>
          <w:sz w:val="13"/>
          <w:szCs w:val="13"/>
          <w:color w:val="auto"/>
        </w:rPr>
        <w: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i w:val="1"/>
          <w:iCs w:val="1"/>
          <w:color w:val="auto"/>
        </w:rPr>
        <w:t>We may experience cost and other inflation.</w:t>
      </w:r>
    </w:p>
    <w:p>
      <w:pPr>
        <w:spacing w:after="0" w:line="10"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During 2022 and 2021, we experienced inflationary cost increases of raw materials, such as metals, resins and electronics (including drives and motors), as well as increases in logistics, energy, insurance and labor costs (including wages, pension and health care), and we expect inflationary cost increases to continue in 2023. We strive for productivity improvements and implement increases in selling prices to help mitigate cost increases. We continue to implement operational initiatives to mitigate the impacts of inflation and continuously reduce our costs. However, these actions may not be successful in managing our costs or increasing our productivity and we anticipate inflation to continue with respect to materials (especially resins, copper, steel, stainless steel and electronics) as well as labor and logistics. Continued cost inflation or failure of our initiatives to increase prices, generate cost savings or improve productivity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Interruption of our supply chain could affect our ability to produce or deliver our products and could negatively impact our business and profitability.</w:t>
      </w:r>
    </w:p>
    <w:p>
      <w:pPr>
        <w:spacing w:after="0" w:line="1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During 2022 and 2021, we experienced supply chain challenges, including increased lead times for raw materials due to availability constraints and high demand for these materials. These disruptions or our failure to effectively respond to them have increased and may continue to increase product, logistics or labor costs, limit availability of raw materials or cause delays in delivering our backlog or may cause an inability to deliver products to our customers or meet customer demand. While we have elevated our engagement with our suppliers and used secondary suppliers and new methods of procurement where available to mitigate the supply chain pressures, we expect supply chain challenges to continue in 2023. Any material interruption in our supply chain, such as material interruption of the supply of raw materials and components due to the casualty loss of any of our manufacturing plants; interruptions in service by our third-party logistic service providers or common carriers that ship goods within our distribution channels; unexpected delays in shipping or processing through customs of goods; trade restrictions, such as increased tariffs or quotas, embargoes or customs restrictions; or other unexpected or uncontrollable events that cause a material interruption in our supply chain such as pandemics (including COVID-19); social or labor unrest; natural disasters or political disputes and military conflicts; could negatively affect our ability to produce or deliver our products and have a negative material impact on our business and our profitability. Additionally, our raw materials and components are sourced from a wide variety of domestic and international business partners. We rely on these suppliers to provide high quality products and to comply with applicable laws. Our ability to find qualified suppliers who meet our standards and supply products in a timely and efficient manner may be a challenge, especially with respect to raw materials and components sourced from outside the U.S. and from countries or regions with diminished infrastructure, developing or failing economies or which are experiencing political instability or social unrest. For certain products, we may rely on one or very few suppliers. A supplier's failure to meet our standards, provide products in a timely and efficient manner, or comply with applicable laws is beyond our control. In addition, our competitors may be less reliant on third-party suppliers than we are, which may give such competitors more control over their supply chain and lead times for manufacturing products. These issues could have a material adverse effect on our business, financial condition, results of operations and cash flows.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COVID-19 pandemic may have a material negative impact on our business, financial condition, results of operations and cash flows.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business and financial results have been and may continue to be negatively impacted by the COVID-19 pandemic and its repercussions. The severity, magnitude and duration of the current COVID-19 pandemic remains uncertain, rapidly changing and hard to predict. In 2022, 2021 and 2020, the COVID-19 pandemic significantly impacted economic activity and markets around the world and our business, and it may negatively impact our business in numerous ways, including but not limited to those outlined below:</w:t>
      </w:r>
    </w:p>
    <w:p>
      <w:pPr>
        <w:spacing w:after="0" w:line="105"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3"/>
          <w:szCs w:val="13"/>
          <w:color w:val="auto"/>
        </w:rPr>
      </w:pPr>
      <w:r>
        <w:rPr>
          <w:rFonts w:ascii="Arial" w:cs="Arial" w:eastAsia="Arial" w:hAnsi="Arial"/>
          <w:sz w:val="13"/>
          <w:szCs w:val="13"/>
          <w:color w:val="auto"/>
        </w:rPr>
        <w:t>Due to the impacts of the COVID-19 pandemic, we have experienced and may continue to experience reductions in customer demand for certain products and in certain end-markets.</w:t>
      </w:r>
    </w:p>
    <w:p>
      <w:pPr>
        <w:spacing w:after="0" w:line="147" w:lineRule="exact"/>
        <w:rPr>
          <w:rFonts w:ascii="Arial" w:cs="Arial" w:eastAsia="Arial" w:hAnsi="Arial"/>
          <w:sz w:val="13"/>
          <w:szCs w:val="13"/>
          <w:color w:val="auto"/>
        </w:rPr>
      </w:pPr>
    </w:p>
    <w:p>
      <w:pPr>
        <w:jc w:val="both"/>
        <w:ind w:left="520" w:hanging="260"/>
        <w:spacing w:after="0" w:line="267"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workforce may be unable or unwilling to work on-site or travel as a result of the continuing pandemic and related vaccine requirements, event cancellations, facility closures, shelter-in-place, travel and other restrictions and changes in industry practice, or if they, their co-workers or their family members become ill or otherwise require care arrangements. In addition, we have experienced disruptions at some of our facilities with higher absenteeism due to the COVID-19 pandemic.</w:t>
      </w:r>
    </w:p>
    <w:p>
      <w:pPr>
        <w:spacing w:after="0" w:line="99" w:lineRule="exact"/>
        <w:rPr>
          <w:rFonts w:ascii="Arial" w:cs="Arial" w:eastAsia="Arial" w:hAnsi="Arial"/>
          <w:sz w:val="14"/>
          <w:szCs w:val="14"/>
          <w:color w:val="auto"/>
        </w:rPr>
      </w:pPr>
    </w:p>
    <w:p>
      <w:pPr>
        <w:jc w:val="both"/>
        <w:ind w:left="520" w:hanging="260"/>
        <w:spacing w:after="0" w:line="258"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color w:val="auto"/>
        </w:rPr>
        <w:t>Government or regulatory responses to the COVID-19 pandemic have and may continue to negatively impact our business. Mandatory lockdowns or other restrictions on operations in some countries have previously temporarily disrupted our ability to manufacture in or distribute our products to or from some of these markets. A reoccurrence of these disruptions could materially adversely impact our operations and results. In addition to existing travel restrictions, jurisdictions may continue to close borders, impose increased vaccine or testing requirements, prolong quarantines and further restrict travel and business activity. These actions could cause related supply chain delays, which could significantly impact our ability to support our operations and customers, meet demand, develop new products, ship our backlog, impact the ability of our employees to get to their workplaces to produce products and services, or significantly hamper our products from moving through the supply chain.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0" w:name="page11"/>
    <w:bookmarkEnd w:id="10"/>
    <w:p>
      <w:pPr>
        <w:jc w:val="both"/>
        <w:spacing w:after="0" w:line="284" w:lineRule="auto"/>
        <w:rPr>
          <w:sz w:val="20"/>
          <w:szCs w:val="20"/>
          <w:color w:val="auto"/>
        </w:rPr>
      </w:pPr>
      <w:r>
        <w:rPr>
          <w:rFonts w:ascii="Arial" w:cs="Arial" w:eastAsia="Arial" w:hAnsi="Arial"/>
          <w:sz w:val="13"/>
          <w:szCs w:val="13"/>
          <w:color w:val="auto"/>
        </w:rPr>
        <w:t>We may not be able to predict or respond to all impacts of the COVID-19 pandemic on a timely basis to prevent near- or long-term adverse impacts to our results. There still remains much uncertainty around the COVID-19 pandemic and its duration, severity and ultimate impact; therefore, any negative impact on our business, financial condition (including without limitation our liquidity), results of operations and cash flows cannot be reasonably estimated at this time, but the COVID-19 pandemic could lead to extended disruption of economic activity and the impact on our business, financial condition, results of operations and cash flows could be material. The foregoing and other impacts of the COVID-19 pandemic could have the effect of heightening many of the other risks described herein and any of these impacts could materially adversely affect our business, financial condition, results of operations and 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political, regulatory, economic, trade, and other risks that arise from operating a multinational business.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Sales outside of the U.S. for the year ended December 31, 2022 accounted for 29% of our net sales. Further, most of our businesses obtain some products, components and raw materials from non-U.S. suppliers. Accordingly, our business is subject to the political, regulatory, economic, trade, and other risks that are inherent in operating in, and purchasing from, numerous countries. These risks include:</w:t>
      </w:r>
    </w:p>
    <w:p>
      <w:pPr>
        <w:spacing w:after="0" w:line="105" w:lineRule="exact"/>
        <w:rPr>
          <w:sz w:val="20"/>
          <w:szCs w:val="20"/>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general economic and political conditions in countries where we operate, particularly in emerging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relatively more severe economic conditions in some international markets than in the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imposition of sanctions, tariffs, duties, exchange controls, currency restrictions or other trade restrictions;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tax treaties, laws or rulings that could have a material adverse impact on our effective tax rate;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difficulty of enforcing agreements and collecting receivables through non-U.S. legal systems;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difficulty of communicating and monitoring evolving standards and directives across our product lines, services, and global facilities;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difficulty of ensuring that our products, services and supply chains meet ever-changing regional regulations and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trade protection measures and import or export licensing requirements and restrictions;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possibility of military conflicts or terrorist action affecting us, our operations, supply chains or our end-markets;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threat of nationalization and expropriation;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due to nationalist consumer sentiment;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difficulty in staffing and managing widespread operations in non-U.S. labor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limitations on repatriation of earnings or other regionally-imposed capital requirements;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difficulty of protecting intellectual property in non-U.S. countries;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changes in and required compliance with a variety of non-U.S. laws and regulations, some of which may be incompatible.</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success depends in part on our ability to anticipate and effectively manage these and other risks. We cannot assure that these and other factors will not have a material adverse effect on our international operations or on our business as a whole.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U.S. or foreign government administrative policy, including changes to existing trade agreements, could have a material adverse effect on us.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As a result of changes to U.S. or foreign government administrative policy, there may be changes to existing trade agreements; greater restrictions on free trade generally; significant increases in tariffs on goods including those imported into the U.S., particularly tariffs on products manufactured in Mexico, China, or other countries where we purchase, have operations or manufacture or sell products; prohibitions or restrictions on doing business with certain entities, including those with certain relationships with China; and adverse responses by foreign governments to U.S. trade policy, among other possible changes. It remains unclear what the U.S. administration or foreign governments, including China, will or will not do with respect to tariffs or international trade agreements and policies. A trade war; other governmental action related to tariffs or international trade agreements; changes in U.S. social, political, regulatory and economic conditions or in laws and policies governing foreign trade, manufacturing, development and investment in the territories and countries where we currently purchase, have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1" w:name="page12"/>
    <w:bookmarkEnd w:id="11"/>
    <w:p>
      <w:pPr>
        <w:jc w:val="both"/>
        <w:spacing w:after="0" w:line="281" w:lineRule="auto"/>
        <w:rPr>
          <w:sz w:val="20"/>
          <w:szCs w:val="20"/>
          <w:color w:val="auto"/>
        </w:rPr>
      </w:pPr>
      <w:r>
        <w:rPr>
          <w:rFonts w:ascii="Arial" w:cs="Arial" w:eastAsia="Arial" w:hAnsi="Arial"/>
          <w:sz w:val="14"/>
          <w:szCs w:val="14"/>
          <w:color w:val="auto"/>
        </w:rPr>
        <w:t>or manufacture and sell products; and any resulting negative sentiments towards the U.S. as a result of such changes, could have a material adverse effect on our business, financial condition, results of operations and cash flows.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challenges may hinder our ability to develop, engineer and market our products.</w:t>
      </w:r>
    </w:p>
    <w:p>
      <w:pPr>
        <w:spacing w:after="0" w:line="19" w:lineRule="exact"/>
        <w:rPr>
          <w:sz w:val="20"/>
          <w:szCs w:val="20"/>
          <w:color w:val="auto"/>
        </w:rPr>
      </w:pPr>
    </w:p>
    <w:p>
      <w:pPr>
        <w:jc w:val="both"/>
        <w:spacing w:after="0" w:line="265" w:lineRule="auto"/>
        <w:rPr>
          <w:sz w:val="20"/>
          <w:szCs w:val="20"/>
          <w:color w:val="auto"/>
        </w:rPr>
      </w:pPr>
      <w:r>
        <w:rPr>
          <w:rFonts w:ascii="Arial" w:cs="Arial" w:eastAsia="Arial" w:hAnsi="Arial"/>
          <w:sz w:val="13"/>
          <w:szCs w:val="13"/>
          <w:color w:val="auto"/>
        </w:rPr>
        <w:t>Patents, non-compete agreements, proprietary technologies, customer relationships, trademarks, trade names, and brand names are important to our business. Intellectual property protections, however, may not preclude competitors from developing products similar to ours, or from challenging our names or products. Our pending patent, copyright, and trademark registration applications, may not be accepted, or competitors may challenge the validity or scope of our patents, copyrights or trademarks. In addition, our patents, copyrights, trademarks and other intellectual property rights may not provide us a significant competitive advantage. Furthermore, our business strategy also includes expanding our smart products and Internet of Things offerings and there are many other companies that hold patents in this space. Over the past few years, we have noticed an increasing tendency for participants in our markets, including competitors, to use challenges to intellectual property as a means to compete. Patent and trademark challenges increase our costs to develop, engineer and market our products. We may need to spend significant resources monitoring, enforcing and defending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have significant goodwill and intangible assets and future impairment of our goodwill and intangible assets could have a material adverse effect on our results of operations.</w:t>
      </w:r>
    </w:p>
    <w:p>
      <w:pPr>
        <w:spacing w:after="0" w:line="31"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We test goodwill and other indefinite-lived intangible assets for impairment on at least an annual basis, and more frequently if circumstances warrant. As of December 31, 2022, our goodwill and intangible assets were $4,347.2 million and represented 67% of our total assets. Declines in fair market value could result in future goodwill and intangible asset impairment charges.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loss of, or material cancellation, reduction, or delay in purchases by or delivery of products to, one or more of our largest customers could harm our business.</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 xml:space="preserve">Our net sales to our largest customer represented approximately </w:t>
      </w:r>
      <w:r>
        <w:rPr>
          <w:rFonts w:ascii="Arial" w:cs="Arial" w:eastAsia="Arial" w:hAnsi="Arial"/>
          <w:sz w:val="11"/>
          <w:szCs w:val="11"/>
          <w:color w:val="auto"/>
        </w:rPr>
        <w:t>20%</w:t>
      </w:r>
      <w:r>
        <w:rPr>
          <w:rFonts w:ascii="Arial" w:cs="Arial" w:eastAsia="Arial" w:hAnsi="Arial"/>
          <w:sz w:val="13"/>
          <w:szCs w:val="13"/>
          <w:color w:val="auto"/>
        </w:rPr>
        <w:t xml:space="preserve"> of our consolidated net sales in 2022. While we do not have any other customers that accounted for more than 10% of our consolidated net sales in 2022,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or a delay in purchases of our products. In addition, our customers may cancel orders for purchases of our products or may not order products at rates consistent with past order levels, including due to inventory rebalancing or corrections in channels. In addition, we may not be able to timely deliver products to our largest customers due to supply chain interruptions or otherwise. We cannot provide assurance that we will be able to retain our largest customers. In addition, some of our customers may shift their purchases to our competitors in the future. The loss of one or more of our largest customers, any material cancellation, reduction, or delay in purchases by or delivery of products to these customers, or our inability to successfully develop relationships with additional customers could have a material adverse effect on our business, financial condition, results of operations and cash flows.</w:t>
      </w:r>
    </w:p>
    <w:p>
      <w:pPr>
        <w:spacing w:after="0" w:line="171" w:lineRule="exact"/>
        <w:rPr>
          <w:sz w:val="20"/>
          <w:szCs w:val="20"/>
          <w:color w:val="auto"/>
        </w:rPr>
      </w:pPr>
    </w:p>
    <w:p>
      <w:pPr>
        <w:jc w:val="both"/>
        <w:spacing w:after="0" w:line="246" w:lineRule="auto"/>
        <w:rPr>
          <w:sz w:val="20"/>
          <w:szCs w:val="20"/>
          <w:color w:val="auto"/>
        </w:rPr>
      </w:pPr>
      <w:r>
        <w:rPr>
          <w:rFonts w:ascii="Arial" w:cs="Arial" w:eastAsia="Arial" w:hAnsi="Arial"/>
          <w:sz w:val="14"/>
          <w:szCs w:val="14"/>
          <w:b w:val="1"/>
          <w:bCs w:val="1"/>
          <w:i w:val="1"/>
          <w:iCs w:val="1"/>
          <w:color w:val="auto"/>
        </w:rPr>
        <w:t>Catastrophic and other events beyond our control may disrupt operations at our manufacturing facilities and those of our suppliers, which could cause us to be unable to meet customer demands or increase our costs, or reduce customer spending.</w:t>
      </w:r>
    </w:p>
    <w:p>
      <w:pPr>
        <w:jc w:val="both"/>
        <w:spacing w:after="0" w:line="257" w:lineRule="auto"/>
        <w:rPr>
          <w:sz w:val="20"/>
          <w:szCs w:val="20"/>
          <w:color w:val="auto"/>
        </w:rPr>
      </w:pPr>
      <w:r>
        <w:rPr>
          <w:rFonts w:ascii="Arial" w:cs="Arial" w:eastAsia="Arial" w:hAnsi="Arial"/>
          <w:sz w:val="13"/>
          <w:szCs w:val="13"/>
          <w:color w:val="auto"/>
        </w:rPr>
        <w:t>If operations at any of our manufacturing facilities or those of our suppliers were to be disrupted as a result of significant equipment failures, natural disasters, earthquakes, power outages, fires, explosions, terrorism, military conflicts, cybersecurity attacks, adverse weather conditions, labor disputes, public health epidemics (including the COVID-19 pandemic) or other catastrophic events or disruptions outside of our control, we may be unable to fill customer orders and otherwise meet customer demand for our products. In particular, our pool business operations in North Carolina and California are in areas that are more susceptible to natural disasters such as hurricanes, wildfires, and earthquakes. These types of events may negatively impact residential, commercial and industrial spending in impacted regions or, depending on the severity, global spending. As a result, any of such events could have a material adverse effect on our business, financial condition, results of operations and cash flows. We maintain property insurance that we believe to be adequate to provide for reconstruction of facilities and equipment, and to cover business interruption losses resulting from any production interruption or shutdown caused by an insured loss. However, any recovery under our insurance policies may not offset the lost sales or increased costs that may be experienced during the disruption of operations, which could have a material adverse effect on our business, financial condition, results of operations and cash flows.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Seasonality of sales and weather conditions could have a material adverse effect on our financial results.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experience seasonal demand with end-customers and end-users within each of our business segments. Demand for pool equipment in the pool business within the Consumer Solutions segment and residential water supply, infrastructure and agricultural products in the businesses within the Industrial &amp; Flow Technologies segment follows warm weather trends and is at seasonal highs from April to August. While historically we have attempted to mitigate the magnitude of the sales spikes 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14"/>
          <w:szCs w:val="14"/>
          <w:color w:val="auto"/>
        </w:rPr>
        <w:t>the pool business and in the businesses within the Industrial &amp; Flow Technologies segment by employing some advance sale “early buy” programs (generally including extended payment terms and/or additional discounts), we cannot provide any assurance that should we use such programs in the future they will be successful. In addition, seasonal effects in the pool business and in the businesses within the Industrial &amp; Flow Technologies segment may vary from year to year and be impacted by weather patterns, particularly by temperature, heavy flooding and droughts. Moreover, adverse weather conditions, such as cold or wet weather, may negatively impact demand for, and sales of, pool equipment in the pool business and residential water supply, commercial, infrastructure and agricultural products in the businesses within the Industrial &amp; Flow Technologies segment.</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Volatility in currency exchange rates could have a material adverse effect on our financial condition, results of operations and cash flows.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Sales outside of the U.S. for the year ended December 31, 2022 accounted for 29%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During 2022, we experienced a reduction in revenue and profits as a result of the significant strengthening of the U.S. dollar against foreign currencies.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Our Debt and Financial Markets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Increased leverage may harm our business, financial condition and results of operations.</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As of December 31, 2022, we had $2,339.3 million of total debt outstanding on a consolidated basis. Our indebtedness increased materially in connection with our acquisition of Manitowoc Ice, which we funded with approximately $1.6 billion of new indebtedness. We and our subsidiaries may incur additional indebtedness in the future, subject to restrictions in our debt agreements. Our increased level of indebtedness and any future increases in our level of indebtedness may have important effects on our future operations, including, without limitation:</w:t>
      </w:r>
    </w:p>
    <w:p>
      <w:pPr>
        <w:spacing w:after="0" w:line="88"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will have additional cash requirements in order to support the payment of interest on our outstanding indebtedness;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increases in our outstanding indebtedness and leverage may increase our vulnerability to adverse changes in general economic and industry conditions, as well as to competitive pressure;</w:t>
      </w:r>
    </w:p>
    <w:p>
      <w:pPr>
        <w:spacing w:after="0" w:line="159" w:lineRule="exact"/>
        <w:rPr>
          <w:rFonts w:ascii="Arial" w:cs="Arial" w:eastAsia="Arial" w:hAnsi="Arial"/>
          <w:sz w:val="12"/>
          <w:szCs w:val="12"/>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ability to obtain additional financing for working capital, capital expenditures, general corporate and other purposes may be reduced;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flexibility in planning for, or reacting to, changes in our business and our industry may be reduced;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flexibility to make acquisitions and develop technology may be limited.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ability to make payments of principal and interest on and to refinance our indebtedness, including our existing debt as well as any future debt that we may incur, will depend on our ability to generate cash in the future from operations, financings or asset sales. Our ability to generate cash is subject to general economic conditions and financial, business and other factors affecting our operations, many of which are beyond our control. If we are unable to generate sufficient cash flow from operations in the future to service our debt and meet our other cash requirements, we may be required, among other things:</w:t>
      </w:r>
    </w:p>
    <w:p>
      <w:pPr>
        <w:spacing w:after="0" w:line="103"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seek additional financing in the debt or equity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refinance or restructure all or a portion of our indebtedness;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sell selected assets or businesses; 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reduce or delay planned capital or operating expenditures.</w:t>
      </w:r>
    </w:p>
    <w:p>
      <w:pPr>
        <w:spacing w:after="0" w:line="12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Such measures might not be sufficient to enable us to service our debt and meet our other cash requirements. In addition, any such financing, refinancing or sale of assets might not be available at all or on economically favorable terms.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Covenants in our debt instruments may adversely affect us.</w:t>
      </w:r>
    </w:p>
    <w:p>
      <w:pPr>
        <w:spacing w:after="0" w:line="1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Our credit agreements and indentures contain customary financial covenants, including those that limit the amount of our debt, which may restrict the operations of our business and our ability to incur additional debt to finance acquisitions. Our ability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3" w:name="page14"/>
    <w:bookmarkEnd w:id="13"/>
    <w:p>
      <w:pPr>
        <w:jc w:val="both"/>
        <w:spacing w:after="0" w:line="284" w:lineRule="auto"/>
        <w:rPr>
          <w:sz w:val="20"/>
          <w:szCs w:val="20"/>
          <w:color w:val="auto"/>
        </w:rPr>
      </w:pPr>
      <w:r>
        <w:rPr>
          <w:rFonts w:ascii="Arial" w:cs="Arial" w:eastAsia="Arial" w:hAnsi="Arial"/>
          <w:sz w:val="13"/>
          <w:szCs w:val="13"/>
          <w:color w:val="auto"/>
        </w:rPr>
        <w:t>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We may increase our debt or raise additional capital, our credit ratings may be downgraded in the future, or our interest rates may increase, each of which could affect our financial condition, and may decrease our profitability.</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As of December 31, 2022, we had $2,339.3 million of total debt outstanding on a consolidated basis.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or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interest rates if the ratings for our debt are downgraded. To the extent that our interest rates increase, our interest expense will increase, which could adversely affect our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Disruptions in the financial markets could adversely affect us, our customers and our suppliers by increasing funding costs or reducing availability of credit.</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products or for customers to purchase products or commence new projects, as suppliers and customers may experience increased costs of debt financing or difficulties in obtaining debt financing. Disruptions in the financial markets have had adverse effects on other areas of the economy and have led to a slowdown in general economic activity that may continue to adversely affect our businesses. One or more of these factors could adversely affect our business, financial condition,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Relating to Legal, Regulatory and Compliance Matters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Violations of the U.S. Foreign Corrupt Practices Act, U.K. Bribery Act, and other anti-corruption laws outside the U.S. could have a material adverse effect on us.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U.S. Foreign Corrupt Practices Act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We cannot assure that our internal control policies and procedures will always protect us from negligent, reckless or criminal acts committed by our employees or third-party intermediaries. In the event that we believe or have reason to believe that our employees, customers, or agents have or may have violated applicable anti-corruption laws, including the FCPA, we may be required to investigate the relevant facts and circumstances, which can be expensive and require significant time and attention from senior management. Violations of these laws may require self-disclosure to government agencies and result in criminal or civil sanctions, which could disrupt our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business and result in a material adverse effect on our reputation, business, financial condition, results of operations and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failure to satisfy international trade compliance regulations, and changes in U.S. government and other applicable sanctions, could have a material adverse effect on us.</w:t>
      </w:r>
    </w:p>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Our global operations require importing and exporting goods and technology across international borders on a regular basis. Certain of the products we sell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policy mandates strict compliance with U.S. and non-U.S. trade laws applicable to our products. However, even when we are in strict compliance with law and our policies, we may suffer reputational damage if certain of our products are sold through various intermediaries to sanctioned entities or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U.S. and/or non-U.S. laws. Any improper actions could subject us to civil or criminal penalties, including material monetary fines, or other adverse actions including denial of import or export privileges, and could damage our reputation and business prospects.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environmental laws, liabilities and litigation.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subject to U.S. federal, state, local and non-U.S. laws and regulations governing protection of the environment and worker health and safety. Compliance with these environmental, health and safety regulations could require us to satisfy environmental liabilities,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many of which are subject to renewal from time to time, for many of our businesses, and we could be adversely impacted if we are unable to renew existing permits or to obtain any additional permits that may be required. Compliance with environmental requirements also could require significant operating or capital expenditures or result in significant operational restrictions. We cannot provide assurance that we have been or will be at all times in compliance with environmental and health and safety laws. If we violate these laws, we could be fined, criminally charged or otherwise sanctioned by regulators.</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have been named as a defendant, target or a potentially responsible party (“PRP”) in a number of environmental matters relating to our current or former businesses. We have disposed of a number of businesses and in certain cases, we have retained responsibility and potential liability for certain environmental obligations. We have received claims for indemnification from certain purchasers of businesses from us. We may be named as a PRP at other sites in the future for existing business units, as well as both divested and acquired businesses. In addition to clean-up actions brought by governmental authorities, private parties could bring individual or class-action claims due to the presence of, or exposure to, hazardous substances.</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the operations of divested or acquired businesses or other businesses that previously owned or used the properties. The cost of remediation and other environmental liabilities can be difficult to accurately predict. In addition, environmental requirements change and tend to become more stringent over time. Our eventual environmental remediation costs and liabilities could exceed the amount of our current reserves.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subsidiaries are party to asbestos-related litigation that could adversely affect our financial condition, results of operations and cash flows.</w:t>
      </w:r>
    </w:p>
    <w:p>
      <w:pPr>
        <w:spacing w:after="0" w:line="10" w:lineRule="exact"/>
        <w:rPr>
          <w:sz w:val="20"/>
          <w:szCs w:val="20"/>
          <w:color w:val="auto"/>
        </w:rPr>
      </w:pPr>
    </w:p>
    <w:p>
      <w:pPr>
        <w:jc w:val="both"/>
        <w:spacing w:after="0" w:line="257" w:lineRule="auto"/>
        <w:rPr>
          <w:sz w:val="20"/>
          <w:szCs w:val="20"/>
          <w:color w:val="auto"/>
        </w:rPr>
      </w:pPr>
      <w:r>
        <w:rPr>
          <w:rFonts w:ascii="Arial" w:cs="Arial" w:eastAsia="Arial" w:hAnsi="Arial"/>
          <w:sz w:val="13"/>
          <w:szCs w:val="13"/>
          <w:color w:val="auto"/>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based primarily on allegations of manufacture, sale or distribution of industrial products that either contained asbestos or were attached to or used with asbestos-containing components manufactured by third parties. In addition, some cases brought against us involve the presence of asbestos at facilities that we own or used to own. Each case typically names a large number of product manufacturers, service providers and premises owners. Historically, our subsidiaries have been identified as defendants in asbestos-related claims. Our strategy has been, and continues to be, to mount a vigorous defense aimed at having unsubstantiated suits dismissed, and settling claims before trial only where appropriate. As of December 31, 2022, there were approximately 689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including the possibility of entity restructuring. Unfavorable rulings, judgments or settlement terms could have a material adverse impact on our business and financial condition, results of operations and cash flows. In addition, while most of</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5" w:name="page16"/>
    <w:bookmarkEnd w:id="15"/>
    <w:p>
      <w:pPr>
        <w:jc w:val="both"/>
        <w:spacing w:after="0" w:line="251" w:lineRule="auto"/>
        <w:rPr>
          <w:sz w:val="20"/>
          <w:szCs w:val="20"/>
          <w:color w:val="auto"/>
        </w:rPr>
      </w:pPr>
      <w:r>
        <w:rPr>
          <w:rFonts w:ascii="Arial" w:cs="Arial" w:eastAsia="Arial" w:hAnsi="Arial"/>
          <w:sz w:val="14"/>
          <w:szCs w:val="14"/>
          <w:color w:val="auto"/>
        </w:rPr>
        <w:t>the asbestos claims against us are covered by liability insurance policies from many years ago, not all claims are insured. As our insurers resolve claims relating to past policy periods, the aggregate coverage provided by those policies erodes. If we exhaust our coverage under those policies, we will be exposed to potential uninsured losses. Over time, the uninsured portion of our asbestos docket may increase, which may require us to set greater reserves to resolve future asbestos cases.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comply with the broad range of standards, laws and regulations in the jurisdictions in which we operate may result in exposure to substantial disruptions, costs and liabilities.</w:t>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products, manufacturing facilities and business operations are subject to certain statutory and regulatory requirements. These laws and regulations impose on us increasingly complex, stringent and costly compliance activities, including but not limited to environmental, health, and safety protection standards and permitting, labeling and other requirements regarding (among other things) product efficiency and performance, material makeup, air quality and emissions, and wastewater discharges; the use, handling, and disposal of hazardous or toxic materials; remediation of environmental contamination; and working conditions for and compensation of our employees. We may also be affected by future standards, laws or regulations, including those 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exposed to certain regulatory, financial and other risks related to climate change and other sustainability matters.</w:t>
      </w:r>
    </w:p>
    <w:p>
      <w:pPr>
        <w:spacing w:after="0" w:line="10"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Climate change is receiving ever increasing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methane, and other greenhouse gases (“GHGs”) present an endangerment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the U.S. Congress and federal and state regulatory agencies have considered other legislation and regulatory proposals to reduce emissions of GHGs, and many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Similarly, certain countries have adopted the Kyoto Protocol and in February 2021, the U.S. rejoined the Paris Accord. These and other existing or potential international initiatives and regulations could affect our international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As customers become increasingly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ESG claims relating to product marketing are inaccurate. It is uncertain what laws will be enacted and therefore we cannot predict the potential impact of such laws on our future financial condition, results of operations and cash flows. The laws and regulations regarding ESG disclosures and requirements are rapidly evolving and could have an adverse effect on our operations and the costs of compliance with, and the other burdens imposed by, these and other laws or regulatory actions may increase our operational costs.</w:t>
      </w:r>
    </w:p>
    <w:p>
      <w:pPr>
        <w:spacing w:after="0" w:line="309"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As part of our strategy regarding environmental, climate change and sustainability matters, we have set and may set additional targets aimed at reducing our impact on the environment and climate change and/or targets relating to other sustainability matters. In addition, as a leading provider of water treatment solutions, our business strategy includes positioning our products and services as sustainable solutions. Actions we take to achieve our targets or strategy could result in increased costs to our operations. We may not be able to achieve such targets or our desired impact, and any future investments we make in furtherance of achieving such targets and strategy may not meet investor expectations or standards regarding sustainability performance. Moreover, we may determine that it is in the best interest of our company and our shareholders to prioritize other business, social, governance or sustainable investments over the achievement of our current targets based on economic, regulatory and social factors, business strategy or pressure from investors or other stakeholders. In addition, investors and other stakeholders are increasingly focused on ESG matters, and as stakeholder ESG expectations and standards are evolving, we may not be able to sufficiently respond to these evolving standards and expectations. Furthermore, we could be criticized for the accuracy or completeness of the disclosure of our ESG initiatives. If we are unable to meet our targets or successfully implement our strategy or our ESG reporting is inaccurate or incomplete, then we could suffer from reputational damage and incur adverse reaction from investors and other stakeholders, which could adversely impact the perception of our brand and our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products and services by current and potential investors and customers, which could in turn adversely impact our business, results of operations, or financial condition.</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Increased cybersecurity threats and computer crime pose a risk to our systems, networks, products and services, and we are exposed to potential regulatory, financial and reputational risks relating to the protection of our data.</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products and Internet of Things subjects us to increased cyber and technology risks. The secure operation of our information technology systems and networks is critical to our business operations and strategy. Cybersecurity threats from user error to attacks designed to gain unauthorized access to our systems, networks and data are increasing in frequency and sophistication. These threats pose a risk to the security of our systems and networks and the confidentiality, availability and integrity of the data we process and maintain. Establishing systems and processes to address these threats may increase our costs. We have experienced cybersecurity incidents, and, although we have determined such cybersecurity incidents to be immaterial and such incidents have not had a material adverse effect on our financial condition, results of operations or cash flows, there can be no assurance of similar results in the future. Should future attacks succeed, it could expose us and our employees, customers, dealers and suppliers to the theft of assets, misuse of information or systems, compromises of confidential information, manipulation and destruction of data, product failures, production downtimes and operations disruptions. The occurrence of any of these events could have a material adverse effect on our reputation, business, financial condition, results of operations and cash flows. In addition, such cybersecurity incidents could result in litigation, regulatory action and potential liability and the costs and operational consequences of implementing further data protection measures.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data privacy laws and our ability to comply with them could have a material adverse effect on us.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collect and store data that is sensitive to us and our employees, customers, dealers and suppliers. A variety of state, national, foreign and international laws and regulations apply to the collection, use, retention, protection, security, disclosure, transfer and other processing of personal and other data. Many foreign data privacy regulations, including the General Data Protection Regulation (the “GDPR”) in the European Union, are more stringent than federal regulations in the United States. Within the United States, many states are considering adopting, or have already adopted privacy regulations, including, for example, the California Consumer Privacy Act. These laws and regulations are rapidly evolving and changing, and could have an adverse effect on our operations. Companies’ obligations and requirements under these laws and regulations are subject to uncertainty in how they may be interpreted by courts and governmental authorities. The costs of compliance with, and the other burdens imposed by, these and other laws or regulatory actions may increase our operational costs, and/or result in interruptions or delays in the availability of systems. In the case of non-compliance with these laws, including the GDPR, regulators have the authority to levy significant fines. In addition, if there is a breach of privacy, we may be required to make notifications under data privacy laws or regulations, or could become subject to litigation. The occurrence of any of these events could have a material adverse effect on our reputation, business, financial condition, results of operations and cash flows.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negatively impacted by litigation and other claims.</w:t>
      </w:r>
    </w:p>
    <w:p>
      <w:pPr>
        <w:spacing w:after="0" w:line="10"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We are currently, and may in the future, become subject to litigation and other claims. These legal proceedings are typically claims that relate to our products or services or to the conduct of our business and include, without limitation, claims relating to commercial regulatory or contractual disputes with suppliers, authorities, customers or parties to acquisitions and divestitures; intellectual property matters; environmental, asbestos, safety and health matters; product quality and liability matters; matters arising from the use or installation of our products; consumer protection matters; and employment and labor matters. The outcome of such legal proceedings cannot be predicted with certainty and some may be disposed of unfavorably to us. Insurance coverage is not available for some of our claims and may be disputed by carriers in others. While we currently maintain what we believe to be suitable product liability insurance, we may not be able to maintain this insurance on our preferred terms or at an acceptable cost, and this insurance may not provide adequate protection against potential or previously existing liabilities. In addition, we self-insure a portion of product liability claims and must satisfy deductibles on other insured claims. Further,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various laws and regulations regarding consumer protection and advertising and sales practices, and we have been named, and may be named in the future, as a defendant in litigation, some of which are or may be class action complaints, arising from alleged violation of these laws and regulations. In addition, our indemnification obligations relating to the purchase or sale of businesses could result in litigation or claims of unknown amounts. Successful claims or litigation against us for significant amounts could have a material adverse effect on our reputation, business, financial condition, results of operations and cash flows.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Risks Relating to Our Jurisdiction of Incorporation in Ireland and Tax Residency in the U.K.</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changes in law and other factors that may not allow us to maintain a worldwide effective corporate tax rate that is competitive in our industry.</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and treaties of the U.S., the U.K., Ireland and other jurisdictions could change in the future, and such changes could cause a material change in our worldwide effective corporate tax rate.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we could be subject to increased taxation, which could materially adversely affect our financial condition, results of operations, cash flows or our effective tax rate in future reporting periods.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change in our tax residency could have a negative effect on our future profitability, and may trigger taxes on dividends or exit charges.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current Irish legislation, a company is regarded as resident for tax purposes in Ireland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us.</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Organization for Economic Co-operation and Development proposed a number of measures relating to the tax treatment of multinationals, some of which are implemented by amending double tax treaties through the multilateral convention to implement tax treaty-related measures to prevent base erosion and profit shifting (the “MLI”). The MLI has now entered into force for a number of countries, including Ireland and the U.K. Under the Double Tax Convention between Ireland and the U.K., as amended by the MLI, the residence tie-breaker provides that a company will remain dual resident unless there is a determination otherwise by the tax authorities of the two contracting states.</w:t>
      </w:r>
    </w:p>
    <w:p>
      <w:pPr>
        <w:spacing w:after="0" w:line="10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obtained a determination from the Competent Authorities of the Irish Revenue Commissioners and the U.K. HM Revenue &amp; Customs which states that we are resident for tax purposes only in the U.K.</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It is possible that in the future, whether as a result of a change in law or the practice of any relevant tax authority or as a result of any change in the conduct of our affairs, we could become, or be regarded as having become, resident in a jurisdiction other than the U.K. If we cease to be resident in the U.K. and become a resident in another jurisdiction, we may be subject to U.K. exit charges, and could become liable for additional tax charges in the other jurisdiction (including dividend withholding taxes or corporate income tax charges). If we were to be treated as resident in more than one jurisdiction, we could be subject to taxation in multiple jurisdictions. If, for example, we were considered to be a tax resident of Ireland, we could become liable for Irish corporation tax, and any dividends paid by us could be subject to Irish dividend withholding tax.</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Irish law differs from the laws in effect in the United States and may afford less protection to holders of our securities.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Further,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i w:val="1"/>
          <w:iCs w:val="1"/>
          <w:color w:val="auto"/>
        </w:rPr>
        <w:t>Irish law differs from the laws in effect in the United States, which may negatively impact our ability to issue ordinary shares.</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Under Irish law, we must have authority from our shareholders to issue any ordinary shares, including shares that are part of our authorized but unissued share capital. In addition, unless otherwise authorized by its shareholders, when an Irish company issues shares for cash to new shareholders, it is required first to offer those shares on the same or more favorable terms to existing shareholders on a pro-rata basis. If we are unable to obtain these authorizations from our shareholders, or are otherwise limited by the terms of our authorizations, our ability to issue ordinary shares under our equity compensation plans and, if applicable, to facilitate funding acquisitions or otherwise raise capital could be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Transfers of our ordinary shares may be subject to Irish stamp duty.</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of the higher of the price paid or the market value of the shares acquired). Payment of Irish stamp duty is generally a legal obligation of the transferee.</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 (ii) 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ordinary shares, received by means of a gift or inheritance could be subject to Irish capital acquisitions tax.</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€335,000 per lifetime in respect of taxable gifts or inheritances received from their parents for periods on or after October 9, 2019.</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share price may fluctuate significantly.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 cannot predict the prices at which our shares may trade. The market price of our shares may fluctuate widely, depending on many factors, some of which may be beyond our control, including:</w:t>
      </w:r>
    </w:p>
    <w:p>
      <w:pPr>
        <w:spacing w:after="0" w:line="137"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actual or anticipated fluctuations in our results of operations due to factors related to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success or failure of our business strategy;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quarterly or annual earnings, or those of other companies in our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ability to obtain third-party financing as needed;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announcements by us or our competitors of significant acquisitions or dispositions;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accounting standards, policies, guidance, interpretations or principles;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changes in earnings estimates or guidance by us or securities analysts or our ability to meet those estimates or guidance;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operating and share price performance of other comparable companies;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investor perception of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effect of certain events or occurrences on our reputation;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overall market fluctuations;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results from any material litigation or governmental investigation or environmental liabilities;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19" w:name="page20"/>
    <w:bookmarkEnd w:id="19"/>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natural or other environmental disasters;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laws and regulations affecting our business;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conditions and other external factors.</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Stock markets in general have experienced volatility that has often been unrelated to the operating performance of a particular company. These broad market fluctuations could have a material adverse effect on our share price.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Our principal office is located in leased premises in London, U.K., and our management office in the U.S. is located in leased premises in Golden Valley, Minnesota.</w:t>
      </w:r>
    </w:p>
    <w:p>
      <w:pPr>
        <w:spacing w:after="0" w:line="13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operations are conducted in facilities throughout the world. These facilities house manufacturing and distribution operations, as well as sales and marketing, engineering and administrative offices. The following is a summary of our principal properties as of December 31, 2022, including manufacturing, distribution, sales offices and service centers: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2"/>
          </w:tcPr>
          <w:p>
            <w:pPr>
              <w:jc w:val="right"/>
              <w:ind w:right="1209"/>
              <w:spacing w:after="0"/>
              <w:rPr>
                <w:sz w:val="20"/>
                <w:szCs w:val="20"/>
                <w:color w:val="auto"/>
              </w:rPr>
            </w:pPr>
            <w:r>
              <w:rPr>
                <w:rFonts w:ascii="Arial" w:cs="Arial" w:eastAsia="Arial" w:hAnsi="Arial"/>
                <w:sz w:val="14"/>
                <w:szCs w:val="14"/>
                <w:b w:val="1"/>
                <w:bCs w:val="1"/>
                <w:color w:val="auto"/>
              </w:rPr>
              <w:t>No. of Facilities</w:t>
            </w:r>
          </w:p>
        </w:tc>
        <w:tc>
          <w:tcPr>
            <w:tcW w:w="1460" w:type="dxa"/>
            <w:vAlign w:val="bottom"/>
            <w:tcBorders>
              <w:bottom w:val="single" w:sz="8" w:color="auto"/>
            </w:tcBorders>
          </w:tcPr>
          <w:p>
            <w:pPr>
              <w:spacing w:after="0"/>
              <w:rPr>
                <w:sz w:val="16"/>
                <w:szCs w:val="16"/>
                <w:color w:val="auto"/>
              </w:rPr>
            </w:pPr>
          </w:p>
        </w:tc>
      </w:tr>
      <w:tr>
        <w:trPr>
          <w:trHeight w:val="171"/>
        </w:trPr>
        <w:tc>
          <w:tcPr>
            <w:tcW w:w="19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Location</w:t>
            </w:r>
          </w:p>
        </w:tc>
        <w:tc>
          <w:tcPr>
            <w:tcW w:w="17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Manufacturing</w:t>
            </w: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Distribution</w:t>
            </w:r>
          </w:p>
        </w:tc>
        <w:tc>
          <w:tcPr>
            <w:tcW w:w="20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3"/>
              </w:rPr>
              <w:t>Sales and Corporate Offices</w:t>
            </w:r>
          </w:p>
        </w:tc>
        <w:tc>
          <w:tcPr>
            <w:tcW w:w="146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Service Centers</w:t>
            </w:r>
          </w:p>
        </w:tc>
      </w:tr>
      <w:tr>
        <w:trPr>
          <w:trHeight w:val="171"/>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2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U.S. and 9 foreign countries</w:t>
            </w:r>
          </w:p>
        </w:tc>
        <w:tc>
          <w:tcPr>
            <w:tcW w:w="17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w:t>
            </w: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27</w:t>
            </w:r>
          </w:p>
        </w:tc>
        <w:tc>
          <w:tcPr>
            <w:tcW w:w="20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0"/>
        </w:trPr>
        <w:tc>
          <w:tcPr>
            <w:tcW w:w="1960" w:type="dxa"/>
            <w:vAlign w:val="bottom"/>
          </w:tcPr>
          <w:p>
            <w:pPr>
              <w:ind w:left="20"/>
              <w:spacing w:after="0"/>
              <w:rPr>
                <w:sz w:val="20"/>
                <w:szCs w:val="20"/>
                <w:color w:val="auto"/>
              </w:rPr>
            </w:pPr>
            <w:r>
              <w:rPr>
                <w:rFonts w:ascii="Arial" w:cs="Arial" w:eastAsia="Arial" w:hAnsi="Arial"/>
                <w:sz w:val="14"/>
                <w:szCs w:val="14"/>
                <w:color w:val="auto"/>
              </w:rPr>
              <w:t>Industrial &amp; Flow Technologies</w:t>
            </w:r>
          </w:p>
        </w:tc>
        <w:tc>
          <w:tcPr>
            <w:tcW w:w="2900" w:type="dxa"/>
            <w:vAlign w:val="bottom"/>
          </w:tcPr>
          <w:p>
            <w:pPr>
              <w:ind w:left="140"/>
              <w:spacing w:after="0"/>
              <w:rPr>
                <w:sz w:val="20"/>
                <w:szCs w:val="20"/>
                <w:color w:val="auto"/>
              </w:rPr>
            </w:pPr>
            <w:r>
              <w:rPr>
                <w:rFonts w:ascii="Arial" w:cs="Arial" w:eastAsia="Arial" w:hAnsi="Arial"/>
                <w:sz w:val="14"/>
                <w:szCs w:val="14"/>
                <w:color w:val="auto"/>
              </w:rPr>
              <w:t>U.S. and 14 foreign countries</w:t>
            </w:r>
          </w:p>
        </w:tc>
        <w:tc>
          <w:tcPr>
            <w:tcW w:w="1700" w:type="dxa"/>
            <w:vAlign w:val="bottom"/>
          </w:tcPr>
          <w:p>
            <w:pPr>
              <w:jc w:val="right"/>
              <w:ind w:right="109"/>
              <w:spacing w:after="0"/>
              <w:rPr>
                <w:sz w:val="20"/>
                <w:szCs w:val="20"/>
                <w:color w:val="auto"/>
              </w:rPr>
            </w:pPr>
            <w:r>
              <w:rPr>
                <w:rFonts w:ascii="Arial" w:cs="Arial" w:eastAsia="Arial" w:hAnsi="Arial"/>
                <w:sz w:val="14"/>
                <w:szCs w:val="14"/>
                <w:color w:val="auto"/>
              </w:rPr>
              <w:t>20</w:t>
            </w: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2040" w:type="dxa"/>
            <w:vAlign w:val="bottom"/>
          </w:tcPr>
          <w:p>
            <w:pPr>
              <w:jc w:val="right"/>
              <w:ind w:right="129"/>
              <w:spacing w:after="0"/>
              <w:rPr>
                <w:sz w:val="20"/>
                <w:szCs w:val="20"/>
                <w:color w:val="auto"/>
              </w:rPr>
            </w:pPr>
            <w:r>
              <w:rPr>
                <w:rFonts w:ascii="Arial" w:cs="Arial" w:eastAsia="Arial" w:hAnsi="Arial"/>
                <w:sz w:val="14"/>
                <w:szCs w:val="14"/>
                <w:color w:val="auto"/>
              </w:rPr>
              <w:t>4</w:t>
            </w: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1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Corporate</w:t>
            </w:r>
          </w:p>
        </w:tc>
        <w:tc>
          <w:tcPr>
            <w:tcW w:w="29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U.S. and 3 foreign countries</w:t>
            </w:r>
          </w:p>
        </w:tc>
        <w:tc>
          <w:tcPr>
            <w:tcW w:w="17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5</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9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42</w:t>
            </w:r>
          </w:p>
        </w:tc>
        <w:tc>
          <w:tcPr>
            <w:tcW w:w="12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w:t>
            </w:r>
          </w:p>
        </w:tc>
        <w:tc>
          <w:tcPr>
            <w:tcW w:w="20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19</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r>
      <w:tr>
        <w:trPr>
          <w:trHeight w:val="20"/>
        </w:trPr>
        <w:tc>
          <w:tcPr>
            <w:tcW w:w="19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900"/>
        <w:spacing w:after="0" w:line="442" w:lineRule="auto"/>
        <w:rPr>
          <w:sz w:val="20"/>
          <w:szCs w:val="20"/>
          <w:color w:val="auto"/>
        </w:rPr>
      </w:pPr>
      <w:r>
        <w:rPr>
          <w:rFonts w:ascii="Arial" w:cs="Arial" w:eastAsia="Arial" w:hAnsi="Arial"/>
          <w:sz w:val="14"/>
          <w:szCs w:val="14"/>
          <w:color w:val="auto"/>
        </w:rPr>
        <w:t xml:space="preserve">We believe that our production facilities, as well as the related machinery and equipment, are well maintained and suitable for their purpose and are adequate to support our businesses. </w:t>
      </w:r>
      <w:r>
        <w:rPr>
          <w:rFonts w:ascii="Arial" w:cs="Arial" w:eastAsia="Arial" w:hAnsi="Arial"/>
          <w:sz w:val="14"/>
          <w:szCs w:val="14"/>
          <w:b w:val="1"/>
          <w:bCs w:val="1"/>
          <w:color w:val="auto"/>
        </w:rPr>
        <w:t>ITEM 3. LEGAL PROCEEDINGS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Refer to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and </w:t>
      </w:r>
      <w:r>
        <w:rPr>
          <w:rFonts w:ascii="Arial" w:cs="Arial" w:eastAsia="Arial" w:hAnsi="Arial"/>
          <w:sz w:val="14"/>
          <w:szCs w:val="14"/>
          <w:i w:val="1"/>
          <w:iCs w:val="1"/>
          <w:color w:val="auto"/>
        </w:rPr>
        <w:t>“Environmental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matters” </w:t>
      </w:r>
      <w:r>
        <w:rPr>
          <w:rFonts w:ascii="Arial" w:cs="Arial" w:eastAsia="Arial" w:hAnsi="Arial"/>
          <w:sz w:val="14"/>
          <w:szCs w:val="14"/>
          <w:color w:val="auto"/>
        </w:rPr>
        <w:t>within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0000FF"/>
        </w:rPr>
        <w:t>Note 15 “Commitments and Contingencies”</w:t>
      </w:r>
      <w:r>
        <w:rPr>
          <w:rFonts w:ascii="Arial" w:cs="Arial" w:eastAsia="Arial" w:hAnsi="Arial"/>
          <w:sz w:val="14"/>
          <w:szCs w:val="14"/>
          <w:color w:val="auto"/>
        </w:rPr>
        <w:t>, of the consolidated financial statements included in ITEM 8 of Part II of this Form 10-K for information regarding legal and regulatory</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proceedings we are involved in. In addition, see </w:t>
      </w:r>
      <w:r>
        <w:rPr>
          <w:rFonts w:ascii="Arial" w:cs="Arial" w:eastAsia="Arial" w:hAnsi="Arial"/>
          <w:sz w:val="14"/>
          <w:szCs w:val="14"/>
          <w:u w:val="single" w:color="auto"/>
          <w:color w:val="0000FF"/>
        </w:rPr>
        <w:t>Item 1A “Risk Factors - Our subsidiaries are party to asbestos-related product litigation that could adversely affect our financial condition, results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operations and cash flows”</w:t>
      </w:r>
      <w:r>
        <w:rPr>
          <w:rFonts w:ascii="Arial" w:cs="Arial" w:eastAsia="Arial" w:hAnsi="Arial"/>
          <w:sz w:val="14"/>
          <w:szCs w:val="14"/>
          <w:color w:val="0000FF"/>
        </w:rPr>
        <w:t xml:space="preserve"> </w:t>
      </w:r>
      <w:r>
        <w:rPr>
          <w:rFonts w:ascii="Arial" w:cs="Arial" w:eastAsia="Arial" w:hAnsi="Arial"/>
          <w:sz w:val="14"/>
          <w:szCs w:val="14"/>
          <w:color w:val="000000"/>
        </w:rPr>
        <w:t>related to asbestos matters.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60" w:type="dxa"/>
            <w:vAlign w:val="bottom"/>
            <w:gridSpan w:val="2"/>
          </w:tcPr>
          <w:p>
            <w:pPr>
              <w:ind w:left="1260"/>
              <w:spacing w:after="0"/>
              <w:rPr>
                <w:sz w:val="20"/>
                <w:szCs w:val="20"/>
                <w:color w:val="auto"/>
              </w:rPr>
            </w:pPr>
            <w:r>
              <w:rPr>
                <w:rFonts w:ascii="Arial" w:cs="Arial" w:eastAsia="Arial" w:hAnsi="Arial"/>
                <w:sz w:val="14"/>
                <w:szCs w:val="14"/>
                <w:b w:val="1"/>
                <w:bCs w:val="1"/>
                <w:color w:val="auto"/>
              </w:rPr>
              <w:t>INFORMATION ABOUT OUR EXECUTIVE OFFICERS</w:t>
            </w:r>
          </w:p>
        </w:tc>
      </w:tr>
      <w:tr>
        <w:trPr>
          <w:trHeight w:val="180"/>
        </w:trPr>
        <w:tc>
          <w:tcPr>
            <w:tcW w:w="11260" w:type="dxa"/>
            <w:vAlign w:val="bottom"/>
            <w:gridSpan w:val="7"/>
          </w:tcPr>
          <w:p>
            <w:pPr>
              <w:spacing w:after="0"/>
              <w:rPr>
                <w:sz w:val="20"/>
                <w:szCs w:val="20"/>
                <w:color w:val="auto"/>
              </w:rPr>
            </w:pPr>
            <w:r>
              <w:rPr>
                <w:rFonts w:ascii="Arial" w:cs="Arial" w:eastAsia="Arial" w:hAnsi="Arial"/>
                <w:sz w:val="14"/>
                <w:szCs w:val="14"/>
                <w:color w:val="auto"/>
              </w:rPr>
              <w:t>Current executive officers of Pentair plc, their ages, current position and their business experience during at least the past five years are as follows:</w:t>
            </w: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1720" w:type="dxa"/>
            <w:vAlign w:val="bottom"/>
          </w:tcPr>
          <w:p>
            <w:pPr>
              <w:spacing w:after="0"/>
              <w:rPr>
                <w:sz w:val="21"/>
                <w:szCs w:val="21"/>
                <w:color w:val="auto"/>
              </w:rPr>
            </w:pPr>
          </w:p>
        </w:tc>
        <w:tc>
          <w:tcPr>
            <w:tcW w:w="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Age</w:t>
            </w:r>
          </w:p>
        </w:tc>
        <w:tc>
          <w:tcPr>
            <w:tcW w:w="8660" w:type="dxa"/>
            <w:vAlign w:val="bottom"/>
            <w:gridSpan w:val="2"/>
          </w:tcPr>
          <w:p>
            <w:pPr>
              <w:spacing w:after="0"/>
              <w:rPr>
                <w:sz w:val="20"/>
                <w:szCs w:val="20"/>
                <w:color w:val="auto"/>
              </w:rPr>
            </w:pPr>
            <w:r>
              <w:rPr>
                <w:rFonts w:ascii="Arial" w:cs="Arial" w:eastAsia="Arial" w:hAnsi="Arial"/>
                <w:sz w:val="14"/>
                <w:szCs w:val="14"/>
                <w:b w:val="1"/>
                <w:bCs w:val="1"/>
                <w:color w:val="auto"/>
              </w:rPr>
              <w:t>Current Position and Business Experience</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080" w:type="dxa"/>
            <w:vAlign w:val="bottom"/>
            <w:gridSpan w:val="2"/>
          </w:tcPr>
          <w:p>
            <w:pPr>
              <w:spacing w:after="0" w:line="150" w:lineRule="exact"/>
              <w:rPr>
                <w:sz w:val="20"/>
                <w:szCs w:val="20"/>
                <w:color w:val="auto"/>
              </w:rPr>
            </w:pPr>
            <w:r>
              <w:rPr>
                <w:rFonts w:ascii="Arial" w:cs="Arial" w:eastAsia="Arial" w:hAnsi="Arial"/>
                <w:sz w:val="14"/>
                <w:szCs w:val="14"/>
                <w:color w:val="auto"/>
              </w:rPr>
              <w:t>John L. Stauch</w:t>
            </w:r>
          </w:p>
        </w:tc>
        <w:tc>
          <w:tcPr>
            <w:tcW w:w="240" w:type="dxa"/>
            <w:vAlign w:val="bottom"/>
          </w:tcPr>
          <w:p>
            <w:pPr>
              <w:jc w:val="center"/>
              <w:spacing w:after="0" w:line="150" w:lineRule="exact"/>
              <w:rPr>
                <w:sz w:val="20"/>
                <w:szCs w:val="20"/>
                <w:color w:val="auto"/>
              </w:rPr>
            </w:pPr>
            <w:r>
              <w:rPr>
                <w:rFonts w:ascii="Arial" w:cs="Arial" w:eastAsia="Arial" w:hAnsi="Arial"/>
                <w:sz w:val="14"/>
                <w:szCs w:val="14"/>
                <w:color w:val="auto"/>
                <w:w w:val="89"/>
              </w:rPr>
              <w:t>58</w:t>
            </w:r>
          </w:p>
        </w:tc>
        <w:tc>
          <w:tcPr>
            <w:tcW w:w="260" w:type="dxa"/>
            <w:vAlign w:val="bottom"/>
          </w:tcPr>
          <w:p>
            <w:pPr>
              <w:spacing w:after="0"/>
              <w:rPr>
                <w:sz w:val="13"/>
                <w:szCs w:val="13"/>
                <w:color w:val="auto"/>
              </w:rPr>
            </w:pPr>
          </w:p>
        </w:tc>
        <w:tc>
          <w:tcPr>
            <w:tcW w:w="8660" w:type="dxa"/>
            <w:vAlign w:val="bottom"/>
            <w:gridSpan w:val="2"/>
          </w:tcPr>
          <w:p>
            <w:pPr>
              <w:spacing w:after="0" w:line="150" w:lineRule="exact"/>
              <w:rPr>
                <w:sz w:val="20"/>
                <w:szCs w:val="20"/>
                <w:color w:val="auto"/>
              </w:rPr>
            </w:pPr>
            <w:r>
              <w:rPr>
                <w:rFonts w:ascii="Arial" w:cs="Arial" w:eastAsia="Arial" w:hAnsi="Arial"/>
                <w:sz w:val="14"/>
                <w:szCs w:val="14"/>
                <w:color w:val="auto"/>
                <w:w w:val="95"/>
              </w:rPr>
              <w:t>President and Chief Executive Officer since 2018; Executive Vice President and Chief Financial Officer 2007 – 2018; Chief Financial Officer of the</w:t>
            </w:r>
          </w:p>
        </w:tc>
      </w:tr>
      <w:tr>
        <w:trPr>
          <w:trHeight w:val="13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60" w:type="dxa"/>
            <w:vAlign w:val="bottom"/>
            <w:gridSpan w:val="2"/>
          </w:tcPr>
          <w:p>
            <w:pPr>
              <w:spacing w:after="0" w:line="138" w:lineRule="exact"/>
              <w:rPr>
                <w:sz w:val="20"/>
                <w:szCs w:val="20"/>
                <w:color w:val="auto"/>
              </w:rPr>
            </w:pPr>
            <w:r>
              <w:rPr>
                <w:rFonts w:ascii="Arial" w:cs="Arial" w:eastAsia="Arial" w:hAnsi="Arial"/>
                <w:sz w:val="14"/>
                <w:szCs w:val="14"/>
                <w:color w:val="auto"/>
                <w:w w:val="93"/>
              </w:rPr>
              <w:t>Automation and Control Systems unit of Honeywell International Inc. 2005 – 2007; Vice President, Finance and Chief Financial Officer of the Sensing</w:t>
            </w: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60" w:type="dxa"/>
            <w:vAlign w:val="bottom"/>
            <w:gridSpan w:val="2"/>
          </w:tcPr>
          <w:p>
            <w:pPr>
              <w:spacing w:after="0" w:line="149" w:lineRule="exact"/>
              <w:rPr>
                <w:sz w:val="20"/>
                <w:szCs w:val="20"/>
                <w:color w:val="auto"/>
              </w:rPr>
            </w:pPr>
            <w:r>
              <w:rPr>
                <w:rFonts w:ascii="Arial" w:cs="Arial" w:eastAsia="Arial" w:hAnsi="Arial"/>
                <w:sz w:val="14"/>
                <w:szCs w:val="14"/>
                <w:color w:val="auto"/>
                <w:w w:val="98"/>
              </w:rPr>
              <w:t>and Controls unit of Honeywell International Inc. 2004 – 2005; Vice President, Finance and Chief Financial Officer of the Automation &amp; Control</w:t>
            </w:r>
          </w:p>
        </w:tc>
      </w:tr>
      <w:tr>
        <w:trPr>
          <w:trHeight w:val="13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60" w:type="dxa"/>
            <w:vAlign w:val="bottom"/>
            <w:gridSpan w:val="2"/>
          </w:tcPr>
          <w:p>
            <w:pPr>
              <w:spacing w:after="0" w:line="138" w:lineRule="exact"/>
              <w:rPr>
                <w:sz w:val="20"/>
                <w:szCs w:val="20"/>
                <w:color w:val="auto"/>
              </w:rPr>
            </w:pPr>
            <w:r>
              <w:rPr>
                <w:rFonts w:ascii="Arial" w:cs="Arial" w:eastAsia="Arial" w:hAnsi="Arial"/>
                <w:sz w:val="14"/>
                <w:szCs w:val="14"/>
                <w:color w:val="auto"/>
              </w:rPr>
              <w:t>Products unit of Honeywell International Inc. 2002 – 2004; Chief Financial Officer and IT Director of PerkinElmer Optoelectronics, a unit of</w:t>
            </w:r>
          </w:p>
        </w:tc>
      </w:tr>
      <w:tr>
        <w:trPr>
          <w:trHeight w:val="180"/>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rPr>
              <w:t>PerkinElmer, Inc., 2000 – 2002.</w:t>
            </w:r>
          </w:p>
        </w:tc>
      </w:tr>
      <w:tr>
        <w:trPr>
          <w:trHeight w:val="149"/>
        </w:trPr>
        <w:tc>
          <w:tcPr>
            <w:tcW w:w="20" w:type="dxa"/>
            <w:vAlign w:val="bottom"/>
          </w:tcPr>
          <w:p>
            <w:pPr>
              <w:spacing w:after="0"/>
              <w:rPr>
                <w:sz w:val="12"/>
                <w:szCs w:val="12"/>
                <w:color w:val="auto"/>
              </w:rPr>
            </w:pPr>
          </w:p>
        </w:tc>
        <w:tc>
          <w:tcPr>
            <w:tcW w:w="2080" w:type="dxa"/>
            <w:vAlign w:val="bottom"/>
            <w:gridSpan w:val="2"/>
          </w:tcPr>
          <w:p>
            <w:pPr>
              <w:spacing w:after="0" w:line="149" w:lineRule="exact"/>
              <w:rPr>
                <w:sz w:val="20"/>
                <w:szCs w:val="20"/>
                <w:color w:val="auto"/>
              </w:rPr>
            </w:pPr>
            <w:r>
              <w:rPr>
                <w:rFonts w:ascii="Arial" w:cs="Arial" w:eastAsia="Arial" w:hAnsi="Arial"/>
                <w:sz w:val="14"/>
                <w:szCs w:val="14"/>
                <w:color w:val="auto"/>
              </w:rPr>
              <w:t>Adrian C. Chiu</w:t>
            </w:r>
          </w:p>
        </w:tc>
        <w:tc>
          <w:tcPr>
            <w:tcW w:w="240" w:type="dxa"/>
            <w:vAlign w:val="bottom"/>
          </w:tcPr>
          <w:p>
            <w:pPr>
              <w:jc w:val="center"/>
              <w:spacing w:after="0" w:line="149" w:lineRule="exact"/>
              <w:rPr>
                <w:sz w:val="20"/>
                <w:szCs w:val="20"/>
                <w:color w:val="auto"/>
              </w:rPr>
            </w:pPr>
            <w:r>
              <w:rPr>
                <w:rFonts w:ascii="Arial" w:cs="Arial" w:eastAsia="Arial" w:hAnsi="Arial"/>
                <w:sz w:val="14"/>
                <w:szCs w:val="14"/>
                <w:color w:val="auto"/>
                <w:w w:val="89"/>
              </w:rPr>
              <w:t>44</w:t>
            </w:r>
          </w:p>
        </w:tc>
        <w:tc>
          <w:tcPr>
            <w:tcW w:w="260" w:type="dxa"/>
            <w:vAlign w:val="bottom"/>
          </w:tcPr>
          <w:p>
            <w:pPr>
              <w:spacing w:after="0"/>
              <w:rPr>
                <w:sz w:val="12"/>
                <w:szCs w:val="12"/>
                <w:color w:val="auto"/>
              </w:rPr>
            </w:pPr>
          </w:p>
        </w:tc>
        <w:tc>
          <w:tcPr>
            <w:tcW w:w="8660" w:type="dxa"/>
            <w:vAlign w:val="bottom"/>
            <w:gridSpan w:val="2"/>
          </w:tcPr>
          <w:p>
            <w:pPr>
              <w:spacing w:after="0" w:line="149" w:lineRule="exact"/>
              <w:rPr>
                <w:sz w:val="20"/>
                <w:szCs w:val="20"/>
                <w:color w:val="auto"/>
              </w:rPr>
            </w:pPr>
            <w:r>
              <w:rPr>
                <w:rFonts w:ascii="Arial" w:cs="Arial" w:eastAsia="Arial" w:hAnsi="Arial"/>
                <w:sz w:val="14"/>
                <w:szCs w:val="14"/>
                <w:color w:val="auto"/>
                <w:w w:val="92"/>
              </w:rPr>
              <w:t>Effective January 1, 2023, Mr. Chiu is Executive Vice President and President of the new Water Solutions reporting segment. Executive Vice President,</w:t>
            </w:r>
          </w:p>
        </w:tc>
      </w:tr>
      <w:tr>
        <w:trPr>
          <w:trHeight w:val="138"/>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60" w:type="dxa"/>
            <w:vAlign w:val="bottom"/>
            <w:gridSpan w:val="2"/>
          </w:tcPr>
          <w:p>
            <w:pPr>
              <w:spacing w:after="0" w:line="138" w:lineRule="exact"/>
              <w:rPr>
                <w:sz w:val="20"/>
                <w:szCs w:val="20"/>
                <w:color w:val="auto"/>
              </w:rPr>
            </w:pPr>
            <w:r>
              <w:rPr>
                <w:rFonts w:ascii="Arial" w:cs="Arial" w:eastAsia="Arial" w:hAnsi="Arial"/>
                <w:sz w:val="14"/>
                <w:szCs w:val="14"/>
                <w:color w:val="auto"/>
                <w:w w:val="94"/>
              </w:rPr>
              <w:t>Chief Human Resources Officer and Chief Transformation Officer 2021 – 2022; Vice President of Total Rewards and Human Resources Information</w:t>
            </w:r>
          </w:p>
        </w:tc>
      </w:tr>
      <w:tr>
        <w:trPr>
          <w:trHeight w:val="160"/>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60" w:type="dxa"/>
            <w:vAlign w:val="bottom"/>
            <w:gridSpan w:val="2"/>
          </w:tcPr>
          <w:p>
            <w:pPr>
              <w:spacing w:after="0"/>
              <w:rPr>
                <w:sz w:val="20"/>
                <w:szCs w:val="20"/>
                <w:color w:val="auto"/>
              </w:rPr>
            </w:pPr>
            <w:r>
              <w:rPr>
                <w:rFonts w:ascii="Arial" w:cs="Arial" w:eastAsia="Arial" w:hAnsi="Arial"/>
                <w:sz w:val="14"/>
                <w:szCs w:val="14"/>
                <w:color w:val="auto"/>
                <w:w w:val="92"/>
              </w:rPr>
              <w:t>Systems 2018 – 2021; Vice President and Project Management Office Leader for the separation of nVent plc (Pentair’s former electrical business) 2017</w:t>
            </w:r>
          </w:p>
        </w:tc>
      </w:tr>
    </w:tbl>
    <w:p>
      <w:pPr>
        <w:ind w:left="2600" w:right="20"/>
        <w:spacing w:after="0" w:line="251" w:lineRule="auto"/>
        <w:rPr>
          <w:sz w:val="20"/>
          <w:szCs w:val="20"/>
          <w:color w:val="auto"/>
        </w:rPr>
      </w:pPr>
      <w:r>
        <w:rPr>
          <w:rFonts w:ascii="Arial" w:cs="Arial" w:eastAsia="Arial" w:hAnsi="Arial"/>
          <w:sz w:val="13"/>
          <w:szCs w:val="13"/>
          <w:color w:val="auto"/>
        </w:rPr>
        <w:t>– 2018; Vice President of Human Resources Technology, Operations, and Equity Compensation 2016 – 2018; Senior Director of Human Resources Technology and Services 2011 – 2016; Various consulting positions of increasing responsibility at IBM Global Business Services 2000 – 2011.</w:t>
      </w:r>
    </w:p>
    <w:tbl>
      <w:tblPr>
        <w:tblLayout w:type="fixed"/>
        <w:tblInd w:w="0" w:type="dxa"/>
        <w:tblCellMar>
          <w:top w:w="0" w:type="dxa"/>
          <w:left w:w="0" w:type="dxa"/>
          <w:bottom w:w="0" w:type="dxa"/>
          <w:right w:w="0" w:type="dxa"/>
        </w:tblCellMar>
      </w:tblPr>
      <w:tr>
        <w:trPr>
          <w:trHeight w:val="142"/>
        </w:trPr>
        <w:tc>
          <w:tcPr>
            <w:tcW w:w="1660" w:type="dxa"/>
            <w:vAlign w:val="bottom"/>
          </w:tcPr>
          <w:p>
            <w:pPr>
              <w:ind w:left="20"/>
              <w:spacing w:after="0" w:line="143" w:lineRule="exact"/>
              <w:rPr>
                <w:sz w:val="20"/>
                <w:szCs w:val="20"/>
                <w:color w:val="auto"/>
              </w:rPr>
            </w:pPr>
            <w:r>
              <w:rPr>
                <w:rFonts w:ascii="Arial" w:cs="Arial" w:eastAsia="Arial" w:hAnsi="Arial"/>
                <w:sz w:val="14"/>
                <w:szCs w:val="14"/>
                <w:color w:val="auto"/>
              </w:rPr>
              <w:t>Robert P. Fishman</w:t>
            </w:r>
          </w:p>
        </w:tc>
        <w:tc>
          <w:tcPr>
            <w:tcW w:w="800" w:type="dxa"/>
            <w:vAlign w:val="bottom"/>
          </w:tcPr>
          <w:p>
            <w:pPr>
              <w:jc w:val="right"/>
              <w:ind w:right="89"/>
              <w:spacing w:after="0" w:line="143" w:lineRule="exact"/>
              <w:rPr>
                <w:sz w:val="20"/>
                <w:szCs w:val="20"/>
                <w:color w:val="auto"/>
              </w:rPr>
            </w:pPr>
            <w:r>
              <w:rPr>
                <w:rFonts w:ascii="Arial" w:cs="Arial" w:eastAsia="Arial" w:hAnsi="Arial"/>
                <w:sz w:val="14"/>
                <w:szCs w:val="14"/>
                <w:color w:val="auto"/>
              </w:rPr>
              <w:t>59</w:t>
            </w:r>
          </w:p>
        </w:tc>
        <w:tc>
          <w:tcPr>
            <w:tcW w:w="8820" w:type="dxa"/>
            <w:vAlign w:val="bottom"/>
          </w:tcPr>
          <w:p>
            <w:pPr>
              <w:ind w:left="140"/>
              <w:spacing w:after="0" w:line="143" w:lineRule="exact"/>
              <w:rPr>
                <w:sz w:val="20"/>
                <w:szCs w:val="20"/>
                <w:color w:val="auto"/>
              </w:rPr>
            </w:pPr>
            <w:r>
              <w:rPr>
                <w:rFonts w:ascii="Arial" w:cs="Arial" w:eastAsia="Arial" w:hAnsi="Arial"/>
                <w:sz w:val="14"/>
                <w:szCs w:val="14"/>
                <w:color w:val="auto"/>
                <w:w w:val="94"/>
              </w:rPr>
              <w:t>Executive Vice President, Chief Financial Officer and Chief Accounting Officer since 2020; also Interim President, Consumer Solutions during 2022;</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7"/>
              </w:rPr>
              <w:t>Executive Vice President and Chief Financial Officer of NCR Corporation (a global provider of omni-channel technology solutions) 2016 – 2018;</w:t>
            </w: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3"/>
              </w:rPr>
              <w:t>Senior Vice President and Chief Financial Officer of NCR Corporation 2010 – 2016; Vice President and Corporate Controller of NCR Corporation 2007</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 2009.</w:t>
            </w:r>
          </w:p>
        </w:tc>
      </w:tr>
      <w:tr>
        <w:trPr>
          <w:trHeight w:val="138"/>
        </w:trPr>
        <w:tc>
          <w:tcPr>
            <w:tcW w:w="1660" w:type="dxa"/>
            <w:vAlign w:val="bottom"/>
          </w:tcPr>
          <w:p>
            <w:pPr>
              <w:ind w:left="20"/>
              <w:spacing w:after="0" w:line="139" w:lineRule="exact"/>
              <w:rPr>
                <w:sz w:val="20"/>
                <w:szCs w:val="20"/>
                <w:color w:val="auto"/>
              </w:rPr>
            </w:pPr>
            <w:r>
              <w:rPr>
                <w:rFonts w:ascii="Arial" w:cs="Arial" w:eastAsia="Arial" w:hAnsi="Arial"/>
                <w:sz w:val="14"/>
                <w:szCs w:val="14"/>
                <w:color w:val="auto"/>
              </w:rPr>
              <w:t>Tanya L. Hooper</w:t>
            </w:r>
          </w:p>
        </w:tc>
        <w:tc>
          <w:tcPr>
            <w:tcW w:w="800" w:type="dxa"/>
            <w:vAlign w:val="bottom"/>
          </w:tcPr>
          <w:p>
            <w:pPr>
              <w:jc w:val="right"/>
              <w:ind w:right="89"/>
              <w:spacing w:after="0" w:line="139" w:lineRule="exact"/>
              <w:rPr>
                <w:sz w:val="20"/>
                <w:szCs w:val="20"/>
                <w:color w:val="auto"/>
              </w:rPr>
            </w:pPr>
            <w:r>
              <w:rPr>
                <w:rFonts w:ascii="Arial" w:cs="Arial" w:eastAsia="Arial" w:hAnsi="Arial"/>
                <w:sz w:val="14"/>
                <w:szCs w:val="14"/>
                <w:color w:val="auto"/>
              </w:rPr>
              <w:t>50</w:t>
            </w:r>
          </w:p>
        </w:tc>
        <w:tc>
          <w:tcPr>
            <w:tcW w:w="8820" w:type="dxa"/>
            <w:vAlign w:val="bottom"/>
          </w:tcPr>
          <w:p>
            <w:pPr>
              <w:ind w:left="140"/>
              <w:spacing w:after="0" w:line="139" w:lineRule="exact"/>
              <w:rPr>
                <w:sz w:val="20"/>
                <w:szCs w:val="20"/>
                <w:color w:val="auto"/>
              </w:rPr>
            </w:pPr>
            <w:r>
              <w:rPr>
                <w:rFonts w:ascii="Arial" w:cs="Arial" w:eastAsia="Arial" w:hAnsi="Arial"/>
                <w:sz w:val="14"/>
                <w:szCs w:val="14"/>
                <w:color w:val="auto"/>
                <w:w w:val="97"/>
              </w:rPr>
              <w:t>Effective January 1, 2023, Ms. Hooper is the Executive Vice President and Chief Human Resources Officer. Vice President of Global Talent and</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4"/>
              </w:rPr>
              <w:t>Corporate Human Resources of Honeywell International Inc. 2021 – 2022; Vice President and Chief Human Resources Officer of Collins Aerospace</w:t>
            </w: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6"/>
              </w:rPr>
              <w:t>2019 – 2021; Vice President of Talent of Collins Aerospace 2018 – 2019; Vice President of Human Resources of Collins Aerospace 2016 – 2018;</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Various positions of increasing responsibility at Shell 2000 – 2016.</w:t>
            </w:r>
          </w:p>
        </w:tc>
      </w:tr>
      <w:tr>
        <w:trPr>
          <w:trHeight w:val="138"/>
        </w:trPr>
        <w:tc>
          <w:tcPr>
            <w:tcW w:w="1660" w:type="dxa"/>
            <w:vAlign w:val="bottom"/>
          </w:tcPr>
          <w:p>
            <w:pPr>
              <w:ind w:left="20"/>
              <w:spacing w:after="0" w:line="139" w:lineRule="exact"/>
              <w:rPr>
                <w:sz w:val="20"/>
                <w:szCs w:val="20"/>
                <w:color w:val="auto"/>
              </w:rPr>
            </w:pPr>
            <w:r>
              <w:rPr>
                <w:rFonts w:ascii="Arial" w:cs="Arial" w:eastAsia="Arial" w:hAnsi="Arial"/>
                <w:sz w:val="14"/>
                <w:szCs w:val="14"/>
                <w:color w:val="auto"/>
              </w:rPr>
              <w:t>Jerome O. Pedretti</w:t>
            </w:r>
          </w:p>
        </w:tc>
        <w:tc>
          <w:tcPr>
            <w:tcW w:w="800" w:type="dxa"/>
            <w:vAlign w:val="bottom"/>
          </w:tcPr>
          <w:p>
            <w:pPr>
              <w:jc w:val="right"/>
              <w:ind w:right="89"/>
              <w:spacing w:after="0" w:line="139" w:lineRule="exact"/>
              <w:rPr>
                <w:sz w:val="20"/>
                <w:szCs w:val="20"/>
                <w:color w:val="auto"/>
              </w:rPr>
            </w:pPr>
            <w:r>
              <w:rPr>
                <w:rFonts w:ascii="Arial" w:cs="Arial" w:eastAsia="Arial" w:hAnsi="Arial"/>
                <w:sz w:val="14"/>
                <w:szCs w:val="14"/>
                <w:color w:val="auto"/>
              </w:rPr>
              <w:t>52</w:t>
            </w:r>
          </w:p>
        </w:tc>
        <w:tc>
          <w:tcPr>
            <w:tcW w:w="8820" w:type="dxa"/>
            <w:vAlign w:val="bottom"/>
          </w:tcPr>
          <w:p>
            <w:pPr>
              <w:ind w:left="140"/>
              <w:spacing w:after="0" w:line="139" w:lineRule="exact"/>
              <w:rPr>
                <w:sz w:val="20"/>
                <w:szCs w:val="20"/>
                <w:color w:val="auto"/>
              </w:rPr>
            </w:pPr>
            <w:r>
              <w:rPr>
                <w:rFonts w:ascii="Arial" w:cs="Arial" w:eastAsia="Arial" w:hAnsi="Arial"/>
                <w:sz w:val="14"/>
                <w:szCs w:val="14"/>
                <w:color w:val="auto"/>
                <w:w w:val="96"/>
              </w:rPr>
              <w:t>Effective January 1, 2023, Mr. Pedretti is Executive Vice President and Chief Executive Officer of the new Pool reporting segment. Executive Vice</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4"/>
              </w:rPr>
              <w:t>President and President, Industrial &amp; Flow Technologies 2020 – 2022; Senior Vice President of Pentair’s former Aquatic Systems reporting segment</w:t>
            </w: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7"/>
              </w:rPr>
              <w:t>2016 – 2019; Vice President of Pentair’s former Valves &amp; Controls business 2014 – 2016; Vice President Growth Strategy 2010 – 2014; Various</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business leadership positions of Pentair 2005 – 2014; Consultant at Bain &amp; Co 2002 – 2005.</w:t>
            </w:r>
          </w:p>
        </w:tc>
      </w:tr>
      <w:tr>
        <w:trPr>
          <w:trHeight w:val="138"/>
        </w:trPr>
        <w:tc>
          <w:tcPr>
            <w:tcW w:w="1660" w:type="dxa"/>
            <w:vAlign w:val="bottom"/>
          </w:tcPr>
          <w:p>
            <w:pPr>
              <w:ind w:left="20"/>
              <w:spacing w:after="0" w:line="139" w:lineRule="exact"/>
              <w:rPr>
                <w:sz w:val="20"/>
                <w:szCs w:val="20"/>
                <w:color w:val="auto"/>
              </w:rPr>
            </w:pPr>
            <w:r>
              <w:rPr>
                <w:rFonts w:ascii="Arial" w:cs="Arial" w:eastAsia="Arial" w:hAnsi="Arial"/>
                <w:sz w:val="14"/>
                <w:szCs w:val="14"/>
                <w:color w:val="auto"/>
              </w:rPr>
              <w:t>Stephen J. Pilla</w:t>
            </w:r>
          </w:p>
        </w:tc>
        <w:tc>
          <w:tcPr>
            <w:tcW w:w="800" w:type="dxa"/>
            <w:vAlign w:val="bottom"/>
          </w:tcPr>
          <w:p>
            <w:pPr>
              <w:jc w:val="right"/>
              <w:ind w:right="89"/>
              <w:spacing w:after="0" w:line="139" w:lineRule="exact"/>
              <w:rPr>
                <w:sz w:val="20"/>
                <w:szCs w:val="20"/>
                <w:color w:val="auto"/>
              </w:rPr>
            </w:pPr>
            <w:r>
              <w:rPr>
                <w:rFonts w:ascii="Arial" w:cs="Arial" w:eastAsia="Arial" w:hAnsi="Arial"/>
                <w:sz w:val="14"/>
                <w:szCs w:val="14"/>
                <w:color w:val="auto"/>
              </w:rPr>
              <w:t>59</w:t>
            </w:r>
          </w:p>
        </w:tc>
        <w:tc>
          <w:tcPr>
            <w:tcW w:w="8820" w:type="dxa"/>
            <w:vAlign w:val="bottom"/>
          </w:tcPr>
          <w:p>
            <w:pPr>
              <w:ind w:left="140"/>
              <w:spacing w:after="0" w:line="139" w:lineRule="exact"/>
              <w:rPr>
                <w:sz w:val="20"/>
                <w:szCs w:val="20"/>
                <w:color w:val="auto"/>
              </w:rPr>
            </w:pPr>
            <w:r>
              <w:rPr>
                <w:rFonts w:ascii="Arial" w:cs="Arial" w:eastAsia="Arial" w:hAnsi="Arial"/>
                <w:sz w:val="14"/>
                <w:szCs w:val="14"/>
                <w:color w:val="auto"/>
                <w:w w:val="97"/>
              </w:rPr>
              <w:t>Effective January 1, 2023, Mr. Pilla is the Executive Vice President, Chief Supply Chain Officer and Chief Transformation Officer. Executive Vice</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2"/>
              </w:rPr>
              <w:t>President and Chief Supply Chain Officer since 2020; Vice President and Chief Supply Chain Officer of Red Wing Shoe Co. (a manufacturer of personal</w:t>
            </w: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6"/>
              </w:rPr>
              <w:t>protection equipment and footwear) 2017 – 2020; Vice President and General Manager of Pentair’s former Enclosure Division 2015 – 2017; Vice</w:t>
            </w:r>
          </w:p>
        </w:tc>
      </w:tr>
      <w:tr>
        <w:trPr>
          <w:trHeight w:val="13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2"/>
              </w:rPr>
              <w:t>President of Pentair’s Global Operations and Supply Chain 2014 – 2016; Vice President, Global Supply of Pentair 2009 – 2012; Various other business</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leadership positions of Pentair 2002 – 2009.</w:t>
            </w: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Karla C. Robertson</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52</w:t>
            </w: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3"/>
              </w:rPr>
              <w:t>Executive Vice President, General Counsel, Secretary and Chief Social Responsibility Officer since 2020; Executive Vice President, General Counsel</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4"/>
              </w:rPr>
              <w:t>and Secretary 2018 – 2020; General Counsel, Water segment 2017 – 2018; Executive Vice President, General Counsel and Corporate Secretary of</w:t>
            </w: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7"/>
              </w:rPr>
              <w:t>SUPERVALU Inc. (a wholesaler and retailer of grocery products) 2013 – 2017; Vice President, Employment, Compensation and Benefits Law of</w:t>
            </w:r>
          </w:p>
        </w:tc>
      </w:tr>
      <w:tr>
        <w:trPr>
          <w:trHeight w:val="13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6"/>
              </w:rPr>
              <w:t>SUPERVALU Inc. 2012 – 2013; Director, Employment Law of SUPERVALU Inc. 2011 – 2012; Senior Counsel, Employment Law of SUPERVALU</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5"/>
              </w:rPr>
              <w:t>Inc. 2009 – 2011; Senior Employee Relations Counsel of Target Corporation 2006 – 2008; Associate, Faegre &amp; Benson LLP 2000 – 2005; Judicial</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Clerk, United States District Court for the Southern District of Iowa 1998 – 2000.</w:t>
            </w: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Philip M. Rolchigo</w:t>
            </w:r>
          </w:p>
        </w:tc>
        <w:tc>
          <w:tcPr>
            <w:tcW w:w="800" w:type="dxa"/>
            <w:vAlign w:val="bottom"/>
          </w:tcPr>
          <w:p>
            <w:pPr>
              <w:jc w:val="right"/>
              <w:ind w:right="89"/>
              <w:spacing w:after="0" w:line="149" w:lineRule="exact"/>
              <w:rPr>
                <w:sz w:val="20"/>
                <w:szCs w:val="20"/>
                <w:color w:val="auto"/>
              </w:rPr>
            </w:pPr>
            <w:r>
              <w:rPr>
                <w:rFonts w:ascii="Arial" w:cs="Arial" w:eastAsia="Arial" w:hAnsi="Arial"/>
                <w:sz w:val="14"/>
                <w:szCs w:val="14"/>
                <w:color w:val="auto"/>
              </w:rPr>
              <w:t>61</w:t>
            </w: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3"/>
              </w:rPr>
              <w:t>Executive Vice President and Chief Technology Officer since 2018; Chief Technology Officer 2017 – 2018; Vice President of Technology 2015 – 2017;</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4"/>
              </w:rPr>
              <w:t>Vice President of Engineering 2007 – 2015; Business Development Director of Water Technologies business of GE Global Research Center 2006 –</w:t>
            </w:r>
          </w:p>
        </w:tc>
      </w:tr>
      <w:tr>
        <w:trPr>
          <w:trHeight w:val="148"/>
        </w:trPr>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20" w:type="dxa"/>
            <w:vAlign w:val="bottom"/>
          </w:tcPr>
          <w:p>
            <w:pPr>
              <w:ind w:left="140"/>
              <w:spacing w:after="0" w:line="149" w:lineRule="exact"/>
              <w:rPr>
                <w:sz w:val="20"/>
                <w:szCs w:val="20"/>
                <w:color w:val="auto"/>
              </w:rPr>
            </w:pPr>
            <w:r>
              <w:rPr>
                <w:rFonts w:ascii="Arial" w:cs="Arial" w:eastAsia="Arial" w:hAnsi="Arial"/>
                <w:sz w:val="14"/>
                <w:szCs w:val="14"/>
                <w:color w:val="auto"/>
                <w:w w:val="92"/>
              </w:rPr>
              <w:t>2007; Director of Technology of GE Water &amp; Process Technologies 2003 – 2006; Chief Technology Officer of Osmonics 2000 – 2003; Vice President of</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Research &amp; Development of Osmonics 1998 – 2000.</w:t>
            </w:r>
          </w:p>
        </w:tc>
      </w:tr>
      <w:tr>
        <w:trPr>
          <w:trHeight w:val="138"/>
        </w:trPr>
        <w:tc>
          <w:tcPr>
            <w:tcW w:w="1660" w:type="dxa"/>
            <w:vAlign w:val="bottom"/>
          </w:tcPr>
          <w:p>
            <w:pPr>
              <w:ind w:left="20"/>
              <w:spacing w:after="0" w:line="139" w:lineRule="exact"/>
              <w:rPr>
                <w:sz w:val="20"/>
                <w:szCs w:val="20"/>
                <w:color w:val="auto"/>
              </w:rPr>
            </w:pPr>
            <w:r>
              <w:rPr>
                <w:rFonts w:ascii="Arial" w:cs="Arial" w:eastAsia="Arial" w:hAnsi="Arial"/>
                <w:sz w:val="14"/>
                <w:szCs w:val="14"/>
                <w:color w:val="auto"/>
              </w:rPr>
              <w:t>De’Mon L. Wiggins</w:t>
            </w:r>
          </w:p>
        </w:tc>
        <w:tc>
          <w:tcPr>
            <w:tcW w:w="800" w:type="dxa"/>
            <w:vAlign w:val="bottom"/>
          </w:tcPr>
          <w:p>
            <w:pPr>
              <w:jc w:val="right"/>
              <w:ind w:right="89"/>
              <w:spacing w:after="0" w:line="139" w:lineRule="exact"/>
              <w:rPr>
                <w:sz w:val="20"/>
                <w:szCs w:val="20"/>
                <w:color w:val="auto"/>
              </w:rPr>
            </w:pPr>
            <w:r>
              <w:rPr>
                <w:rFonts w:ascii="Arial" w:cs="Arial" w:eastAsia="Arial" w:hAnsi="Arial"/>
                <w:sz w:val="14"/>
                <w:szCs w:val="14"/>
                <w:color w:val="auto"/>
              </w:rPr>
              <w:t>48</w:t>
            </w:r>
          </w:p>
        </w:tc>
        <w:tc>
          <w:tcPr>
            <w:tcW w:w="8820" w:type="dxa"/>
            <w:vAlign w:val="bottom"/>
          </w:tcPr>
          <w:p>
            <w:pPr>
              <w:ind w:left="140"/>
              <w:spacing w:after="0" w:line="139" w:lineRule="exact"/>
              <w:rPr>
                <w:sz w:val="20"/>
                <w:szCs w:val="20"/>
                <w:color w:val="auto"/>
              </w:rPr>
            </w:pPr>
            <w:r>
              <w:rPr>
                <w:rFonts w:ascii="Arial" w:cs="Arial" w:eastAsia="Arial" w:hAnsi="Arial"/>
                <w:sz w:val="14"/>
                <w:szCs w:val="14"/>
                <w:color w:val="auto"/>
                <w:w w:val="94"/>
              </w:rPr>
              <w:t>Effective January 1, 2023, Mr. Wiggins is Executive Vice President and President of the Industrial &amp; Flow Technologies segment. Group President of</w:t>
            </w:r>
          </w:p>
        </w:tc>
      </w:tr>
      <w:tr>
        <w:trPr>
          <w:trHeight w:val="138"/>
        </w:trPr>
        <w:tc>
          <w:tcPr>
            <w:tcW w:w="1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20" w:type="dxa"/>
            <w:vAlign w:val="bottom"/>
          </w:tcPr>
          <w:p>
            <w:pPr>
              <w:ind w:left="140"/>
              <w:spacing w:after="0" w:line="138" w:lineRule="exact"/>
              <w:rPr>
                <w:sz w:val="20"/>
                <w:szCs w:val="20"/>
                <w:color w:val="auto"/>
              </w:rPr>
            </w:pPr>
            <w:r>
              <w:rPr>
                <w:rFonts w:ascii="Arial" w:cs="Arial" w:eastAsia="Arial" w:hAnsi="Arial"/>
                <w:sz w:val="14"/>
                <w:szCs w:val="14"/>
                <w:color w:val="auto"/>
                <w:w w:val="95"/>
              </w:rPr>
              <w:t>Pentair’s Pool business 2021 – 2022; Vice President of Pentair’s Pool business 2017 – 2021; Vice President and Strategic Business Unit leader for</w:t>
            </w:r>
          </w:p>
        </w:tc>
      </w:tr>
      <w:tr>
        <w:trPr>
          <w:trHeight w:val="180"/>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20" w:type="dxa"/>
            <w:vAlign w:val="bottom"/>
          </w:tcPr>
          <w:p>
            <w:pPr>
              <w:ind w:left="140"/>
              <w:spacing w:after="0"/>
              <w:rPr>
                <w:sz w:val="20"/>
                <w:szCs w:val="20"/>
                <w:color w:val="auto"/>
              </w:rPr>
            </w:pPr>
            <w:r>
              <w:rPr>
                <w:rFonts w:ascii="Arial" w:cs="Arial" w:eastAsia="Arial" w:hAnsi="Arial"/>
                <w:sz w:val="14"/>
                <w:szCs w:val="14"/>
                <w:color w:val="auto"/>
              </w:rPr>
              <w:t>Pentair’s Fluid Motion platform 2016 – 2017; Various other business leadership positions of Pentair 2010 – 2016.</w:t>
            </w:r>
          </w:p>
        </w:tc>
      </w:tr>
      <w:tr>
        <w:trPr>
          <w:trHeight w:val="615"/>
        </w:trPr>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20" w:type="dxa"/>
            <w:vAlign w:val="bottom"/>
          </w:tcPr>
          <w:p>
            <w:pPr>
              <w:ind w:left="3120"/>
              <w:spacing w:after="0"/>
              <w:rPr>
                <w:sz w:val="20"/>
                <w:szCs w:val="20"/>
                <w:color w:val="auto"/>
              </w:rPr>
            </w:pPr>
            <w:r>
              <w:rPr>
                <w:rFonts w:ascii="Arial" w:cs="Arial" w:eastAsia="Arial" w:hAnsi="Arial"/>
                <w:sz w:val="14"/>
                <w:szCs w:val="14"/>
                <w:color w:val="auto"/>
              </w:rPr>
              <w:t>19</w:t>
            </w:r>
          </w:p>
        </w:tc>
      </w:tr>
      <w:tr>
        <w:trPr>
          <w:trHeight w:val="87"/>
        </w:trPr>
        <w:tc>
          <w:tcPr>
            <w:tcW w:w="166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66"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b w:val="1"/>
          <w:bCs w:val="1"/>
          <w:color w:val="auto"/>
        </w:rPr>
        <w:t>PART II</w:t>
      </w:r>
    </w:p>
    <w:p>
      <w:pPr>
        <w:spacing w:after="0" w:line="200" w:lineRule="exact"/>
        <w:rPr>
          <w:sz w:val="20"/>
          <w:szCs w:val="20"/>
          <w:color w:val="auto"/>
        </w:rPr>
      </w:pPr>
    </w:p>
    <w:p>
      <w:pPr>
        <w:ind w:right="980"/>
        <w:spacing w:after="0" w:line="480" w:lineRule="auto"/>
        <w:rPr>
          <w:sz w:val="20"/>
          <w:szCs w:val="20"/>
          <w:color w:val="auto"/>
        </w:rPr>
      </w:pPr>
      <w:r>
        <w:rPr>
          <w:rFonts w:ascii="Arial" w:cs="Arial" w:eastAsia="Arial" w:hAnsi="Arial"/>
          <w:sz w:val="13"/>
          <w:szCs w:val="13"/>
          <w:b w:val="1"/>
          <w:bCs w:val="1"/>
          <w:color w:val="auto"/>
        </w:rPr>
        <w:t xml:space="preserve">ITEM 5. MARKET FOR REGISTRANT’S COMMON EQUITY, RELATED STOCKHOLDER MATTERS AND ISSUER PURCHASES OF EQUITY SECURITIES </w:t>
      </w:r>
      <w:r>
        <w:rPr>
          <w:rFonts w:ascii="Arial" w:cs="Arial" w:eastAsia="Arial" w:hAnsi="Arial"/>
          <w:sz w:val="13"/>
          <w:szCs w:val="13"/>
          <w:color w:val="auto"/>
        </w:rPr>
        <w:t>Our ordinary shares are listed for trading on the New York Stock Exchange (“NYSE”) under the symbol “PNR.” As of December 31, 2022, there were 12,940 shareholders of record.</w:t>
      </w:r>
    </w:p>
    <w:p>
      <w:pPr>
        <w:jc w:val="both"/>
        <w:spacing w:after="0" w:line="268" w:lineRule="auto"/>
        <w:rPr>
          <w:sz w:val="20"/>
          <w:szCs w:val="20"/>
          <w:color w:val="auto"/>
        </w:rPr>
      </w:pPr>
      <w:r>
        <w:rPr>
          <w:rFonts w:ascii="Arial" w:cs="Arial" w:eastAsia="Arial" w:hAnsi="Arial"/>
          <w:sz w:val="14"/>
          <w:szCs w:val="14"/>
          <w:color w:val="auto"/>
        </w:rPr>
        <w:t>Pentair has paid 188 consecutive quarterly cash dividends, including most recently a dividend of $0.21 per share in the fourth quarter of 2022. On December 12, 2022, Pentair’s Board of Directors approved a 5 percent increase in the Company’s regular quarterly cash dividend rate (from $0.21 per share to $0.22 per share) that was paid on February 3, 2023 to shareholders of record at the close of business on January 20, 2023. 2023 marks the 47</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consecutive year that Pentair has increased its dividend.</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Performance Graph</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spacing w:after="0" w:line="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following graph sets forth the cumulative total shareholder return on our ordinary shares for the last five years, assuming the investment of $100 on December 31, 2017 and the reinvestment of all dividends since that date to December 31, 2022. The graph also contains for comparison purposes the S&amp;P 500 Index and the S&amp;P 500 Industrials Index, assuming the same investment level and reinvestment of dividends.</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By virtue of our market capitalization, we are a component of the S&amp;P 500 Index. On the basis of our size and diversity of businesses, we believe the S&amp;P 500 Industrials Index is an appropriate published industry index for comparison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4608195" cy="23780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08195" cy="2378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0" w:type="dxa"/>
            <w:vAlign w:val="bottom"/>
          </w:tcPr>
          <w:p>
            <w:pPr>
              <w:jc w:val="center"/>
              <w:ind w:left="209"/>
              <w:spacing w:after="0"/>
              <w:rPr>
                <w:sz w:val="20"/>
                <w:szCs w:val="20"/>
                <w:color w:val="auto"/>
              </w:rPr>
            </w:pPr>
            <w:r>
              <w:rPr>
                <w:rFonts w:ascii="Arial" w:cs="Arial" w:eastAsia="Arial" w:hAnsi="Arial"/>
                <w:sz w:val="14"/>
                <w:szCs w:val="14"/>
                <w:b w:val="1"/>
                <w:bCs w:val="1"/>
                <w:color w:val="auto"/>
                <w:w w:val="88"/>
              </w:rPr>
              <w:t>Base Period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3"/>
          </w:tcPr>
          <w:p>
            <w:pPr>
              <w:jc w:val="center"/>
              <w:ind w:right="149"/>
              <w:spacing w:after="0"/>
              <w:rPr>
                <w:sz w:val="20"/>
                <w:szCs w:val="20"/>
                <w:color w:val="auto"/>
              </w:rPr>
            </w:pPr>
            <w:r>
              <w:rPr>
                <w:rFonts w:ascii="Arial" w:cs="Arial" w:eastAsia="Arial" w:hAnsi="Arial"/>
                <w:sz w:val="14"/>
                <w:szCs w:val="14"/>
                <w:b w:val="1"/>
                <w:bCs w:val="1"/>
                <w:color w:val="auto"/>
              </w:rPr>
              <w:t>INDEXED RETURNS</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7"/>
        </w:trPr>
        <w:tc>
          <w:tcPr>
            <w:tcW w:w="3700" w:type="dxa"/>
            <w:vAlign w:val="bottom"/>
          </w:tcPr>
          <w:p>
            <w:pPr>
              <w:spacing w:after="0"/>
              <w:rPr>
                <w:sz w:val="16"/>
                <w:szCs w:val="16"/>
                <w:color w:val="auto"/>
              </w:rPr>
            </w:pPr>
          </w:p>
        </w:tc>
        <w:tc>
          <w:tcPr>
            <w:tcW w:w="100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b w:val="1"/>
                <w:bCs w:val="1"/>
                <w:color w:val="auto"/>
                <w:w w:val="91"/>
              </w:rPr>
              <w:t>December</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left="609"/>
              <w:spacing w:after="0"/>
              <w:rPr>
                <w:sz w:val="20"/>
                <w:szCs w:val="20"/>
                <w:color w:val="auto"/>
              </w:rPr>
            </w:pPr>
            <w:r>
              <w:rPr>
                <w:rFonts w:ascii="Arial" w:cs="Arial" w:eastAsia="Arial" w:hAnsi="Arial"/>
                <w:sz w:val="14"/>
                <w:szCs w:val="14"/>
                <w:b w:val="1"/>
                <w:bCs w:val="1"/>
                <w:color w:val="auto"/>
                <w:w w:val="89"/>
              </w:rPr>
              <w:t>Years ended December 31</w:t>
            </w: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5"/>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 / Index</w:t>
            </w:r>
          </w:p>
        </w:tc>
        <w:tc>
          <w:tcPr>
            <w:tcW w:w="1000" w:type="dxa"/>
            <w:vAlign w:val="bottom"/>
            <w:tcBorders>
              <w:bottom w:val="single" w:sz="8" w:color="auto"/>
            </w:tcBorders>
          </w:tcPr>
          <w:p>
            <w:pPr>
              <w:jc w:val="center"/>
              <w:ind w:left="209"/>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2022</w:t>
            </w:r>
          </w:p>
        </w:tc>
      </w:tr>
      <w:tr>
        <w:trPr>
          <w:trHeight w:val="171"/>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Pentair plc</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100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81.14</w:t>
            </w:r>
          </w:p>
        </w:tc>
        <w:tc>
          <w:tcPr>
            <w:tcW w:w="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100.35</w:t>
            </w:r>
          </w:p>
        </w:tc>
        <w:tc>
          <w:tcPr>
            <w:tcW w:w="34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118.30</w:t>
            </w:r>
          </w:p>
        </w:tc>
        <w:tc>
          <w:tcPr>
            <w:tcW w:w="34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164.73</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103.16</w:t>
            </w:r>
          </w:p>
        </w:tc>
      </w:tr>
      <w:tr>
        <w:trPr>
          <w:trHeight w:val="180"/>
        </w:trPr>
        <w:tc>
          <w:tcPr>
            <w:tcW w:w="3700" w:type="dxa"/>
            <w:vAlign w:val="bottom"/>
          </w:tcPr>
          <w:p>
            <w:pPr>
              <w:ind w:left="20"/>
              <w:spacing w:after="0"/>
              <w:rPr>
                <w:sz w:val="20"/>
                <w:szCs w:val="20"/>
                <w:color w:val="auto"/>
              </w:rPr>
            </w:pPr>
            <w:r>
              <w:rPr>
                <w:rFonts w:ascii="Arial" w:cs="Arial" w:eastAsia="Arial" w:hAnsi="Arial"/>
                <w:sz w:val="14"/>
                <w:szCs w:val="14"/>
                <w:b w:val="1"/>
                <w:bCs w:val="1"/>
                <w:color w:val="auto"/>
              </w:rPr>
              <w:t>S&amp;P 500 Index</w:t>
            </w:r>
          </w:p>
        </w:tc>
        <w:tc>
          <w:tcPr>
            <w:tcW w:w="10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100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95.62</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125.72</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148.85</w:t>
            </w: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191.58</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156.88</w:t>
            </w:r>
          </w:p>
        </w:tc>
      </w:tr>
      <w:tr>
        <w:trPr>
          <w:trHeight w:val="180"/>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S&amp;P 500 Industrials Index</w:t>
            </w: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100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96.95</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127.95</w:t>
            </w: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157.60</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201.56</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162.45</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Purchases of Equity Securities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with respect to purchases we made of our ordinary shares during the fourth quarter of 2022:</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40" w:type="dxa"/>
            <w:vAlign w:val="bottom"/>
          </w:tcPr>
          <w:p>
            <w:pPr>
              <w:jc w:val="center"/>
              <w:ind w:left="3369"/>
              <w:spacing w:after="0"/>
              <w:rPr>
                <w:sz w:val="20"/>
                <w:szCs w:val="20"/>
                <w:color w:val="auto"/>
              </w:rPr>
            </w:pPr>
            <w:r>
              <w:rPr>
                <w:rFonts w:ascii="Arial" w:cs="Arial" w:eastAsia="Arial" w:hAnsi="Arial"/>
                <w:sz w:val="14"/>
                <w:szCs w:val="14"/>
                <w:b w:val="1"/>
                <w:bCs w:val="1"/>
                <w:color w:val="auto"/>
                <w:w w:val="93"/>
              </w:rPr>
              <w:t>(a)</w:t>
            </w:r>
          </w:p>
        </w:tc>
        <w:tc>
          <w:tcPr>
            <w:tcW w:w="460" w:type="dxa"/>
            <w:vAlign w:val="bottom"/>
          </w:tcPr>
          <w:p>
            <w:pPr>
              <w:spacing w:after="0"/>
              <w:rPr>
                <w:sz w:val="15"/>
                <w:szCs w:val="15"/>
                <w:color w:val="auto"/>
              </w:rPr>
            </w:pPr>
          </w:p>
        </w:tc>
        <w:tc>
          <w:tcPr>
            <w:tcW w:w="1460" w:type="dxa"/>
            <w:vAlign w:val="bottom"/>
          </w:tcPr>
          <w:p>
            <w:pPr>
              <w:jc w:val="center"/>
              <w:ind w:left="489"/>
              <w:spacing w:after="0"/>
              <w:rPr>
                <w:sz w:val="20"/>
                <w:szCs w:val="20"/>
                <w:color w:val="auto"/>
              </w:rPr>
            </w:pPr>
            <w:r>
              <w:rPr>
                <w:rFonts w:ascii="Arial" w:cs="Arial" w:eastAsia="Arial" w:hAnsi="Arial"/>
                <w:sz w:val="14"/>
                <w:szCs w:val="14"/>
                <w:b w:val="1"/>
                <w:bCs w:val="1"/>
                <w:color w:val="auto"/>
              </w:rPr>
              <w:t>(b)</w:t>
            </w:r>
          </w:p>
        </w:tc>
        <w:tc>
          <w:tcPr>
            <w:tcW w:w="2420" w:type="dxa"/>
            <w:vAlign w:val="bottom"/>
          </w:tcPr>
          <w:p>
            <w:pPr>
              <w:jc w:val="center"/>
              <w:ind w:left="769"/>
              <w:spacing w:after="0"/>
              <w:rPr>
                <w:sz w:val="20"/>
                <w:szCs w:val="20"/>
                <w:color w:val="auto"/>
              </w:rPr>
            </w:pPr>
            <w:r>
              <w:rPr>
                <w:rFonts w:ascii="Arial" w:cs="Arial" w:eastAsia="Arial" w:hAnsi="Arial"/>
                <w:sz w:val="14"/>
                <w:szCs w:val="14"/>
                <w:b w:val="1"/>
                <w:bCs w:val="1"/>
                <w:color w:val="auto"/>
                <w:w w:val="81"/>
              </w:rPr>
              <w:t>(c)</w:t>
            </w:r>
          </w:p>
        </w:tc>
        <w:tc>
          <w:tcPr>
            <w:tcW w:w="640" w:type="dxa"/>
            <w:vAlign w:val="bottom"/>
          </w:tcPr>
          <w:p>
            <w:pPr>
              <w:spacing w:after="0"/>
              <w:rPr>
                <w:sz w:val="15"/>
                <w:szCs w:val="15"/>
                <w:color w:val="auto"/>
              </w:rPr>
            </w:pPr>
          </w:p>
        </w:tc>
        <w:tc>
          <w:tcPr>
            <w:tcW w:w="1840" w:type="dxa"/>
            <w:vAlign w:val="bottom"/>
          </w:tcPr>
          <w:p>
            <w:pPr>
              <w:jc w:val="center"/>
              <w:ind w:right="269"/>
              <w:spacing w:after="0"/>
              <w:rPr>
                <w:sz w:val="20"/>
                <w:szCs w:val="20"/>
                <w:color w:val="auto"/>
              </w:rPr>
            </w:pPr>
            <w:r>
              <w:rPr>
                <w:rFonts w:ascii="Arial" w:cs="Arial" w:eastAsia="Arial" w:hAnsi="Arial"/>
                <w:sz w:val="14"/>
                <w:szCs w:val="14"/>
                <w:b w:val="1"/>
                <w:bCs w:val="1"/>
                <w:color w:val="auto"/>
              </w:rPr>
              <w:t>(d)</w:t>
            </w:r>
          </w:p>
        </w:tc>
      </w:tr>
      <w:tr>
        <w:trPr>
          <w:trHeight w:val="142"/>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20" w:type="dxa"/>
            <w:vAlign w:val="bottom"/>
          </w:tcPr>
          <w:p>
            <w:pPr>
              <w:jc w:val="center"/>
              <w:ind w:left="729"/>
              <w:spacing w:after="0" w:line="142" w:lineRule="exact"/>
              <w:rPr>
                <w:sz w:val="20"/>
                <w:szCs w:val="20"/>
                <w:color w:val="auto"/>
              </w:rPr>
            </w:pPr>
            <w:r>
              <w:rPr>
                <w:rFonts w:ascii="Arial" w:cs="Arial" w:eastAsia="Arial" w:hAnsi="Arial"/>
                <w:sz w:val="14"/>
                <w:szCs w:val="14"/>
                <w:b w:val="1"/>
                <w:bCs w:val="1"/>
                <w:color w:val="auto"/>
                <w:w w:val="92"/>
              </w:rPr>
              <w:t>Total number</w:t>
            </w:r>
          </w:p>
        </w:tc>
        <w:tc>
          <w:tcPr>
            <w:tcW w:w="640" w:type="dxa"/>
            <w:vAlign w:val="bottom"/>
          </w:tcPr>
          <w:p>
            <w:pPr>
              <w:spacing w:after="0"/>
              <w:rPr>
                <w:sz w:val="12"/>
                <w:szCs w:val="12"/>
                <w:color w:val="auto"/>
              </w:rPr>
            </w:pPr>
          </w:p>
        </w:tc>
        <w:tc>
          <w:tcPr>
            <w:tcW w:w="1840" w:type="dxa"/>
            <w:vAlign w:val="bottom"/>
          </w:tcPr>
          <w:p>
            <w:pPr>
              <w:jc w:val="center"/>
              <w:ind w:right="269"/>
              <w:spacing w:after="0" w:line="142" w:lineRule="exact"/>
              <w:rPr>
                <w:sz w:val="20"/>
                <w:szCs w:val="20"/>
                <w:color w:val="auto"/>
              </w:rPr>
            </w:pPr>
            <w:r>
              <w:rPr>
                <w:rFonts w:ascii="Arial" w:cs="Arial" w:eastAsia="Arial" w:hAnsi="Arial"/>
                <w:sz w:val="14"/>
                <w:szCs w:val="14"/>
                <w:b w:val="1"/>
                <w:bCs w:val="1"/>
                <w:color w:val="auto"/>
                <w:w w:val="93"/>
              </w:rPr>
              <w:t>Dollar value of</w:t>
            </w:r>
          </w:p>
        </w:tc>
      </w:tr>
      <w:tr>
        <w:trPr>
          <w:trHeight w:val="138"/>
        </w:trPr>
        <w:tc>
          <w:tcPr>
            <w:tcW w:w="4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20" w:type="dxa"/>
            <w:vAlign w:val="bottom"/>
          </w:tcPr>
          <w:p>
            <w:pPr>
              <w:jc w:val="center"/>
              <w:ind w:left="749"/>
              <w:spacing w:after="0" w:line="138" w:lineRule="exact"/>
              <w:rPr>
                <w:sz w:val="20"/>
                <w:szCs w:val="20"/>
                <w:color w:val="auto"/>
              </w:rPr>
            </w:pPr>
            <w:r>
              <w:rPr>
                <w:rFonts w:ascii="Arial" w:cs="Arial" w:eastAsia="Arial" w:hAnsi="Arial"/>
                <w:sz w:val="14"/>
                <w:szCs w:val="14"/>
                <w:b w:val="1"/>
                <w:bCs w:val="1"/>
                <w:color w:val="auto"/>
                <w:w w:val="86"/>
              </w:rPr>
              <w:t>of shares purchased as</w:t>
            </w:r>
          </w:p>
        </w:tc>
        <w:tc>
          <w:tcPr>
            <w:tcW w:w="640" w:type="dxa"/>
            <w:vAlign w:val="bottom"/>
          </w:tcPr>
          <w:p>
            <w:pPr>
              <w:spacing w:after="0"/>
              <w:rPr>
                <w:sz w:val="11"/>
                <w:szCs w:val="11"/>
                <w:color w:val="auto"/>
              </w:rPr>
            </w:pPr>
          </w:p>
        </w:tc>
        <w:tc>
          <w:tcPr>
            <w:tcW w:w="1840" w:type="dxa"/>
            <w:vAlign w:val="bottom"/>
          </w:tcPr>
          <w:p>
            <w:pPr>
              <w:jc w:val="center"/>
              <w:ind w:right="269"/>
              <w:spacing w:after="0" w:line="138" w:lineRule="exact"/>
              <w:rPr>
                <w:sz w:val="20"/>
                <w:szCs w:val="20"/>
                <w:color w:val="auto"/>
              </w:rPr>
            </w:pPr>
            <w:r>
              <w:rPr>
                <w:rFonts w:ascii="Arial" w:cs="Arial" w:eastAsia="Arial" w:hAnsi="Arial"/>
                <w:sz w:val="14"/>
                <w:szCs w:val="14"/>
                <w:b w:val="1"/>
                <w:bCs w:val="1"/>
                <w:color w:val="auto"/>
                <w:w w:val="88"/>
              </w:rPr>
              <w:t>shares that may</w:t>
            </w:r>
          </w:p>
        </w:tc>
      </w:tr>
      <w:tr>
        <w:trPr>
          <w:trHeight w:val="149"/>
        </w:trPr>
        <w:tc>
          <w:tcPr>
            <w:tcW w:w="4440" w:type="dxa"/>
            <w:vAlign w:val="bottom"/>
          </w:tcPr>
          <w:p>
            <w:pPr>
              <w:jc w:val="center"/>
              <w:ind w:left="3349"/>
              <w:spacing w:after="0" w:line="149" w:lineRule="exact"/>
              <w:rPr>
                <w:sz w:val="20"/>
                <w:szCs w:val="20"/>
                <w:color w:val="auto"/>
              </w:rPr>
            </w:pPr>
            <w:r>
              <w:rPr>
                <w:rFonts w:ascii="Arial" w:cs="Arial" w:eastAsia="Arial" w:hAnsi="Arial"/>
                <w:sz w:val="14"/>
                <w:szCs w:val="14"/>
                <w:b w:val="1"/>
                <w:bCs w:val="1"/>
                <w:color w:val="auto"/>
                <w:w w:val="92"/>
              </w:rPr>
              <w:t>Total number</w:t>
            </w:r>
          </w:p>
        </w:tc>
        <w:tc>
          <w:tcPr>
            <w:tcW w:w="460" w:type="dxa"/>
            <w:vAlign w:val="bottom"/>
          </w:tcPr>
          <w:p>
            <w:pPr>
              <w:spacing w:after="0"/>
              <w:rPr>
                <w:sz w:val="12"/>
                <w:szCs w:val="12"/>
                <w:color w:val="auto"/>
              </w:rPr>
            </w:pPr>
          </w:p>
        </w:tc>
        <w:tc>
          <w:tcPr>
            <w:tcW w:w="1460" w:type="dxa"/>
            <w:vAlign w:val="bottom"/>
          </w:tcPr>
          <w:p>
            <w:pPr>
              <w:jc w:val="center"/>
              <w:ind w:left="469"/>
              <w:spacing w:after="0" w:line="149" w:lineRule="exact"/>
              <w:rPr>
                <w:sz w:val="20"/>
                <w:szCs w:val="20"/>
                <w:color w:val="auto"/>
              </w:rPr>
            </w:pPr>
            <w:r>
              <w:rPr>
                <w:rFonts w:ascii="Arial" w:cs="Arial" w:eastAsia="Arial" w:hAnsi="Arial"/>
                <w:sz w:val="14"/>
                <w:szCs w:val="14"/>
                <w:b w:val="1"/>
                <w:bCs w:val="1"/>
                <w:color w:val="auto"/>
                <w:w w:val="86"/>
              </w:rPr>
              <w:t>Average</w:t>
            </w:r>
          </w:p>
        </w:tc>
        <w:tc>
          <w:tcPr>
            <w:tcW w:w="2420" w:type="dxa"/>
            <w:vAlign w:val="bottom"/>
          </w:tcPr>
          <w:p>
            <w:pPr>
              <w:jc w:val="center"/>
              <w:ind w:left="769"/>
              <w:spacing w:after="0" w:line="149" w:lineRule="exact"/>
              <w:rPr>
                <w:sz w:val="20"/>
                <w:szCs w:val="20"/>
                <w:color w:val="auto"/>
              </w:rPr>
            </w:pPr>
            <w:r>
              <w:rPr>
                <w:rFonts w:ascii="Arial" w:cs="Arial" w:eastAsia="Arial" w:hAnsi="Arial"/>
                <w:sz w:val="14"/>
                <w:szCs w:val="14"/>
                <w:b w:val="1"/>
                <w:bCs w:val="1"/>
                <w:color w:val="auto"/>
                <w:w w:val="93"/>
              </w:rPr>
              <w:t>part of publicly</w:t>
            </w:r>
          </w:p>
        </w:tc>
        <w:tc>
          <w:tcPr>
            <w:tcW w:w="640" w:type="dxa"/>
            <w:vAlign w:val="bottom"/>
          </w:tcPr>
          <w:p>
            <w:pPr>
              <w:spacing w:after="0"/>
              <w:rPr>
                <w:sz w:val="12"/>
                <w:szCs w:val="12"/>
                <w:color w:val="auto"/>
              </w:rPr>
            </w:pPr>
          </w:p>
        </w:tc>
        <w:tc>
          <w:tcPr>
            <w:tcW w:w="184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88"/>
              </w:rPr>
              <w:t>yet be purchased</w:t>
            </w:r>
          </w:p>
        </w:tc>
      </w:tr>
      <w:tr>
        <w:trPr>
          <w:trHeight w:val="138"/>
        </w:trPr>
        <w:tc>
          <w:tcPr>
            <w:tcW w:w="4440" w:type="dxa"/>
            <w:vAlign w:val="bottom"/>
          </w:tcPr>
          <w:p>
            <w:pPr>
              <w:jc w:val="center"/>
              <w:ind w:left="3369"/>
              <w:spacing w:after="0" w:line="138" w:lineRule="exact"/>
              <w:rPr>
                <w:sz w:val="20"/>
                <w:szCs w:val="20"/>
                <w:color w:val="auto"/>
              </w:rPr>
            </w:pPr>
            <w:r>
              <w:rPr>
                <w:rFonts w:ascii="Arial" w:cs="Arial" w:eastAsia="Arial" w:hAnsi="Arial"/>
                <w:sz w:val="14"/>
                <w:szCs w:val="14"/>
                <w:b w:val="1"/>
                <w:bCs w:val="1"/>
                <w:color w:val="auto"/>
                <w:w w:val="83"/>
              </w:rPr>
              <w:t>of shares</w:t>
            </w:r>
          </w:p>
        </w:tc>
        <w:tc>
          <w:tcPr>
            <w:tcW w:w="460" w:type="dxa"/>
            <w:vAlign w:val="bottom"/>
          </w:tcPr>
          <w:p>
            <w:pPr>
              <w:spacing w:after="0"/>
              <w:rPr>
                <w:sz w:val="11"/>
                <w:szCs w:val="11"/>
                <w:color w:val="auto"/>
              </w:rPr>
            </w:pPr>
          </w:p>
        </w:tc>
        <w:tc>
          <w:tcPr>
            <w:tcW w:w="1460" w:type="dxa"/>
            <w:vAlign w:val="bottom"/>
          </w:tcPr>
          <w:p>
            <w:pPr>
              <w:jc w:val="center"/>
              <w:ind w:left="469"/>
              <w:spacing w:after="0" w:line="138" w:lineRule="exact"/>
              <w:rPr>
                <w:sz w:val="20"/>
                <w:szCs w:val="20"/>
                <w:color w:val="auto"/>
              </w:rPr>
            </w:pPr>
            <w:r>
              <w:rPr>
                <w:rFonts w:ascii="Arial" w:cs="Arial" w:eastAsia="Arial" w:hAnsi="Arial"/>
                <w:sz w:val="14"/>
                <w:szCs w:val="14"/>
                <w:b w:val="1"/>
                <w:bCs w:val="1"/>
                <w:color w:val="auto"/>
                <w:w w:val="90"/>
              </w:rPr>
              <w:t>price paid</w:t>
            </w:r>
          </w:p>
        </w:tc>
        <w:tc>
          <w:tcPr>
            <w:tcW w:w="2420" w:type="dxa"/>
            <w:vAlign w:val="bottom"/>
          </w:tcPr>
          <w:p>
            <w:pPr>
              <w:jc w:val="center"/>
              <w:ind w:left="729"/>
              <w:spacing w:after="0" w:line="138" w:lineRule="exact"/>
              <w:rPr>
                <w:sz w:val="20"/>
                <w:szCs w:val="20"/>
                <w:color w:val="auto"/>
              </w:rPr>
            </w:pPr>
            <w:r>
              <w:rPr>
                <w:rFonts w:ascii="Arial" w:cs="Arial" w:eastAsia="Arial" w:hAnsi="Arial"/>
                <w:sz w:val="14"/>
                <w:szCs w:val="14"/>
                <w:b w:val="1"/>
                <w:bCs w:val="1"/>
                <w:color w:val="auto"/>
                <w:w w:val="88"/>
              </w:rPr>
              <w:t>announced plans</w:t>
            </w:r>
          </w:p>
        </w:tc>
        <w:tc>
          <w:tcPr>
            <w:tcW w:w="640" w:type="dxa"/>
            <w:vAlign w:val="bottom"/>
          </w:tcPr>
          <w:p>
            <w:pPr>
              <w:spacing w:after="0"/>
              <w:rPr>
                <w:sz w:val="11"/>
                <w:szCs w:val="11"/>
                <w:color w:val="auto"/>
              </w:rPr>
            </w:pPr>
          </w:p>
        </w:tc>
        <w:tc>
          <w:tcPr>
            <w:tcW w:w="1840" w:type="dxa"/>
            <w:vAlign w:val="bottom"/>
          </w:tcPr>
          <w:p>
            <w:pPr>
              <w:jc w:val="center"/>
              <w:ind w:right="309"/>
              <w:spacing w:after="0" w:line="138" w:lineRule="exact"/>
              <w:rPr>
                <w:sz w:val="20"/>
                <w:szCs w:val="20"/>
                <w:color w:val="auto"/>
              </w:rPr>
            </w:pPr>
            <w:r>
              <w:rPr>
                <w:rFonts w:ascii="Arial" w:cs="Arial" w:eastAsia="Arial" w:hAnsi="Arial"/>
                <w:sz w:val="14"/>
                <w:szCs w:val="14"/>
                <w:b w:val="1"/>
                <w:bCs w:val="1"/>
                <w:color w:val="auto"/>
                <w:w w:val="90"/>
              </w:rPr>
              <w:t>under the plans</w:t>
            </w:r>
          </w:p>
        </w:tc>
      </w:tr>
      <w:tr>
        <w:trPr>
          <w:trHeight w:val="187"/>
        </w:trPr>
        <w:tc>
          <w:tcPr>
            <w:tcW w:w="4440" w:type="dxa"/>
            <w:vAlign w:val="bottom"/>
            <w:tcBorders>
              <w:bottom w:val="single" w:sz="8" w:color="auto"/>
            </w:tcBorders>
          </w:tcPr>
          <w:p>
            <w:pPr>
              <w:jc w:val="center"/>
              <w:ind w:left="3369"/>
              <w:spacing w:after="0"/>
              <w:rPr>
                <w:sz w:val="20"/>
                <w:szCs w:val="20"/>
                <w:color w:val="auto"/>
              </w:rPr>
            </w:pPr>
            <w:r>
              <w:rPr>
                <w:rFonts w:ascii="Arial" w:cs="Arial" w:eastAsia="Arial" w:hAnsi="Arial"/>
                <w:sz w:val="14"/>
                <w:szCs w:val="14"/>
                <w:b w:val="1"/>
                <w:bCs w:val="1"/>
                <w:color w:val="auto"/>
                <w:w w:val="90"/>
              </w:rPr>
              <w:t>purchased</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left="509"/>
              <w:spacing w:after="0"/>
              <w:rPr>
                <w:sz w:val="20"/>
                <w:szCs w:val="20"/>
                <w:color w:val="auto"/>
              </w:rPr>
            </w:pPr>
            <w:r>
              <w:rPr>
                <w:rFonts w:ascii="Arial" w:cs="Arial" w:eastAsia="Arial" w:hAnsi="Arial"/>
                <w:sz w:val="14"/>
                <w:szCs w:val="14"/>
                <w:b w:val="1"/>
                <w:bCs w:val="1"/>
                <w:color w:val="auto"/>
                <w:w w:val="88"/>
              </w:rPr>
              <w:t>per share</w:t>
            </w:r>
          </w:p>
        </w:tc>
        <w:tc>
          <w:tcPr>
            <w:tcW w:w="24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w w:val="89"/>
              </w:rPr>
              <w:t>or programs</w:t>
            </w: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b w:val="1"/>
                <w:bCs w:val="1"/>
                <w:color w:val="auto"/>
                <w:w w:val="89"/>
              </w:rPr>
              <w:t>or programs</w:t>
            </w:r>
          </w:p>
        </w:tc>
      </w:tr>
      <w:tr>
        <w:trPr>
          <w:trHeight w:val="174"/>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1 – October 29</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460" w:type="dxa"/>
            <w:vAlign w:val="bottom"/>
            <w:shd w:val="clear" w:color="auto" w:fill="CCEEFF"/>
          </w:tcPr>
          <w:p>
            <w:pPr>
              <w:jc w:val="right"/>
              <w:ind w:right="1269"/>
              <w:spacing w:after="0"/>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jc w:val="right"/>
              <w:ind w:right="1869"/>
              <w:spacing w:after="0"/>
              <w:rPr>
                <w:sz w:val="20"/>
                <w:szCs w:val="20"/>
                <w:color w:val="auto"/>
              </w:rPr>
            </w:pPr>
            <w:r>
              <w:rPr>
                <w:rFonts w:ascii="Arial" w:cs="Arial" w:eastAsia="Arial" w:hAnsi="Arial"/>
                <w:sz w:val="14"/>
                <w:szCs w:val="14"/>
                <w:color w:val="auto"/>
              </w:rPr>
              <w:t>41.81</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 $</w:t>
            </w:r>
          </w:p>
        </w:tc>
        <w:tc>
          <w:tcPr>
            <w:tcW w:w="1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600,002,203</w:t>
            </w: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October 30 – November 26</w:t>
            </w:r>
          </w:p>
        </w:tc>
        <w:tc>
          <w:tcPr>
            <w:tcW w:w="460" w:type="dxa"/>
            <w:vAlign w:val="bottom"/>
          </w:tcPr>
          <w:p>
            <w:pPr>
              <w:jc w:val="right"/>
              <w:spacing w:after="0"/>
              <w:rPr>
                <w:sz w:val="20"/>
                <w:szCs w:val="20"/>
                <w:color w:val="auto"/>
              </w:rPr>
            </w:pPr>
            <w:r>
              <w:rPr>
                <w:rFonts w:ascii="Arial" w:cs="Arial" w:eastAsia="Arial" w:hAnsi="Arial"/>
                <w:sz w:val="14"/>
                <w:szCs w:val="14"/>
                <w:color w:val="auto"/>
              </w:rPr>
              <w:t>1,014</w:t>
            </w:r>
          </w:p>
        </w:tc>
        <w:tc>
          <w:tcPr>
            <w:tcW w:w="1460" w:type="dxa"/>
            <w:vAlign w:val="bottom"/>
          </w:tcPr>
          <w:p>
            <w:pPr>
              <w:spacing w:after="0"/>
              <w:rPr>
                <w:sz w:val="15"/>
                <w:szCs w:val="15"/>
                <w:color w:val="auto"/>
              </w:rPr>
            </w:pPr>
          </w:p>
        </w:tc>
        <w:tc>
          <w:tcPr>
            <w:tcW w:w="2420" w:type="dxa"/>
            <w:vAlign w:val="bottom"/>
          </w:tcPr>
          <w:p>
            <w:pPr>
              <w:jc w:val="right"/>
              <w:ind w:right="1869"/>
              <w:spacing w:after="0"/>
              <w:rPr>
                <w:sz w:val="20"/>
                <w:szCs w:val="20"/>
                <w:color w:val="auto"/>
              </w:rPr>
            </w:pPr>
            <w:r>
              <w:rPr>
                <w:rFonts w:ascii="Arial" w:cs="Arial" w:eastAsia="Arial" w:hAnsi="Arial"/>
                <w:sz w:val="14"/>
                <w:szCs w:val="14"/>
                <w:color w:val="auto"/>
              </w:rPr>
              <w:t>42.50</w:t>
            </w:r>
          </w:p>
        </w:tc>
        <w:tc>
          <w:tcPr>
            <w:tcW w:w="640" w:type="dxa"/>
            <w:vAlign w:val="bottom"/>
          </w:tcPr>
          <w:p>
            <w:pPr>
              <w:ind w:left="100"/>
              <w:spacing w:after="0"/>
              <w:rPr>
                <w:sz w:val="20"/>
                <w:szCs w:val="20"/>
                <w:color w:val="auto"/>
              </w:rPr>
            </w:pPr>
            <w:r>
              <w:rPr>
                <w:rFonts w:ascii="Arial" w:cs="Arial" w:eastAsia="Arial" w:hAnsi="Arial"/>
                <w:sz w:val="14"/>
                <w:szCs w:val="14"/>
                <w:color w:val="auto"/>
              </w:rPr>
              <w:t>—</w:t>
            </w:r>
          </w:p>
        </w:tc>
        <w:tc>
          <w:tcPr>
            <w:tcW w:w="1840" w:type="dxa"/>
            <w:vAlign w:val="bottom"/>
          </w:tcPr>
          <w:p>
            <w:pPr>
              <w:jc w:val="right"/>
              <w:spacing w:after="0"/>
              <w:rPr>
                <w:sz w:val="20"/>
                <w:szCs w:val="20"/>
                <w:color w:val="auto"/>
              </w:rPr>
            </w:pPr>
            <w:r>
              <w:rPr>
                <w:rFonts w:ascii="Arial" w:cs="Arial" w:eastAsia="Arial" w:hAnsi="Arial"/>
                <w:sz w:val="14"/>
                <w:szCs w:val="14"/>
                <w:color w:val="auto"/>
              </w:rPr>
              <w:t>600,002,203</w:t>
            </w:r>
          </w:p>
        </w:tc>
      </w:tr>
      <w:tr>
        <w:trPr>
          <w:trHeight w:val="180"/>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November 27 – December 31</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460" w:type="dxa"/>
            <w:vAlign w:val="bottom"/>
            <w:tcBorders>
              <w:bottom w:val="single" w:sz="8" w:color="auto"/>
            </w:tcBorders>
            <w:shd w:val="clear" w:color="auto" w:fill="CCEEFF"/>
          </w:tcPr>
          <w:p>
            <w:pPr>
              <w:spacing w:after="0"/>
              <w:rPr>
                <w:sz w:val="15"/>
                <w:szCs w:val="15"/>
                <w:color w:val="auto"/>
              </w:rPr>
            </w:pPr>
          </w:p>
        </w:tc>
        <w:tc>
          <w:tcPr>
            <w:tcW w:w="2420" w:type="dxa"/>
            <w:vAlign w:val="bottom"/>
            <w:tcBorders>
              <w:bottom w:val="single" w:sz="8" w:color="auto"/>
            </w:tcBorders>
            <w:shd w:val="clear" w:color="auto" w:fill="CCEEFF"/>
          </w:tcPr>
          <w:p>
            <w:pPr>
              <w:jc w:val="right"/>
              <w:ind w:right="1869"/>
              <w:spacing w:after="0"/>
              <w:rPr>
                <w:sz w:val="20"/>
                <w:szCs w:val="20"/>
                <w:color w:val="auto"/>
              </w:rPr>
            </w:pPr>
            <w:r>
              <w:rPr>
                <w:rFonts w:ascii="Arial" w:cs="Arial" w:eastAsia="Arial" w:hAnsi="Arial"/>
                <w:sz w:val="14"/>
                <w:szCs w:val="14"/>
                <w:color w:val="auto"/>
              </w:rPr>
              <w:t>46.20</w:t>
            </w:r>
          </w:p>
        </w:tc>
        <w:tc>
          <w:tcPr>
            <w:tcW w:w="6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600,002,203</w:t>
            </w:r>
          </w:p>
        </w:tc>
      </w:tr>
      <w:tr>
        <w:trPr>
          <w:trHeight w:val="171"/>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2,532</w:t>
            </w:r>
          </w:p>
        </w:tc>
        <w:tc>
          <w:tcPr>
            <w:tcW w:w="14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tcPr>
          <w:p>
            <w:pPr>
              <w:spacing w:after="0"/>
              <w:rPr>
                <w:sz w:val="14"/>
                <w:szCs w:val="14"/>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ind w:left="260" w:hanging="255"/>
        <w:spacing w:after="0" w:line="235" w:lineRule="auto"/>
        <w:tabs>
          <w:tab w:leader="none" w:pos="256"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purchases in this column include 86 shares for the period October 1 – October 29, 1,014 shares for the period October 30 – November 26, and 1,432 shares for the period November 27 – December 31 deemed surrendered to us by participants in our equity incentive plans to satisfy the exercise price or withholding of tax obligations related to the exercise of stock options and vesting of restricted and performance shares.</w:t>
      </w:r>
    </w:p>
    <w:p>
      <w:pPr>
        <w:spacing w:after="0" w:line="118" w:lineRule="exact"/>
        <w:rPr>
          <w:rFonts w:ascii="Arial" w:cs="Arial" w:eastAsia="Arial" w:hAnsi="Arial"/>
          <w:sz w:val="18"/>
          <w:szCs w:val="18"/>
          <w:color w:val="auto"/>
          <w:vertAlign w:val="superscript"/>
        </w:rPr>
      </w:pPr>
    </w:p>
    <w:p>
      <w:pPr>
        <w:ind w:left="260" w:hanging="255"/>
        <w:spacing w:after="0" w:line="247" w:lineRule="auto"/>
        <w:tabs>
          <w:tab w:leader="none" w:pos="250"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The average price paid in this column includes shares repurchased as part of our publicly announced plans and shares deemed surrendered to us by participants in our equity incentive plans to satisfy the exercise price for the exercise price of stock options and withholding tax obligations due upon stock option exercises and vesting of restricted and performance shares.</w:t>
      </w:r>
    </w:p>
    <w:p>
      <w:pPr>
        <w:spacing w:after="0" w:line="111" w:lineRule="exact"/>
        <w:rPr>
          <w:rFonts w:ascii="Arial" w:cs="Arial" w:eastAsia="Arial" w:hAnsi="Arial"/>
          <w:sz w:val="17"/>
          <w:szCs w:val="17"/>
          <w:color w:val="auto"/>
          <w:vertAlign w:val="superscript"/>
        </w:rPr>
      </w:pPr>
    </w:p>
    <w:p>
      <w:pPr>
        <w:ind w:left="260" w:hanging="255"/>
        <w:spacing w:after="0" w:line="228" w:lineRule="auto"/>
        <w:tabs>
          <w:tab w:leader="none" w:pos="256"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The number of shares in this column represents the number of shares repurchased as part of our publicly announced plans to repurchase our ordinary shares up to a maximum dollar limit authorized by the Board of Directors, discussed below.</w:t>
      </w:r>
    </w:p>
    <w:p>
      <w:pPr>
        <w:spacing w:after="0" w:line="117" w:lineRule="exact"/>
        <w:rPr>
          <w:rFonts w:ascii="Arial" w:cs="Arial" w:eastAsia="Arial" w:hAnsi="Arial"/>
          <w:sz w:val="18"/>
          <w:szCs w:val="18"/>
          <w:color w:val="auto"/>
          <w:vertAlign w:val="superscript"/>
        </w:rPr>
      </w:pPr>
    </w:p>
    <w:p>
      <w:pPr>
        <w:jc w:val="both"/>
        <w:ind w:left="260" w:hanging="255"/>
        <w:spacing w:after="0" w:line="235" w:lineRule="auto"/>
        <w:tabs>
          <w:tab w:leader="none" w:pos="25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 December 2020, the Board of Directors authorized the repurchase of our ordinary shares up to a maximum dollar limit of $750.0 million (the “2020 Authorization”). The 2020 Authorization expires on December 31, 2025. We have $600.0 million remaining availability for repurchases under the 2020 Authorization. From time to time, we may enter into a Rule 10b5-1 trading plan for the purpose of repurchasing shares under this authorization.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0" w:right="319" w:bottom="1440" w:gutter="0" w:footer="0" w:header="0"/>
        </w:sectPr>
      </w:pPr>
    </w:p>
    <w:bookmarkStart w:id="23" w:name="page24"/>
    <w:bookmarkEnd w:id="23"/>
    <w:p>
      <w:pPr>
        <w:ind w:right="3420"/>
        <w:spacing w:after="0" w:line="257" w:lineRule="auto"/>
        <w:rPr>
          <w:sz w:val="20"/>
          <w:szCs w:val="20"/>
          <w:color w:val="auto"/>
        </w:rPr>
      </w:pPr>
      <w:r>
        <w:rPr>
          <w:rFonts w:ascii="Arial" w:cs="Arial" w:eastAsia="Arial" w:hAnsi="Arial"/>
          <w:sz w:val="14"/>
          <w:szCs w:val="14"/>
          <w:b w:val="1"/>
          <w:bCs w:val="1"/>
          <w:color w:val="auto"/>
        </w:rPr>
        <w:t xml:space="preserve">ITEM 7. MANAGEMENT’S DISCUSSION AND ANALYSIS OF FINANCIAL CONDITION AND RESULTS OF OPERATIONS </w:t>
      </w:r>
      <w:r>
        <w:rPr>
          <w:rFonts w:ascii="Arial" w:cs="Arial" w:eastAsia="Arial" w:hAnsi="Arial"/>
          <w:sz w:val="14"/>
          <w:szCs w:val="14"/>
          <w:b w:val="1"/>
          <w:bCs w:val="1"/>
          <w:i w:val="1"/>
          <w:iCs w:val="1"/>
          <w:color w:val="auto"/>
        </w:rPr>
        <w:t>Forward-looking statements</w:t>
      </w:r>
    </w:p>
    <w:p>
      <w:pPr>
        <w:jc w:val="both"/>
        <w:spacing w:after="0" w:line="256" w:lineRule="auto"/>
        <w:rPr>
          <w:sz w:val="20"/>
          <w:szCs w:val="20"/>
          <w:color w:val="auto"/>
        </w:rPr>
      </w:pPr>
      <w:r>
        <w:rPr>
          <w:rFonts w:ascii="Arial" w:cs="Arial" w:eastAsia="Arial" w:hAnsi="Arial"/>
          <w:sz w:val="13"/>
          <w:szCs w:val="13"/>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the conflict between Russia and Ukraine and related sanctions;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ESG goals.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Pentair plc and its consolidated subsidiaries (“we,” “us,” “our,” “Pentair” or the “Company”) is a pure play water industrial manufacturing company and in 2022 we were comprised of two reporting segments: Consumer Solutions and Industrial &amp; Flow Technologies. We classify our operations into business segments based primarily on types of products offered and markets served. For the year ended December 31, 2022, the Consumer Solutions and Industrial &amp; Flow Technologies segments represented approximately 64% and 36% of total revenues, respectively.</w:t>
      </w:r>
    </w:p>
    <w:p>
      <w:pPr>
        <w:spacing w:after="0" w:line="152" w:lineRule="exact"/>
        <w:rPr>
          <w:sz w:val="20"/>
          <w:szCs w:val="20"/>
          <w:color w:val="auto"/>
        </w:rPr>
      </w:pPr>
    </w:p>
    <w:p>
      <w:pPr>
        <w:jc w:val="both"/>
        <w:spacing w:after="0" w:line="304" w:lineRule="auto"/>
        <w:rPr>
          <w:sz w:val="20"/>
          <w:szCs w:val="20"/>
          <w:color w:val="auto"/>
        </w:rPr>
      </w:pPr>
      <w:r>
        <w:rPr>
          <w:rFonts w:ascii="Arial" w:cs="Arial" w:eastAsia="Arial" w:hAnsi="Arial"/>
          <w:sz w:val="12"/>
          <w:szCs w:val="12"/>
          <w:color w:val="auto"/>
        </w:rPr>
        <w:t>Effective January 1, 2023, we reorganized our segments, going from two segments to three, with the three reorganized segments reflecting how we expect to manage our business in 2023. As a result of this segment change, the Consumer Solutions segment was divided into a Pool segment and a Water Solutions segment. Our new Water Solutions segment includes Manitowoc Ice. The Industrial</w:t>
      </w:r>
    </w:p>
    <w:p>
      <w:pPr>
        <w:ind w:firstLine="5"/>
        <w:spacing w:after="0" w:line="266" w:lineRule="auto"/>
        <w:tabs>
          <w:tab w:leader="none" w:pos="147" w:val="left"/>
        </w:tabs>
        <w:numPr>
          <w:ilvl w:val="0"/>
          <w:numId w:val="14"/>
        </w:numPr>
        <w:rPr>
          <w:rFonts w:ascii="Arial" w:cs="Arial" w:eastAsia="Arial" w:hAnsi="Arial"/>
          <w:sz w:val="14"/>
          <w:szCs w:val="14"/>
          <w:color w:val="auto"/>
        </w:rPr>
      </w:pPr>
      <w:r>
        <w:rPr>
          <w:rFonts w:ascii="Arial" w:cs="Arial" w:eastAsia="Arial" w:hAnsi="Arial"/>
          <w:sz w:val="14"/>
          <w:szCs w:val="14"/>
          <w:color w:val="auto"/>
        </w:rPr>
        <w:t>Flow Technologies segment remains the same. The discussions below reporting on prior periods reflect the previous segmentation, but the descriptions of our businesses below continue to apply in their re-segmented form. Additional information regarding this re-segmentation is found under the section titled “New Segmentation” in ITEM 1 of this Form 10-K.</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Although our jurisdiction of organization is Ireland, we manage our affairs so that we are centrally managed and controlled in the United Kingdom (the “U.K.”) and therefore have our tax residency in the U.K.</w:t>
      </w:r>
    </w:p>
    <w:p>
      <w:pPr>
        <w:spacing w:after="0" w:line="90"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July 28, 2022, as part of our Consumer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Trends and Uncertainties Regarding Our Existing Business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trends and uncertainties affected our financial performance in 2022, and are reasonably likely to impact our results in the future:</w:t>
      </w:r>
    </w:p>
    <w:p>
      <w:pPr>
        <w:spacing w:after="0" w:line="126" w:lineRule="exact"/>
        <w:rPr>
          <w:sz w:val="20"/>
          <w:szCs w:val="20"/>
          <w:color w:val="auto"/>
        </w:rPr>
      </w:pPr>
    </w:p>
    <w:p>
      <w:pPr>
        <w:ind w:left="5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color w:val="auto"/>
        </w:rPr>
        <w:t>We executed certain business restructuring initiatives aimed at reducing our fixed cost structure and realigning our business. We expect these actions to continue into 2023 and to drive margin growth.</w:t>
      </w:r>
    </w:p>
    <w:p>
      <w:pPr>
        <w:spacing w:after="0" w:line="89" w:lineRule="exact"/>
        <w:rPr>
          <w:rFonts w:ascii="Arial" w:cs="Arial" w:eastAsia="Arial" w:hAnsi="Arial"/>
          <w:sz w:val="14"/>
          <w:szCs w:val="14"/>
          <w:color w:val="auto"/>
        </w:rPr>
      </w:pPr>
    </w:p>
    <w:p>
      <w:pPr>
        <w:jc w:val="both"/>
        <w:ind w:left="520" w:hanging="260"/>
        <w:spacing w:after="0" w:line="319" w:lineRule="auto"/>
        <w:tabs>
          <w:tab w:leader="none" w:pos="516"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 2021, we created a transformation office and launched and committed resources to the Transformation Program designed to accelerate growth and drive margin expansion by driving operational excellence, reducing complexity and streamlining our processes. During 2022, we made strategic progress on our Transformation Program initiatives with a primary focus on two of our four key themes of pricing excellence and strategic sourcing and built capabilities across all themes, including the other two of operations excellence and organizational effectiveness. We expect to continue to execute on our key Transformation Program initiatives to drive margin expansion and expect to continue to incur transformation costs in 2023 and beyond.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4" w:name="page25"/>
    <w:bookmarkEnd w:id="24"/>
    <w:p>
      <w:pPr>
        <w:jc w:val="both"/>
        <w:ind w:left="52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experienced supply chain challenges, including increased lead times for raw materials due to availability constraints and high demand for these materials. While we have elevated our engagement with our suppliers and used secondary suppliers and new methods of procurement where available to mitigate the supply chain pressures, we expect supply chain challenges to continue in 2023, and which may continue thereafter and could negatively impact our results of operations.</w:t>
      </w:r>
    </w:p>
    <w:p>
      <w:pPr>
        <w:spacing w:after="0" w:line="99"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experienced inflationary increases in costs of raw materials such as metals, resins and electronics (including drives and motors), as well as increases in logistics, transportation and labor costs. While we have taken pricing actions and we strive for productivity improvements that could help offset these inflationary cost increases, we expect inflationary cost increases to continue in 2023, and which may continue thereafter and could negatively impact our results of operations.</w:t>
      </w:r>
    </w:p>
    <w:p>
      <w:pPr>
        <w:spacing w:after="0" w:line="99"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experienced increased inventory levels in order to support market demand and reflect ongoing supply chain challenges. In the second half of 2022, we began to see inventory correcting within our residential distributor channels, which we expect to result in moderated volumes for the next few quarters as channel inventories normalize to more historical levels and could negatively impact our results of operations.</w:t>
      </w:r>
    </w:p>
    <w:p>
      <w:pPr>
        <w:spacing w:after="0" w:line="99" w:lineRule="exact"/>
        <w:rPr>
          <w:rFonts w:ascii="Arial" w:cs="Arial" w:eastAsia="Arial" w:hAnsi="Arial"/>
          <w:sz w:val="14"/>
          <w:szCs w:val="14"/>
          <w:color w:val="auto"/>
        </w:rPr>
      </w:pPr>
    </w:p>
    <w:p>
      <w:pPr>
        <w:jc w:val="both"/>
        <w:ind w:left="520" w:hanging="260"/>
        <w:spacing w:after="0" w:line="267" w:lineRule="auto"/>
        <w:tabs>
          <w:tab w:leader="none" w:pos="516" w:val="left"/>
        </w:tabs>
        <w:numPr>
          <w:ilvl w:val="0"/>
          <w:numId w:val="16"/>
        </w:numPr>
        <w:rPr>
          <w:rFonts w:ascii="Arial" w:cs="Arial" w:eastAsia="Arial" w:hAnsi="Arial"/>
          <w:sz w:val="14"/>
          <w:szCs w:val="14"/>
          <w:i w:val="1"/>
          <w:iCs w:val="1"/>
          <w:color w:val="auto"/>
        </w:rPr>
      </w:pPr>
      <w:r>
        <w:rPr>
          <w:rFonts w:ascii="Arial" w:cs="Arial" w:eastAsia="Arial" w:hAnsi="Arial"/>
          <w:sz w:val="14"/>
          <w:szCs w:val="14"/>
          <w:color w:val="auto"/>
        </w:rPr>
        <w:t>Our backlog, primarily in our Consumer Solutions segment, decreased compared to the backlog at the end of 2021. Shipments outpaced new orders during the period as customers balanced the need to place new orders with market demand and channel inventory levels. This downward trend may continue in 2023 as we expect backlog to return to more historical levels and lead times to improve.</w:t>
      </w:r>
    </w:p>
    <w:p>
      <w:pPr>
        <w:spacing w:after="0" w:line="99" w:lineRule="exact"/>
        <w:rPr>
          <w:rFonts w:ascii="Arial" w:cs="Arial" w:eastAsia="Arial" w:hAnsi="Arial"/>
          <w:sz w:val="14"/>
          <w:szCs w:val="14"/>
          <w:i w:val="1"/>
          <w:iCs w:val="1"/>
          <w:color w:val="auto"/>
        </w:rPr>
      </w:pPr>
    </w:p>
    <w:p>
      <w:pPr>
        <w:jc w:val="both"/>
        <w:ind w:left="520" w:hanging="260"/>
        <w:spacing w:after="0" w:line="267"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color w:val="auto"/>
        </w:rPr>
        <w:t>We have identified specific product and geographic market opportunities that we find attractive and continue to pursue, both within and outside the U.S. We are reinforcing that our businesses more effectively address these opportunities through research and development and additional sales and marketing resources. Unless we successfully penetrate these markets, our core sales growth will likely be limited or may decline.</w:t>
      </w:r>
    </w:p>
    <w:p>
      <w:pPr>
        <w:spacing w:after="0" w:line="88" w:lineRule="exact"/>
        <w:rPr>
          <w:rFonts w:ascii="Arial" w:cs="Arial" w:eastAsia="Arial" w:hAnsi="Arial"/>
          <w:sz w:val="14"/>
          <w:szCs w:val="14"/>
          <w:color w:val="auto"/>
        </w:rPr>
      </w:pPr>
    </w:p>
    <w:p>
      <w:pPr>
        <w:jc w:val="both"/>
        <w:ind w:left="520" w:hanging="260"/>
        <w:spacing w:after="0" w:line="263" w:lineRule="auto"/>
        <w:tabs>
          <w:tab w:leader="none" w:pos="51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ongoing effects of the COVID-19 pandemic continue to impact global economic conditions. There are many uncertainties regarding the COVID-19 pandemic, including the duration and severity of the pandemic, the spread of increasing number of virus variants, the extent of worldwide social, political and economic disruption it may continue to cause and the distribution and effectiveness of vaccines to address the COVID-19 virus. The broader implications of the COVID-19 pandemic that are reasonably likely to impact our business, financial condition, results of operations and cash flows cannot be determined at this time, and ultimately will be affected by a number of evolving factors including the length of time that the pandemic continues and the impact of vaccines on it, the impact of virus variants, the effectiveness of vaccinations, the pandemic’s effect on the demand for our products and services, our supply chain, and our manufacturing and distribution capacity, as well as the impact of governmental regulations imposed in response to the pandemic. For more information regarding factors and events that may impact our business, results of operations and financial condition as a result of the COVID-19 pandemic, see Part I—ITEM 1A, “Risk Factors,” included herein.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In 2023, our operating objectives focus on delivering our core and building our future. We expect to execute these objectives by:</w:t>
      </w:r>
    </w:p>
    <w:p>
      <w:pPr>
        <w:spacing w:after="0" w:line="136"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Delivering profitable revenue growth and productivity for customers and shareholders;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Continuing to focus on capital allocation through:</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Committing to maintain our investment grade rating;</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Focusing on reducing our long-term debt;</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Returning cash to shareholders through dividends and share repurchases; and</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17"/>
        </w:numPr>
        <w:rPr>
          <w:rFonts w:ascii="Arial" w:cs="Arial" w:eastAsia="Arial" w:hAnsi="Arial"/>
          <w:sz w:val="14"/>
          <w:szCs w:val="14"/>
          <w:color w:val="auto"/>
        </w:rPr>
      </w:pPr>
      <w:r>
        <w:rPr>
          <w:rFonts w:ascii="Arial" w:cs="Arial" w:eastAsia="Arial" w:hAnsi="Arial"/>
          <w:sz w:val="14"/>
          <w:szCs w:val="14"/>
          <w:color w:val="auto"/>
        </w:rPr>
        <w:t>Accelerating our performance with strategically-aligned mergers and acquisitions;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Focusing growth initiatives that accelerate our investments in digital, technology and services expansion;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b w:val="1"/>
          <w:bCs w:val="1"/>
          <w:i w:val="1"/>
          <w:iCs w:val="1"/>
          <w:color w:val="auto"/>
        </w:rPr>
      </w:pPr>
      <w:r>
        <w:rPr>
          <w:rFonts w:ascii="Arial" w:cs="Arial" w:eastAsia="Arial" w:hAnsi="Arial"/>
          <w:sz w:val="14"/>
          <w:szCs w:val="14"/>
          <w:color w:val="auto"/>
        </w:rPr>
        <w:t>Continuing to implement our Transformation Program initiatives that will drive operational excellence, reduce complexity and improve our organizational structure; and</w:t>
      </w:r>
    </w:p>
    <w:p>
      <w:pPr>
        <w:spacing w:after="0" w:line="136"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Building a high performance growth culture and delivering on our commitments while living our Win Right values.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20"/>
                <w:szCs w:val="20"/>
                <w:color w:val="auto"/>
              </w:rPr>
            </w:pPr>
            <w:r>
              <w:rPr>
                <w:rFonts w:ascii="Arial" w:cs="Arial" w:eastAsia="Arial" w:hAnsi="Arial"/>
                <w:sz w:val="14"/>
                <w:szCs w:val="14"/>
                <w:b w:val="1"/>
                <w:bCs w:val="1"/>
                <w:color w:val="auto"/>
              </w:rPr>
              <w:t>CONSOLIDATED RESULTS OF OPERATIONS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97"/>
        </w:trPr>
        <w:tc>
          <w:tcPr>
            <w:tcW w:w="4860" w:type="dxa"/>
            <w:vAlign w:val="bottom"/>
          </w:tcPr>
          <w:p>
            <w:pPr>
              <w:spacing w:after="0"/>
              <w:rPr>
                <w:sz w:val="20"/>
                <w:szCs w:val="20"/>
                <w:color w:val="auto"/>
              </w:rPr>
            </w:pPr>
            <w:r>
              <w:rPr>
                <w:rFonts w:ascii="Arial" w:cs="Arial" w:eastAsia="Arial" w:hAnsi="Arial"/>
                <w:sz w:val="14"/>
                <w:szCs w:val="14"/>
                <w:color w:val="auto"/>
              </w:rPr>
              <w:t>The consolidated results of operations were as follows: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6"/>
        </w:trPr>
        <w:tc>
          <w:tcPr>
            <w:tcW w:w="48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32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 / point change</w:t>
            </w:r>
          </w:p>
        </w:tc>
        <w:tc>
          <w:tcPr>
            <w:tcW w:w="160" w:type="dxa"/>
            <w:vAlign w:val="bottom"/>
            <w:tcBorders>
              <w:bottom w:val="single" w:sz="8" w:color="auto"/>
            </w:tcBorders>
          </w:tcPr>
          <w:p>
            <w:pPr>
              <w:spacing w:after="0"/>
              <w:rPr>
                <w:sz w:val="23"/>
                <w:szCs w:val="23"/>
                <w:color w:val="auto"/>
              </w:rPr>
            </w:pPr>
          </w:p>
        </w:tc>
      </w:tr>
      <w:tr>
        <w:trPr>
          <w:trHeight w:val="17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 vs 2021</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2021 vs 2020</w:t>
            </w:r>
          </w:p>
        </w:tc>
        <w:tc>
          <w:tcPr>
            <w:tcW w:w="160" w:type="dxa"/>
            <w:vAlign w:val="bottom"/>
            <w:tcBorders>
              <w:bottom w:val="single" w:sz="8" w:color="auto"/>
            </w:tcBorders>
          </w:tcPr>
          <w:p>
            <w:pPr>
              <w:spacing w:after="0"/>
              <w:rPr>
                <w:sz w:val="14"/>
                <w:szCs w:val="14"/>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4,121.8</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3,764.8</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3,017.8</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goods sold</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2,757.2</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2,445.6</w:t>
            </w: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1,960.2</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1,364.6</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1,319.2</w:t>
            </w: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1,057.6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52"/>
        </w:trPr>
        <w:tc>
          <w:tcPr>
            <w:tcW w:w="4860" w:type="dxa"/>
            <w:vAlign w:val="bottom"/>
          </w:tcPr>
          <w:p>
            <w:pPr>
              <w:jc w:val="center"/>
              <w:ind w:right="3812"/>
              <w:spacing w:after="0"/>
              <w:rPr>
                <w:sz w:val="20"/>
                <w:szCs w:val="20"/>
                <w:color w:val="auto"/>
              </w:rPr>
            </w:pPr>
            <w:r>
              <w:rPr>
                <w:rFonts w:ascii="Arial" w:cs="Arial" w:eastAsia="Arial" w:hAnsi="Arial"/>
                <w:sz w:val="11"/>
                <w:szCs w:val="11"/>
                <w:i w:val="1"/>
                <w:iCs w:val="1"/>
                <w:color w:val="auto"/>
                <w:w w:val="89"/>
              </w:rPr>
              <w:t>% of net sales</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i w:val="1"/>
                <w:iCs w:val="1"/>
                <w:color w:val="auto"/>
              </w:rPr>
              <w:t>33.1 %</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i w:val="1"/>
                <w:iCs w:val="1"/>
                <w:color w:val="auto"/>
              </w:rPr>
              <w:t>35.0 %</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i w:val="1"/>
                <w:iCs w:val="1"/>
                <w:color w:val="auto"/>
              </w:rPr>
              <w:t>35.0 %</w:t>
            </w:r>
          </w:p>
        </w:tc>
        <w:tc>
          <w:tcPr>
            <w:tcW w:w="10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i w:val="1"/>
                <w:iCs w:val="1"/>
                <w:color w:val="auto"/>
              </w:rPr>
              <w:t>(1.9) pts</w:t>
            </w:r>
          </w:p>
        </w:tc>
        <w:tc>
          <w:tcPr>
            <w:tcW w:w="1040" w:type="dxa"/>
            <w:vAlign w:val="bottom"/>
          </w:tcPr>
          <w:p>
            <w:pPr>
              <w:jc w:val="right"/>
              <w:spacing w:after="0"/>
              <w:rPr>
                <w:sz w:val="20"/>
                <w:szCs w:val="20"/>
                <w:color w:val="auto"/>
              </w:rPr>
            </w:pPr>
            <w:r>
              <w:rPr>
                <w:rFonts w:ascii="Arial" w:cs="Arial" w:eastAsia="Arial" w:hAnsi="Arial"/>
                <w:sz w:val="11"/>
                <w:szCs w:val="11"/>
                <w:i w:val="1"/>
                <w:iCs w:val="1"/>
                <w:color w:val="auto"/>
              </w:rPr>
              <w:t>—</w:t>
            </w:r>
          </w:p>
        </w:tc>
        <w:tc>
          <w:tcPr>
            <w:tcW w:w="160" w:type="dxa"/>
            <w:vAlign w:val="bottom"/>
          </w:tcPr>
          <w:p>
            <w:pPr>
              <w:jc w:val="right"/>
              <w:spacing w:after="0"/>
              <w:rPr>
                <w:sz w:val="20"/>
                <w:szCs w:val="20"/>
                <w:color w:val="auto"/>
              </w:rPr>
            </w:pPr>
            <w:r>
              <w:rPr>
                <w:rFonts w:ascii="Arial" w:cs="Arial" w:eastAsia="Arial" w:hAnsi="Arial"/>
                <w:sz w:val="11"/>
                <w:szCs w:val="11"/>
                <w:i w:val="1"/>
                <w:iCs w:val="1"/>
                <w:color w:val="auto"/>
                <w:w w:val="81"/>
              </w:rPr>
              <w:t>pts</w:t>
            </w:r>
          </w:p>
        </w:tc>
      </w:tr>
      <w:tr>
        <w:trPr>
          <w:trHeight w:val="177"/>
        </w:trPr>
        <w:tc>
          <w:tcPr>
            <w:tcW w:w="4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5"/>
                <w:szCs w:val="15"/>
                <w:color w:val="auto"/>
              </w:rPr>
            </w:pP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677.1</w:t>
            </w:r>
          </w:p>
        </w:tc>
        <w:tc>
          <w:tcPr>
            <w:tcW w:w="30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596.4</w:t>
            </w:r>
          </w:p>
        </w:tc>
        <w:tc>
          <w:tcPr>
            <w:tcW w:w="3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520.5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59"/>
        </w:trPr>
        <w:tc>
          <w:tcPr>
            <w:tcW w:w="4860" w:type="dxa"/>
            <w:vAlign w:val="bottom"/>
            <w:shd w:val="clear" w:color="auto" w:fill="CCEEFF"/>
          </w:tcPr>
          <w:p>
            <w:pPr>
              <w:jc w:val="center"/>
              <w:ind w:right="3812"/>
              <w:spacing w:after="0"/>
              <w:rPr>
                <w:sz w:val="20"/>
                <w:szCs w:val="20"/>
                <w:color w:val="auto"/>
              </w:rPr>
            </w:pPr>
            <w:r>
              <w:rPr>
                <w:rFonts w:ascii="Arial" w:cs="Arial" w:eastAsia="Arial" w:hAnsi="Arial"/>
                <w:sz w:val="11"/>
                <w:szCs w:val="11"/>
                <w:i w:val="1"/>
                <w:iCs w:val="1"/>
                <w:color w:val="auto"/>
                <w:w w:val="89"/>
              </w:rPr>
              <w:t>% of net sales</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16.4 %</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15.8 %</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17.2 %</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0.6</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w w:val="95"/>
              </w:rPr>
              <w:t>pts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i w:val="1"/>
                <w:iCs w:val="1"/>
                <w:color w:val="auto"/>
              </w:rPr>
              <w:t>(1.4) pts</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15"/>
                <w:szCs w:val="15"/>
                <w:color w:val="auto"/>
              </w:rPr>
            </w:pP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92.2</w:t>
            </w:r>
          </w:p>
        </w:tc>
        <w:tc>
          <w:tcPr>
            <w:tcW w:w="30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85.9</w:t>
            </w:r>
          </w:p>
        </w:tc>
        <w:tc>
          <w:tcPr>
            <w:tcW w:w="3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75.7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13.5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59"/>
        </w:trPr>
        <w:tc>
          <w:tcPr>
            <w:tcW w:w="4860" w:type="dxa"/>
            <w:vAlign w:val="bottom"/>
            <w:shd w:val="clear" w:color="auto" w:fill="CCEEFF"/>
          </w:tcPr>
          <w:p>
            <w:pPr>
              <w:jc w:val="center"/>
              <w:ind w:right="3812"/>
              <w:spacing w:after="0"/>
              <w:rPr>
                <w:sz w:val="20"/>
                <w:szCs w:val="20"/>
                <w:color w:val="auto"/>
              </w:rPr>
            </w:pPr>
            <w:r>
              <w:rPr>
                <w:rFonts w:ascii="Arial" w:cs="Arial" w:eastAsia="Arial" w:hAnsi="Arial"/>
                <w:sz w:val="11"/>
                <w:szCs w:val="11"/>
                <w:i w:val="1"/>
                <w:iCs w:val="1"/>
                <w:color w:val="auto"/>
                <w:w w:val="89"/>
              </w:rPr>
              <w:t>% of net sales</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2.2 %</w:t>
            </w: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2.3 %</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2.5 %</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1"/>
                <w:szCs w:val="11"/>
                <w:i w:val="1"/>
                <w:iCs w:val="1"/>
                <w:color w:val="auto"/>
              </w:rPr>
              <w:t>(0.1) pts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1"/>
                <w:szCs w:val="11"/>
                <w:i w:val="1"/>
                <w:iCs w:val="1"/>
                <w:color w:val="auto"/>
              </w:rPr>
              <w:t>(0.2) pts</w:t>
            </w:r>
          </w:p>
        </w:tc>
      </w:tr>
      <w:tr>
        <w:trPr>
          <w:trHeight w:val="170"/>
        </w:trPr>
        <w:tc>
          <w:tcPr>
            <w:tcW w:w="4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595.3</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636.9</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461.4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52"/>
        </w:trPr>
        <w:tc>
          <w:tcPr>
            <w:tcW w:w="4860" w:type="dxa"/>
            <w:vAlign w:val="bottom"/>
          </w:tcPr>
          <w:p>
            <w:pPr>
              <w:jc w:val="center"/>
              <w:ind w:right="3812"/>
              <w:spacing w:after="0"/>
              <w:rPr>
                <w:sz w:val="20"/>
                <w:szCs w:val="20"/>
                <w:color w:val="auto"/>
              </w:rPr>
            </w:pPr>
            <w:r>
              <w:rPr>
                <w:rFonts w:ascii="Arial" w:cs="Arial" w:eastAsia="Arial" w:hAnsi="Arial"/>
                <w:sz w:val="11"/>
                <w:szCs w:val="11"/>
                <w:i w:val="1"/>
                <w:iCs w:val="1"/>
                <w:color w:val="auto"/>
                <w:w w:val="89"/>
              </w:rPr>
              <w:t>% of net sales</w:t>
            </w:r>
          </w:p>
        </w:tc>
        <w:tc>
          <w:tcPr>
            <w:tcW w:w="2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i w:val="1"/>
                <w:iCs w:val="1"/>
                <w:color w:val="auto"/>
              </w:rPr>
              <w:t>14.4 %</w:t>
            </w:r>
          </w:p>
        </w:tc>
        <w:tc>
          <w:tcPr>
            <w:tcW w:w="3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i w:val="1"/>
                <w:iCs w:val="1"/>
                <w:color w:val="auto"/>
              </w:rPr>
              <w:t>16.9 %</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i w:val="1"/>
                <w:iCs w:val="1"/>
                <w:color w:val="auto"/>
              </w:rPr>
              <w:t>15.3 %</w:t>
            </w:r>
          </w:p>
        </w:tc>
        <w:tc>
          <w:tcPr>
            <w:tcW w:w="10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i w:val="1"/>
                <w:iCs w:val="1"/>
                <w:color w:val="auto"/>
              </w:rPr>
              <w:t>(2.5) pts</w:t>
            </w:r>
          </w:p>
        </w:tc>
        <w:tc>
          <w:tcPr>
            <w:tcW w:w="1040" w:type="dxa"/>
            <w:vAlign w:val="bottom"/>
          </w:tcPr>
          <w:p>
            <w:pPr>
              <w:jc w:val="right"/>
              <w:spacing w:after="0"/>
              <w:rPr>
                <w:sz w:val="20"/>
                <w:szCs w:val="20"/>
                <w:color w:val="auto"/>
              </w:rPr>
            </w:pPr>
            <w:r>
              <w:rPr>
                <w:rFonts w:ascii="Arial" w:cs="Arial" w:eastAsia="Arial" w:hAnsi="Arial"/>
                <w:sz w:val="11"/>
                <w:szCs w:val="11"/>
                <w:i w:val="1"/>
                <w:iCs w:val="1"/>
                <w:color w:val="auto"/>
              </w:rPr>
              <w:t>1.6</w:t>
            </w:r>
          </w:p>
        </w:tc>
        <w:tc>
          <w:tcPr>
            <w:tcW w:w="160" w:type="dxa"/>
            <w:vAlign w:val="bottom"/>
          </w:tcPr>
          <w:p>
            <w:pPr>
              <w:jc w:val="right"/>
              <w:spacing w:after="0"/>
              <w:rPr>
                <w:sz w:val="20"/>
                <w:szCs w:val="20"/>
                <w:color w:val="auto"/>
              </w:rPr>
            </w:pPr>
            <w:r>
              <w:rPr>
                <w:rFonts w:ascii="Arial" w:cs="Arial" w:eastAsia="Arial" w:hAnsi="Arial"/>
                <w:sz w:val="11"/>
                <w:szCs w:val="11"/>
                <w:i w:val="1"/>
                <w:iCs w:val="1"/>
                <w:color w:val="auto"/>
                <w:w w:val="81"/>
              </w:rPr>
              <w:t>pts</w:t>
            </w:r>
          </w:p>
        </w:tc>
      </w:tr>
      <w:tr>
        <w:trPr>
          <w:trHeight w:val="177"/>
        </w:trPr>
        <w:tc>
          <w:tcPr>
            <w:tcW w:w="4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rPr>
                <w:sz w:val="15"/>
                <w:szCs w:val="15"/>
                <w:color w:val="auto"/>
              </w:rPr>
            </w:pPr>
          </w:p>
        </w:tc>
        <w:tc>
          <w:tcPr>
            <w:tcW w:w="1200" w:type="dxa"/>
            <w:vAlign w:val="bottom"/>
            <w:gridSpan w:val="2"/>
            <w:shd w:val="clear" w:color="auto" w:fill="CCEEFF"/>
          </w:tcPr>
          <w:p>
            <w:pPr>
              <w:spacing w:after="0"/>
              <w:rPr>
                <w:sz w:val="15"/>
                <w:szCs w:val="15"/>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(Gain) loss on sale of businesses</w:t>
            </w:r>
          </w:p>
        </w:tc>
        <w:tc>
          <w:tcPr>
            <w:tcW w:w="28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(1.4)</w:t>
            </w:r>
          </w:p>
        </w:tc>
        <w:tc>
          <w:tcPr>
            <w:tcW w:w="3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N.M.</w:t>
            </w: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expense</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61.8</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12.5</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(47.7) %</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280" w:type="dxa"/>
            <w:vAlign w:val="bottom"/>
          </w:tcPr>
          <w:p>
            <w:pPr>
              <w:spacing w:after="0"/>
              <w:rPr>
                <w:sz w:val="15"/>
                <w:szCs w:val="15"/>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color w:val="auto"/>
              </w:rPr>
              <w:t>(16.9)</w:t>
            </w:r>
          </w:p>
        </w:tc>
        <w:tc>
          <w:tcPr>
            <w:tcW w:w="300" w:type="dxa"/>
            <w:vAlign w:val="bottom"/>
          </w:tcPr>
          <w:p>
            <w:pPr>
              <w:spacing w:after="0"/>
              <w:rPr>
                <w:sz w:val="15"/>
                <w:szCs w:val="15"/>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N.M.</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N.M.</w:t>
            </w:r>
          </w:p>
        </w:tc>
      </w:tr>
      <w:tr>
        <w:trPr>
          <w:trHeight w:val="170"/>
        </w:trPr>
        <w:tc>
          <w:tcPr>
            <w:tcW w:w="4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280" w:type="dxa"/>
            <w:vAlign w:val="bottom"/>
          </w:tcPr>
          <w:p>
            <w:pPr>
              <w:spacing w:after="0"/>
              <w:rPr>
                <w:sz w:val="15"/>
                <w:szCs w:val="15"/>
                <w:color w:val="auto"/>
              </w:rPr>
            </w:pP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550.6</w:t>
            </w:r>
          </w:p>
        </w:tc>
        <w:tc>
          <w:tcPr>
            <w:tcW w:w="300" w:type="dxa"/>
            <w:vAlign w:val="bottom"/>
          </w:tcPr>
          <w:p>
            <w:pPr>
              <w:spacing w:after="0"/>
              <w:rPr>
                <w:sz w:val="15"/>
                <w:szCs w:val="15"/>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626.8</w:t>
            </w:r>
          </w:p>
        </w:tc>
        <w:tc>
          <w:tcPr>
            <w:tcW w:w="320" w:type="dxa"/>
            <w:vAlign w:val="bottom"/>
          </w:tcPr>
          <w:p>
            <w:pPr>
              <w:spacing w:after="0"/>
              <w:rPr>
                <w:sz w:val="15"/>
                <w:szCs w:val="15"/>
                <w:color w:val="auto"/>
              </w:rPr>
            </w:pPr>
          </w:p>
        </w:tc>
        <w:tc>
          <w:tcPr>
            <w:tcW w:w="960" w:type="dxa"/>
            <w:vAlign w:val="bottom"/>
          </w:tcPr>
          <w:p>
            <w:pPr>
              <w:jc w:val="right"/>
              <w:ind w:right="73"/>
              <w:spacing w:after="0"/>
              <w:rPr>
                <w:sz w:val="20"/>
                <w:szCs w:val="20"/>
                <w:color w:val="auto"/>
              </w:rPr>
            </w:pPr>
            <w:r>
              <w:rPr>
                <w:rFonts w:ascii="Arial" w:cs="Arial" w:eastAsia="Arial" w:hAnsi="Arial"/>
                <w:sz w:val="14"/>
                <w:szCs w:val="14"/>
                <w:color w:val="auto"/>
              </w:rPr>
              <w:t>432.1</w:t>
            </w:r>
          </w:p>
        </w:tc>
        <w:tc>
          <w:tcPr>
            <w:tcW w:w="1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(12.2) %</w:t>
            </w:r>
          </w:p>
        </w:tc>
        <w:tc>
          <w:tcPr>
            <w:tcW w:w="1040" w:type="dxa"/>
            <w:vAlign w:val="bottom"/>
          </w:tcPr>
          <w:p>
            <w:pPr>
              <w:jc w:val="right"/>
              <w:spacing w:after="0"/>
              <w:rPr>
                <w:sz w:val="20"/>
                <w:szCs w:val="20"/>
                <w:color w:val="auto"/>
              </w:rPr>
            </w:pPr>
            <w:r>
              <w:rPr>
                <w:rFonts w:ascii="Arial" w:cs="Arial" w:eastAsia="Arial" w:hAnsi="Arial"/>
                <w:sz w:val="14"/>
                <w:szCs w:val="14"/>
                <w:color w:val="auto"/>
              </w:rPr>
              <w:t>45.1</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67.4</w:t>
            </w: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70.8</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(5.6) %</w:t>
            </w:r>
          </w:p>
        </w:tc>
      </w:tr>
      <w:tr>
        <w:trPr>
          <w:trHeight w:val="145"/>
        </w:trPr>
        <w:tc>
          <w:tcPr>
            <w:tcW w:w="4860" w:type="dxa"/>
            <w:vAlign w:val="bottom"/>
          </w:tcPr>
          <w:p>
            <w:pPr>
              <w:ind w:left="260"/>
              <w:spacing w:after="0"/>
              <w:rPr>
                <w:sz w:val="20"/>
                <w:szCs w:val="20"/>
                <w:color w:val="auto"/>
              </w:rPr>
            </w:pPr>
            <w:r>
              <w:rPr>
                <w:rFonts w:ascii="Arial" w:cs="Arial" w:eastAsia="Arial" w:hAnsi="Arial"/>
                <w:sz w:val="11"/>
                <w:szCs w:val="11"/>
                <w:i w:val="1"/>
                <w:iCs w:val="1"/>
                <w:color w:val="auto"/>
              </w:rPr>
              <w:t>Effective tax rate</w:t>
            </w: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i w:val="1"/>
                <w:iCs w:val="1"/>
                <w:color w:val="auto"/>
              </w:rPr>
              <w:t>12.2 %</w:t>
            </w:r>
          </w:p>
        </w:tc>
        <w:tc>
          <w:tcPr>
            <w:tcW w:w="3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1"/>
                <w:szCs w:val="11"/>
                <w:i w:val="1"/>
                <w:iCs w:val="1"/>
                <w:color w:val="auto"/>
              </w:rPr>
              <w:t>11.3 %</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i w:val="1"/>
                <w:iCs w:val="1"/>
                <w:color w:val="auto"/>
              </w:rPr>
              <w:t>17.4 %</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i w:val="1"/>
                <w:iCs w:val="1"/>
                <w:color w:val="auto"/>
              </w:rPr>
              <w:t>0.9</w:t>
            </w:r>
          </w:p>
        </w:tc>
        <w:tc>
          <w:tcPr>
            <w:tcW w:w="220" w:type="dxa"/>
            <w:vAlign w:val="bottom"/>
          </w:tcPr>
          <w:p>
            <w:pPr>
              <w:jc w:val="right"/>
              <w:spacing w:after="0"/>
              <w:rPr>
                <w:sz w:val="20"/>
                <w:szCs w:val="20"/>
                <w:color w:val="auto"/>
              </w:rPr>
            </w:pPr>
            <w:r>
              <w:rPr>
                <w:rFonts w:ascii="Arial" w:cs="Arial" w:eastAsia="Arial" w:hAnsi="Arial"/>
                <w:sz w:val="11"/>
                <w:szCs w:val="11"/>
                <w:i w:val="1"/>
                <w:iCs w:val="1"/>
                <w:color w:val="auto"/>
                <w:w w:val="95"/>
              </w:rPr>
              <w:t>pts</w:t>
            </w:r>
          </w:p>
        </w:tc>
        <w:tc>
          <w:tcPr>
            <w:tcW w:w="1200" w:type="dxa"/>
            <w:vAlign w:val="bottom"/>
            <w:gridSpan w:val="2"/>
          </w:tcPr>
          <w:p>
            <w:pPr>
              <w:jc w:val="right"/>
              <w:spacing w:after="0"/>
              <w:rPr>
                <w:sz w:val="20"/>
                <w:szCs w:val="20"/>
                <w:color w:val="auto"/>
              </w:rPr>
            </w:pPr>
            <w:r>
              <w:rPr>
                <w:rFonts w:ascii="Arial" w:cs="Arial" w:eastAsia="Arial" w:hAnsi="Arial"/>
                <w:sz w:val="11"/>
                <w:szCs w:val="11"/>
                <w:i w:val="1"/>
                <w:iCs w:val="1"/>
                <w:color w:val="auto"/>
              </w:rPr>
              <w:t>(6.1) pts</w:t>
            </w:r>
          </w:p>
        </w:tc>
      </w:tr>
      <w:tr>
        <w:trPr>
          <w:trHeight w:val="311"/>
        </w:trPr>
        <w:tc>
          <w:tcPr>
            <w:tcW w:w="4860" w:type="dxa"/>
            <w:vAlign w:val="bottom"/>
          </w:tcPr>
          <w:p>
            <w:pPr>
              <w:spacing w:after="0"/>
              <w:rPr>
                <w:sz w:val="20"/>
                <w:szCs w:val="20"/>
                <w:color w:val="auto"/>
              </w:rPr>
            </w:pPr>
            <w:r>
              <w:rPr>
                <w:rFonts w:ascii="Arial" w:cs="Arial" w:eastAsia="Arial" w:hAnsi="Arial"/>
                <w:sz w:val="14"/>
                <w:szCs w:val="14"/>
                <w:color w:val="auto"/>
              </w:rPr>
              <w:t>N.M. Not Meaningful</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7"/>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Net sales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0"/>
        </w:trPr>
        <w:tc>
          <w:tcPr>
            <w:tcW w:w="4860" w:type="dxa"/>
            <w:vAlign w:val="bottom"/>
          </w:tcPr>
          <w:p>
            <w:pPr>
              <w:spacing w:after="0"/>
              <w:rPr>
                <w:sz w:val="20"/>
                <w:szCs w:val="20"/>
                <w:color w:val="auto"/>
              </w:rPr>
            </w:pPr>
            <w:r>
              <w:rPr>
                <w:rFonts w:ascii="Arial" w:cs="Arial" w:eastAsia="Arial" w:hAnsi="Arial"/>
                <w:sz w:val="14"/>
                <w:szCs w:val="14"/>
                <w:color w:val="auto"/>
              </w:rPr>
              <w:t>The components of the consolidated net sales change were as follows: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65"/>
        </w:trPr>
        <w:tc>
          <w:tcPr>
            <w:tcW w:w="48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2022 vs 2021</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5"/>
              </w:rPr>
              <w:t>2021 vs 2020</w:t>
            </w:r>
          </w:p>
        </w:tc>
        <w:tc>
          <w:tcPr>
            <w:tcW w:w="160" w:type="dxa"/>
            <w:vAlign w:val="bottom"/>
            <w:tcBorders>
              <w:bottom w:val="single" w:sz="8" w:color="auto"/>
            </w:tcBorders>
          </w:tcPr>
          <w:p>
            <w:pPr>
              <w:spacing w:after="0"/>
              <w:rPr>
                <w:sz w:val="23"/>
                <w:szCs w:val="23"/>
                <w:color w:val="auto"/>
              </w:rPr>
            </w:pPr>
          </w:p>
        </w:tc>
      </w:tr>
      <w:tr>
        <w:trPr>
          <w:trHeight w:val="17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Volume</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16.3 %</w:t>
            </w:r>
          </w:p>
        </w:tc>
      </w:tr>
      <w:tr>
        <w:trPr>
          <w:trHeight w:val="18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Price</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13.3</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60" w:type="dxa"/>
            <w:vAlign w:val="bottom"/>
            <w:tcBorders>
              <w:bottom w:val="single" w:sz="8" w:color="auto"/>
            </w:tcBorders>
          </w:tcPr>
          <w:p>
            <w:pPr>
              <w:spacing w:after="0"/>
              <w:rPr>
                <w:sz w:val="15"/>
                <w:szCs w:val="15"/>
                <w:color w:val="auto"/>
              </w:rPr>
            </w:pPr>
          </w:p>
        </w:tc>
      </w:tr>
      <w:tr>
        <w:trPr>
          <w:trHeight w:val="171"/>
        </w:trPr>
        <w:tc>
          <w:tcPr>
            <w:tcW w:w="4860" w:type="dxa"/>
            <w:vAlign w:val="bottom"/>
            <w:shd w:val="clear" w:color="auto" w:fill="CCEEFF"/>
          </w:tcPr>
          <w:p>
            <w:pPr>
              <w:jc w:val="center"/>
              <w:ind w:right="3832"/>
              <w:spacing w:after="0"/>
              <w:rPr>
                <w:sz w:val="20"/>
                <w:szCs w:val="20"/>
                <w:color w:val="auto"/>
              </w:rPr>
            </w:pPr>
            <w:r>
              <w:rPr>
                <w:rFonts w:ascii="Arial" w:cs="Arial" w:eastAsia="Arial" w:hAnsi="Arial"/>
                <w:sz w:val="14"/>
                <w:szCs w:val="14"/>
                <w:color w:val="auto"/>
                <w:w w:val="94"/>
              </w:rPr>
              <w:t>Core growth</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92"/>
              <w:spacing w:after="0"/>
              <w:rPr>
                <w:sz w:val="20"/>
                <w:szCs w:val="20"/>
                <w:color w:val="auto"/>
              </w:rPr>
            </w:pPr>
            <w:r>
              <w:rPr>
                <w:rFonts w:ascii="Arial" w:cs="Arial" w:eastAsia="Arial" w:hAnsi="Arial"/>
                <w:sz w:val="14"/>
                <w:szCs w:val="14"/>
                <w:color w:val="auto"/>
              </w:rPr>
              <w:t>6.2</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60" w:type="dxa"/>
            <w:vAlign w:val="bottom"/>
            <w:shd w:val="clear" w:color="auto" w:fill="CCEEFF"/>
          </w:tcPr>
          <w:p>
            <w:pPr>
              <w:spacing w:after="0"/>
              <w:rPr>
                <w:sz w:val="14"/>
                <w:szCs w:val="14"/>
                <w:color w:val="auto"/>
              </w:rPr>
            </w:pP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Acquisition/Divestiture</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192"/>
              <w:spacing w:after="0"/>
              <w:rPr>
                <w:sz w:val="20"/>
                <w:szCs w:val="20"/>
                <w:color w:val="auto"/>
              </w:rPr>
            </w:pPr>
            <w:r>
              <w:rPr>
                <w:rFonts w:ascii="Arial" w:cs="Arial" w:eastAsia="Arial" w:hAnsi="Arial"/>
                <w:sz w:val="14"/>
                <w:szCs w:val="14"/>
                <w:color w:val="auto"/>
              </w:rPr>
              <w:t>5.5</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5"/>
                <w:szCs w:val="15"/>
                <w:color w:val="auto"/>
              </w:rPr>
            </w:pPr>
          </w:p>
        </w:tc>
      </w:tr>
      <w:tr>
        <w:trPr>
          <w:trHeight w:val="180"/>
        </w:trPr>
        <w:tc>
          <w:tcPr>
            <w:tcW w:w="4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Currency</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(2.2)</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auto"/>
            </w:tcBorders>
            <w:shd w:val="clear" w:color="auto" w:fill="CCEEFF"/>
          </w:tcPr>
          <w:p>
            <w:pPr>
              <w:spacing w:after="0"/>
              <w:rPr>
                <w:sz w:val="15"/>
                <w:szCs w:val="15"/>
                <w:color w:val="auto"/>
              </w:rPr>
            </w:pPr>
          </w:p>
        </w:tc>
      </w:tr>
      <w:tr>
        <w:trPr>
          <w:trHeight w:val="17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9.5 %</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24.8 %</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9.5 percent increase in consolidated net sales in 2022 from 2021 was primarily the result of:</w:t>
      </w:r>
    </w:p>
    <w:p>
      <w:pPr>
        <w:spacing w:after="0" w:line="136"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i w:val="1"/>
          <w:iCs w:val="1"/>
          <w:color w:val="auto"/>
        </w:rPr>
      </w:pPr>
      <w:r>
        <w:rPr>
          <w:rFonts w:ascii="Arial" w:cs="Arial" w:eastAsia="Arial" w:hAnsi="Arial"/>
          <w:sz w:val="14"/>
          <w:szCs w:val="14"/>
          <w:color w:val="auto"/>
        </w:rPr>
        <w:t>increases in selling prices to mitigate a rise in inflationary costs;</w:t>
      </w:r>
    </w:p>
    <w:p>
      <w:pPr>
        <w:spacing w:after="0" w:line="136" w:lineRule="exact"/>
        <w:rPr>
          <w:rFonts w:ascii="Arial" w:cs="Arial" w:eastAsia="Arial" w:hAnsi="Arial"/>
          <w:sz w:val="14"/>
          <w:szCs w:val="14"/>
          <w:i w:val="1"/>
          <w:iCs w:val="1"/>
          <w:color w:val="auto"/>
        </w:rPr>
      </w:pPr>
    </w:p>
    <w:p>
      <w:pPr>
        <w:ind w:left="520" w:hanging="260"/>
        <w:spacing w:after="0" w:line="281" w:lineRule="auto"/>
        <w:tabs>
          <w:tab w:leader="none" w:pos="516"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increased sales from the acquisitions of Manitowoc Ice, Pleatco Holdings, LLC (“Pleatco”), and Ken’s Beverage, Inc (“KBI”) completed in the third quarter of 2022, fourth quarter of 2021 and second quarter of 2021, respectively;</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sales volume increase in our industrial solutions business within our Industrial &amp; Flow Technologies segment;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sales volume increase in our commercial water solutions business within our Consumer Solutions segment.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color w:val="auto"/>
        </w:rPr>
        <w:t>This increase was partially offset by:</w:t>
      </w:r>
    </w:p>
    <w:p>
      <w:pPr>
        <w:spacing w:after="0" w:line="136"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i w:val="1"/>
          <w:iCs w:val="1"/>
          <w:color w:val="auto"/>
        </w:rPr>
      </w:pPr>
      <w:r>
        <w:rPr>
          <w:rFonts w:ascii="Arial" w:cs="Arial" w:eastAsia="Arial" w:hAnsi="Arial"/>
          <w:sz w:val="14"/>
          <w:szCs w:val="14"/>
          <w:color w:val="auto"/>
        </w:rPr>
        <w:t>sales volume decrease in our Consumer Solutions segment mainly driven by our pool and residential water treatment businesses;</w:t>
      </w:r>
    </w:p>
    <w:p>
      <w:pPr>
        <w:spacing w:after="0" w:line="136" w:lineRule="exact"/>
        <w:rPr>
          <w:rFonts w:ascii="Arial" w:cs="Arial" w:eastAsia="Arial" w:hAnsi="Arial"/>
          <w:sz w:val="14"/>
          <w:szCs w:val="14"/>
          <w:i w:val="1"/>
          <w:iCs w:val="1"/>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sales volume decrease in our residential and irrigation flow businesses within our Industrial &amp; Flow Technologies segment;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unfavorable foreign currency effects in 2022 compared to the prior year.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Gross profit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1.9 percentage point decrease in gross profit as a percentage of net sales in 2022 from 2021 was primarily the result of:</w:t>
      </w:r>
    </w:p>
    <w:p>
      <w:pPr>
        <w:spacing w:after="0" w:line="126" w:lineRule="exact"/>
        <w:rPr>
          <w:sz w:val="20"/>
          <w:szCs w:val="20"/>
          <w:color w:val="auto"/>
        </w:rPr>
      </w:pPr>
    </w:p>
    <w:p>
      <w:pPr>
        <w:ind w:left="520" w:hanging="260"/>
        <w:spacing w:after="0"/>
        <w:tabs>
          <w:tab w:leader="none" w:pos="520" w:val="left"/>
        </w:tabs>
        <w:numPr>
          <w:ilvl w:val="0"/>
          <w:numId w:val="20"/>
        </w:numPr>
        <w:rPr>
          <w:rFonts w:ascii="Arial" w:cs="Arial" w:eastAsia="Arial" w:hAnsi="Arial"/>
          <w:sz w:val="14"/>
          <w:szCs w:val="14"/>
          <w:b w:val="1"/>
          <w:bCs w:val="1"/>
          <w:i w:val="1"/>
          <w:iCs w:val="1"/>
          <w:color w:val="auto"/>
        </w:rPr>
      </w:pPr>
      <w:r>
        <w:rPr>
          <w:rFonts w:ascii="Arial" w:cs="Arial" w:eastAsia="Arial" w:hAnsi="Arial"/>
          <w:sz w:val="14"/>
          <w:szCs w:val="14"/>
          <w:color w:val="auto"/>
        </w:rPr>
        <w:t>inflationary cost increases due to tight supply of raw materials such as metals, resins and electronics;</w:t>
      </w:r>
    </w:p>
    <w:p>
      <w:pPr>
        <w:spacing w:after="0" w:line="136" w:lineRule="exact"/>
        <w:rPr>
          <w:rFonts w:ascii="Arial" w:cs="Arial" w:eastAsia="Arial" w:hAnsi="Arial"/>
          <w:sz w:val="14"/>
          <w:szCs w:val="14"/>
          <w:b w:val="1"/>
          <w:bCs w:val="1"/>
          <w:i w:val="1"/>
          <w:iCs w:val="1"/>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higher logistics and labor costs due to increased demand, additional headcount and factory labor wage increases;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decreased productivity in our Consumer Solutions pool and residential water treatment businesses due to decreased sales volumes;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decreased productivity in our Industrial &amp; Flow Technologies segment as a result of supply chain and plant inefficiencies;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inventory impairments and write-offs and certain accruals of $19.6 million recorded as part of exiting businesses in our Consumer Solutions segment;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amortization of inventory fair market value step-up of $5.8 million as a result of the Manitowoc Ice acquisition; and</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charges of $4.7 million recorded in 2022 for the write-off of inventory and costs related to contracts and orders that we will no longer fulfill in light of our exit of business activity and sales in Russia.</w:t>
      </w:r>
    </w:p>
    <w:p>
      <w:pPr>
        <w:spacing w:after="0" w:line="387" w:lineRule="exact"/>
        <w:rPr>
          <w:sz w:val="20"/>
          <w:szCs w:val="20"/>
          <w:color w:val="auto"/>
        </w:rPr>
      </w:pPr>
    </w:p>
    <w:p>
      <w:pPr>
        <w:ind w:left="520" w:hanging="260"/>
        <w:spacing w:after="0"/>
        <w:tabs>
          <w:tab w:leader="none" w:pos="520" w:val="left"/>
        </w:tabs>
        <w:numPr>
          <w:ilvl w:val="0"/>
          <w:numId w:val="21"/>
        </w:numPr>
        <w:rPr>
          <w:rFonts w:ascii="Arial" w:cs="Arial" w:eastAsia="Arial" w:hAnsi="Arial"/>
          <w:sz w:val="14"/>
          <w:szCs w:val="14"/>
          <w:i w:val="1"/>
          <w:iCs w:val="1"/>
          <w:color w:val="auto"/>
        </w:rPr>
      </w:pPr>
      <w:r>
        <w:rPr>
          <w:rFonts w:ascii="Arial" w:cs="Arial" w:eastAsia="Arial" w:hAnsi="Arial"/>
          <w:sz w:val="14"/>
          <w:szCs w:val="14"/>
          <w:color w:val="auto"/>
        </w:rPr>
        <w:t>increases in selling prices to mitigate impacts of inflation.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Selling, general and administrative (“SG&amp;A”)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0.6 percentage point increase in SG&amp;A expense as a percentage of net sales in 2022 from 2021 was driven by:</w:t>
      </w:r>
    </w:p>
    <w:p>
      <w:pPr>
        <w:spacing w:after="0" w:line="126"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i w:val="1"/>
          <w:iCs w:val="1"/>
          <w:color w:val="auto"/>
        </w:rPr>
      </w:pPr>
      <w:r>
        <w:rPr>
          <w:rFonts w:ascii="Arial" w:cs="Arial" w:eastAsia="Arial" w:hAnsi="Arial"/>
          <w:sz w:val="14"/>
          <w:szCs w:val="14"/>
          <w:color w:val="auto"/>
        </w:rPr>
        <w:t>identifiable intangible asset amortization expense of $28.6 million related to the addition of Manitowoc Ice’s definite-lived intangible assets in 2022;</w:t>
      </w:r>
    </w:p>
    <w:p>
      <w:pPr>
        <w:spacing w:after="0" w:line="136" w:lineRule="exact"/>
        <w:rPr>
          <w:rFonts w:ascii="Arial" w:cs="Arial" w:eastAsia="Arial" w:hAnsi="Arial"/>
          <w:sz w:val="14"/>
          <w:szCs w:val="14"/>
          <w:i w:val="1"/>
          <w:iCs w:val="1"/>
          <w:color w:val="auto"/>
        </w:rPr>
      </w:pPr>
    </w:p>
    <w:p>
      <w:pPr>
        <w:ind w:left="520" w:hanging="260"/>
        <w:spacing w:after="0"/>
        <w:tabs>
          <w:tab w:leader="none" w:pos="520" w:val="left"/>
        </w:tabs>
        <w:numPr>
          <w:ilvl w:val="0"/>
          <w:numId w:val="22"/>
        </w:numPr>
        <w:rPr>
          <w:rFonts w:ascii="Arial" w:cs="Arial" w:eastAsia="Arial" w:hAnsi="Arial"/>
          <w:sz w:val="14"/>
          <w:szCs w:val="14"/>
          <w:i w:val="1"/>
          <w:iCs w:val="1"/>
          <w:color w:val="auto"/>
        </w:rPr>
      </w:pPr>
      <w:r>
        <w:rPr>
          <w:rFonts w:ascii="Arial" w:cs="Arial" w:eastAsia="Arial" w:hAnsi="Arial"/>
          <w:sz w:val="14"/>
          <w:szCs w:val="14"/>
          <w:color w:val="auto"/>
        </w:rPr>
        <w:t>deal-related costs and expenses of $22.2 million in 2022, compared to $7.9 million in 2021;</w:t>
      </w:r>
    </w:p>
    <w:p>
      <w:pPr>
        <w:spacing w:after="0" w:line="136" w:lineRule="exact"/>
        <w:rPr>
          <w:rFonts w:ascii="Arial" w:cs="Arial" w:eastAsia="Arial" w:hAnsi="Arial"/>
          <w:sz w:val="14"/>
          <w:szCs w:val="14"/>
          <w:i w:val="1"/>
          <w:iCs w:val="1"/>
          <w:color w:val="auto"/>
        </w:rPr>
      </w:pPr>
    </w:p>
    <w:p>
      <w:pPr>
        <w:ind w:left="520" w:hanging="260"/>
        <w:spacing w:after="0"/>
        <w:tabs>
          <w:tab w:leader="none" w:pos="520" w:val="left"/>
        </w:tabs>
        <w:numPr>
          <w:ilvl w:val="0"/>
          <w:numId w:val="22"/>
        </w:numPr>
        <w:rPr>
          <w:rFonts w:ascii="Arial" w:cs="Arial" w:eastAsia="Arial" w:hAnsi="Arial"/>
          <w:sz w:val="14"/>
          <w:szCs w:val="14"/>
          <w:i w:val="1"/>
          <w:iCs w:val="1"/>
          <w:color w:val="auto"/>
        </w:rPr>
      </w:pPr>
      <w:r>
        <w:rPr>
          <w:rFonts w:ascii="Arial" w:cs="Arial" w:eastAsia="Arial" w:hAnsi="Arial"/>
          <w:sz w:val="14"/>
          <w:szCs w:val="14"/>
          <w:color w:val="auto"/>
        </w:rPr>
        <w:t>restructuring costs of $36.7 million in 2022, compared to $7.4 million in 2021; and</w:t>
      </w:r>
    </w:p>
    <w:p>
      <w:pPr>
        <w:spacing w:after="0" w:line="136" w:lineRule="exact"/>
        <w:rPr>
          <w:rFonts w:ascii="Arial" w:cs="Arial" w:eastAsia="Arial" w:hAnsi="Arial"/>
          <w:sz w:val="14"/>
          <w:szCs w:val="14"/>
          <w:i w:val="1"/>
          <w:iCs w:val="1"/>
          <w:color w:val="auto"/>
        </w:rPr>
      </w:pPr>
    </w:p>
    <w:p>
      <w:pPr>
        <w:ind w:left="520" w:hanging="260"/>
        <w:spacing w:after="0"/>
        <w:tabs>
          <w:tab w:leader="none" w:pos="520" w:val="left"/>
        </w:tabs>
        <w:numPr>
          <w:ilvl w:val="0"/>
          <w:numId w:val="22"/>
        </w:numPr>
        <w:rPr>
          <w:rFonts w:ascii="Arial" w:cs="Arial" w:eastAsia="Arial" w:hAnsi="Arial"/>
          <w:sz w:val="14"/>
          <w:szCs w:val="14"/>
          <w:i w:val="1"/>
          <w:iCs w:val="1"/>
          <w:color w:val="auto"/>
        </w:rPr>
      </w:pPr>
      <w:r>
        <w:rPr>
          <w:rFonts w:ascii="Arial" w:cs="Arial" w:eastAsia="Arial" w:hAnsi="Arial"/>
          <w:sz w:val="14"/>
          <w:szCs w:val="14"/>
          <w:color w:val="auto"/>
        </w:rPr>
        <w:t>transformation costs of $27.2 million in 2022, compared to $11.7 million in 2021.</w:t>
      </w:r>
    </w:p>
    <w:p>
      <w:pPr>
        <w:spacing w:after="0" w:line="200" w:lineRule="exact"/>
        <w:rPr>
          <w:sz w:val="20"/>
          <w:szCs w:val="20"/>
          <w:color w:val="auto"/>
        </w:rPr>
      </w:pPr>
    </w:p>
    <w:p>
      <w:pPr>
        <w:spacing w:after="0" w:line="233"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b w:val="1"/>
          <w:bCs w:val="1"/>
          <w:i w:val="1"/>
          <w:iCs w:val="1"/>
          <w:color w:val="auto"/>
        </w:rPr>
      </w:pPr>
      <w:r>
        <w:rPr>
          <w:rFonts w:ascii="Arial" w:cs="Arial" w:eastAsia="Arial" w:hAnsi="Arial"/>
          <w:sz w:val="14"/>
          <w:szCs w:val="14"/>
          <w:color w:val="auto"/>
        </w:rPr>
        <w:t>higher employee incentive expense in 2021 compared to 2022 as a result of stronger financial performance in 2021 than initially forecasted.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interest expense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increase in net interest expense in 2022 from 2021 was the result of:</w:t>
      </w:r>
    </w:p>
    <w:p>
      <w:pPr>
        <w:spacing w:after="0" w:line="126"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increased debt due to the acquisition of Manitowoc Ice;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i w:val="1"/>
          <w:iCs w:val="1"/>
          <w:color w:val="auto"/>
        </w:rPr>
      </w:pPr>
      <w:r>
        <w:rPr>
          <w:rFonts w:ascii="Arial" w:cs="Arial" w:eastAsia="Arial" w:hAnsi="Arial"/>
          <w:sz w:val="14"/>
          <w:szCs w:val="14"/>
          <w:color w:val="auto"/>
        </w:rPr>
        <w:t>increased variable interest rates in 2022 compared to the prior year; and</w:t>
      </w:r>
    </w:p>
    <w:p>
      <w:pPr>
        <w:spacing w:after="0" w:line="136" w:lineRule="exact"/>
        <w:rPr>
          <w:rFonts w:ascii="Arial" w:cs="Arial" w:eastAsia="Arial" w:hAnsi="Arial"/>
          <w:sz w:val="14"/>
          <w:szCs w:val="14"/>
          <w:i w:val="1"/>
          <w:iCs w:val="1"/>
          <w:color w:val="auto"/>
        </w:rPr>
      </w:pPr>
    </w:p>
    <w:p>
      <w:pPr>
        <w:ind w:left="520" w:hanging="260"/>
        <w:spacing w:after="0" w:line="28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amortization of debt issuance costs of $9.0 million in 2022 related to financing commitments for a bridge loan facility established in connection with the definitive agreement to purchase Manitowoc Ice.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0.9 percentage point increase in the effective tax rate in 2022 from 2021 was primarily due to:</w:t>
      </w:r>
    </w:p>
    <w:p>
      <w:pPr>
        <w:spacing w:after="0" w:line="126" w:lineRule="exact"/>
        <w:rPr>
          <w:sz w:val="20"/>
          <w:szCs w:val="20"/>
          <w:color w:val="auto"/>
        </w:rPr>
      </w:pPr>
    </w:p>
    <w:p>
      <w:pPr>
        <w:ind w:right="6640" w:firstLine="260"/>
        <w:spacing w:after="0" w:line="442" w:lineRule="auto"/>
        <w:tabs>
          <w:tab w:leader="none" w:pos="506"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the impact of favorable discrete items in 2021 that did not occur in 2022. This </w:t>
      </w:r>
      <w:r>
        <w:rPr>
          <w:rFonts w:ascii="Arial" w:cs="Arial" w:eastAsia="Arial" w:hAnsi="Arial"/>
          <w:sz w:val="14"/>
          <w:szCs w:val="14"/>
          <w:i w:val="1"/>
          <w:iCs w:val="1"/>
          <w:color w:val="auto"/>
        </w:rPr>
        <w:t>increase was partially offset by:</w:t>
      </w:r>
    </w:p>
    <w:p>
      <w:pPr>
        <w:spacing w:after="0" w:line="1"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favorable mix of global earnings.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 Comparison with 2020</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A discussion of changes in our consolidated results of operations, segment results of operations and liquidity and capital resources from the year ended December 31, 2021 to December 31, 2020 can be found in Part II, ITEM 7, Management’s Discussion and Analysis of Financial Condition and Results of Operations of our Annual Report on Form 10-K for the year ended December 31, 2021, which was filed with the SEC on February 22, 2022. However, such discussion is not incorporated by reference into, and does not constitute a part of, this Annual Report on Form 10-K.</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RESULTS OF OPERATIONS</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summary that follows provides a discussion of the results of operations of each of our 2022 reportable segments (Consumer Solutions and Industrial &amp; Flow Technologies). Each of these segments is comprised of various product offerings that serve multiple end users.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evaluate performance based on net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Consumer Solutions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net sales and segment income for Consumer Solutions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Years ended December 31</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tcBorders>
              <w:bottom w:val="single" w:sz="8" w:color="auto"/>
            </w:tcBorders>
            <w:gridSpan w:val="3"/>
          </w:tcPr>
          <w:p>
            <w:pPr>
              <w:jc w:val="center"/>
              <w:ind w:left="89"/>
              <w:spacing w:after="0"/>
              <w:rPr>
                <w:sz w:val="20"/>
                <w:szCs w:val="20"/>
                <w:color w:val="auto"/>
              </w:rPr>
            </w:pPr>
            <w:r>
              <w:rPr>
                <w:rFonts w:ascii="Arial" w:cs="Arial" w:eastAsia="Arial" w:hAnsi="Arial"/>
                <w:sz w:val="14"/>
                <w:szCs w:val="14"/>
                <w:b w:val="1"/>
                <w:bCs w:val="1"/>
                <w:color w:val="auto"/>
                <w:w w:val="91"/>
              </w:rPr>
              <w:t>% / point change</w:t>
            </w:r>
          </w:p>
        </w:tc>
        <w:tc>
          <w:tcPr>
            <w:tcW w:w="160" w:type="dxa"/>
            <w:vAlign w:val="bottom"/>
            <w:tcBorders>
              <w:bottom w:val="single" w:sz="8" w:color="auto"/>
            </w:tcBorders>
          </w:tcPr>
          <w:p>
            <w:pPr>
              <w:spacing w:after="0"/>
              <w:rPr>
                <w:sz w:val="16"/>
                <w:szCs w:val="16"/>
                <w:color w:val="auto"/>
              </w:rPr>
            </w:pPr>
          </w:p>
        </w:tc>
      </w:tr>
      <w:tr>
        <w:trPr>
          <w:trHeight w:val="171"/>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2022 vs 2021</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 vs 2020</w:t>
            </w:r>
          </w:p>
        </w:tc>
        <w:tc>
          <w:tcPr>
            <w:tcW w:w="160" w:type="dxa"/>
            <w:vAlign w:val="bottom"/>
            <w:tcBorders>
              <w:bottom w:val="single" w:sz="8" w:color="auto"/>
            </w:tcBorders>
          </w:tcPr>
          <w:p>
            <w:pPr>
              <w:spacing w:after="0"/>
              <w:rPr>
                <w:sz w:val="14"/>
                <w:szCs w:val="14"/>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2,619.5</w:t>
            </w:r>
          </w:p>
        </w:tc>
        <w:tc>
          <w:tcPr>
            <w:tcW w:w="48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2,341.9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1,742.9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34.4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611.1</w:t>
            </w:r>
          </w:p>
        </w:tc>
        <w:tc>
          <w:tcPr>
            <w:tcW w:w="480" w:type="dxa"/>
            <w:vAlign w:val="bottom"/>
          </w:tcPr>
          <w:p>
            <w:pPr>
              <w:spacing w:after="0"/>
              <w:rPr>
                <w:sz w:val="15"/>
                <w:szCs w:val="15"/>
                <w:color w:val="auto"/>
              </w:rPr>
            </w:pPr>
          </w:p>
        </w:tc>
        <w:tc>
          <w:tcPr>
            <w:tcW w:w="1100" w:type="dxa"/>
            <w:vAlign w:val="bottom"/>
          </w:tcPr>
          <w:p>
            <w:pPr>
              <w:jc w:val="right"/>
              <w:ind w:right="93"/>
              <w:spacing w:after="0"/>
              <w:rPr>
                <w:sz w:val="20"/>
                <w:szCs w:val="20"/>
                <w:color w:val="auto"/>
              </w:rPr>
            </w:pPr>
            <w:r>
              <w:rPr>
                <w:rFonts w:ascii="Arial" w:cs="Arial" w:eastAsia="Arial" w:hAnsi="Arial"/>
                <w:sz w:val="14"/>
                <w:szCs w:val="14"/>
                <w:color w:val="auto"/>
              </w:rPr>
              <w:t>554.4</w:t>
            </w:r>
          </w:p>
        </w:tc>
        <w:tc>
          <w:tcPr>
            <w:tcW w:w="280" w:type="dxa"/>
            <w:vAlign w:val="bottom"/>
          </w:tcPr>
          <w:p>
            <w:pPr>
              <w:spacing w:after="0"/>
              <w:rPr>
                <w:sz w:val="15"/>
                <w:szCs w:val="15"/>
                <w:color w:val="auto"/>
              </w:rPr>
            </w:pPr>
          </w:p>
        </w:tc>
        <w:tc>
          <w:tcPr>
            <w:tcW w:w="980" w:type="dxa"/>
            <w:vAlign w:val="bottom"/>
          </w:tcPr>
          <w:p>
            <w:pPr>
              <w:jc w:val="right"/>
              <w:ind w:right="73"/>
              <w:spacing w:after="0"/>
              <w:rPr>
                <w:sz w:val="20"/>
                <w:szCs w:val="20"/>
                <w:color w:val="auto"/>
              </w:rPr>
            </w:pPr>
            <w:r>
              <w:rPr>
                <w:rFonts w:ascii="Arial" w:cs="Arial" w:eastAsia="Arial" w:hAnsi="Arial"/>
                <w:sz w:val="14"/>
                <w:szCs w:val="14"/>
                <w:color w:val="auto"/>
              </w:rPr>
              <w:t>419.1</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jc w:val="center"/>
              <w:spacing w:after="0"/>
              <w:rPr>
                <w:sz w:val="20"/>
                <w:szCs w:val="20"/>
                <w:color w:val="auto"/>
              </w:rPr>
            </w:pPr>
            <w:r>
              <w:rPr>
                <w:rFonts w:ascii="Arial" w:cs="Arial" w:eastAsia="Arial" w:hAnsi="Arial"/>
                <w:sz w:val="14"/>
                <w:szCs w:val="14"/>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4"/>
                <w:szCs w:val="14"/>
                <w:color w:val="auto"/>
              </w:rPr>
              <w:t>32.3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59"/>
        </w:trPr>
        <w:tc>
          <w:tcPr>
            <w:tcW w:w="446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 of net sales</w:t>
            </w:r>
          </w:p>
        </w:tc>
        <w:tc>
          <w:tcPr>
            <w:tcW w:w="3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69"/>
              <w:spacing w:after="0"/>
              <w:rPr>
                <w:sz w:val="20"/>
                <w:szCs w:val="20"/>
                <w:color w:val="auto"/>
              </w:rPr>
            </w:pPr>
            <w:r>
              <w:rPr>
                <w:rFonts w:ascii="Arial" w:cs="Arial" w:eastAsia="Arial" w:hAnsi="Arial"/>
                <w:sz w:val="11"/>
                <w:szCs w:val="11"/>
                <w:i w:val="1"/>
                <w:iCs w:val="1"/>
                <w:color w:val="auto"/>
              </w:rPr>
              <w:t>23.3 %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23.7 %</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24.0 %</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1"/>
                <w:szCs w:val="11"/>
                <w:i w:val="1"/>
                <w:iCs w:val="1"/>
                <w:color w:val="auto"/>
              </w:rPr>
              <w:t>(0.4)</w:t>
            </w:r>
          </w:p>
        </w:tc>
        <w:tc>
          <w:tcPr>
            <w:tcW w:w="220" w:type="dxa"/>
            <w:vAlign w:val="bottom"/>
            <w:shd w:val="clear" w:color="auto" w:fill="CCEEFF"/>
          </w:tcPr>
          <w:p>
            <w:pPr>
              <w:jc w:val="center"/>
              <w:spacing w:after="0"/>
              <w:rPr>
                <w:sz w:val="20"/>
                <w:szCs w:val="20"/>
                <w:color w:val="auto"/>
              </w:rPr>
            </w:pPr>
            <w:r>
              <w:rPr>
                <w:rFonts w:ascii="Arial" w:cs="Arial" w:eastAsia="Arial" w:hAnsi="Arial"/>
                <w:sz w:val="11"/>
                <w:szCs w:val="11"/>
                <w:i w:val="1"/>
                <w:iCs w:val="1"/>
                <w:color w:val="auto"/>
                <w:w w:val="81"/>
              </w:rPr>
              <w:t>pts</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(0.3)</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w w:val="81"/>
              </w:rPr>
              <w:t>pts</w:t>
            </w:r>
          </w:p>
        </w:tc>
      </w:tr>
      <w:tr>
        <w:trPr>
          <w:trHeight w:val="286"/>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Net sales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0"/>
        </w:trPr>
        <w:tc>
          <w:tcPr>
            <w:tcW w:w="4780" w:type="dxa"/>
            <w:vAlign w:val="bottom"/>
            <w:gridSpan w:val="2"/>
          </w:tcPr>
          <w:p>
            <w:pPr>
              <w:spacing w:after="0"/>
              <w:rPr>
                <w:sz w:val="20"/>
                <w:szCs w:val="20"/>
                <w:color w:val="auto"/>
              </w:rPr>
            </w:pPr>
            <w:r>
              <w:rPr>
                <w:rFonts w:ascii="Arial" w:cs="Arial" w:eastAsia="Arial" w:hAnsi="Arial"/>
                <w:sz w:val="14"/>
                <w:szCs w:val="14"/>
                <w:color w:val="auto"/>
                <w:w w:val="94"/>
              </w:rPr>
              <w:t>The components of the change in Consumer Solutions net sales were as follows:</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76"/>
        </w:trPr>
        <w:tc>
          <w:tcPr>
            <w:tcW w:w="4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389"/>
              <w:spacing w:after="0"/>
              <w:rPr>
                <w:sz w:val="20"/>
                <w:szCs w:val="20"/>
                <w:color w:val="auto"/>
              </w:rPr>
            </w:pPr>
            <w:r>
              <w:rPr>
                <w:rFonts w:ascii="Arial" w:cs="Arial" w:eastAsia="Arial" w:hAnsi="Arial"/>
                <w:sz w:val="14"/>
                <w:szCs w:val="14"/>
                <w:b w:val="1"/>
                <w:bCs w:val="1"/>
                <w:color w:val="auto"/>
                <w:w w:val="95"/>
              </w:rPr>
              <w:t>2022 vs 2021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2021 vs 2020</w:t>
            </w:r>
          </w:p>
        </w:tc>
        <w:tc>
          <w:tcPr>
            <w:tcW w:w="160" w:type="dxa"/>
            <w:vAlign w:val="bottom"/>
            <w:tcBorders>
              <w:bottom w:val="single" w:sz="8" w:color="auto"/>
            </w:tcBorders>
          </w:tcPr>
          <w:p>
            <w:pPr>
              <w:spacing w:after="0"/>
              <w:rPr>
                <w:sz w:val="24"/>
                <w:szCs w:val="24"/>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Volume</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22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23.8 %</w:t>
            </w:r>
          </w:p>
        </w:tc>
      </w:tr>
      <w:tr>
        <w:trPr>
          <w:trHeight w:val="180"/>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Price</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189"/>
              <w:spacing w:after="0"/>
              <w:rPr>
                <w:sz w:val="20"/>
                <w:szCs w:val="20"/>
                <w:color w:val="auto"/>
              </w:rPr>
            </w:pPr>
            <w:r>
              <w:rPr>
                <w:rFonts w:ascii="Arial" w:cs="Arial" w:eastAsia="Arial" w:hAnsi="Arial"/>
                <w:sz w:val="14"/>
                <w:szCs w:val="14"/>
                <w:color w:val="auto"/>
              </w:rPr>
              <w:t>15.0</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60" w:type="dxa"/>
            <w:vAlign w:val="bottom"/>
            <w:tcBorders>
              <w:bottom w:val="single" w:sz="8" w:color="auto"/>
            </w:tcBorders>
          </w:tcPr>
          <w:p>
            <w:pPr>
              <w:spacing w:after="0"/>
              <w:rPr>
                <w:sz w:val="15"/>
                <w:szCs w:val="15"/>
                <w:color w:val="auto"/>
              </w:rPr>
            </w:pPr>
          </w:p>
        </w:tc>
      </w:tr>
      <w:tr>
        <w:trPr>
          <w:trHeight w:val="171"/>
        </w:trPr>
        <w:tc>
          <w:tcPr>
            <w:tcW w:w="44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Core growth</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89"/>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60" w:type="dxa"/>
            <w:vAlign w:val="bottom"/>
            <w:shd w:val="clear" w:color="auto" w:fill="CCEEFF"/>
          </w:tcPr>
          <w:p>
            <w:pPr>
              <w:spacing w:after="0"/>
              <w:rPr>
                <w:sz w:val="14"/>
                <w:szCs w:val="14"/>
                <w:color w:val="auto"/>
              </w:rPr>
            </w:pPr>
          </w:p>
        </w:tc>
      </w:tr>
      <w:tr>
        <w:trPr>
          <w:trHeight w:val="180"/>
        </w:trPr>
        <w:tc>
          <w:tcPr>
            <w:tcW w:w="4460" w:type="dxa"/>
            <w:vAlign w:val="bottom"/>
          </w:tcPr>
          <w:p>
            <w:pPr>
              <w:ind w:left="20"/>
              <w:spacing w:after="0"/>
              <w:rPr>
                <w:sz w:val="20"/>
                <w:szCs w:val="20"/>
                <w:color w:val="auto"/>
              </w:rPr>
            </w:pPr>
            <w:r>
              <w:rPr>
                <w:rFonts w:ascii="Arial" w:cs="Arial" w:eastAsia="Arial" w:hAnsi="Arial"/>
                <w:sz w:val="14"/>
                <w:szCs w:val="14"/>
                <w:color w:val="auto"/>
              </w:rPr>
              <w:t>Acquisition</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00" w:type="dxa"/>
            <w:vAlign w:val="bottom"/>
            <w:gridSpan w:val="2"/>
          </w:tcPr>
          <w:p>
            <w:pPr>
              <w:jc w:val="right"/>
              <w:ind w:right="189"/>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5"/>
                <w:szCs w:val="15"/>
                <w:color w:val="auto"/>
              </w:rPr>
            </w:pPr>
          </w:p>
        </w:tc>
      </w:tr>
      <w:tr>
        <w:trPr>
          <w:trHeight w:val="180"/>
        </w:trPr>
        <w:tc>
          <w:tcPr>
            <w:tcW w:w="4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Currency</w:t>
            </w: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60" w:type="dxa"/>
            <w:vAlign w:val="bottom"/>
            <w:tcBorders>
              <w:bottom w:val="single" w:sz="8" w:color="auto"/>
            </w:tcBorders>
            <w:shd w:val="clear" w:color="auto" w:fill="CCEEFF"/>
          </w:tcPr>
          <w:p>
            <w:pPr>
              <w:spacing w:after="0"/>
              <w:rPr>
                <w:sz w:val="15"/>
                <w:szCs w:val="15"/>
                <w:color w:val="auto"/>
              </w:rPr>
            </w:pPr>
          </w:p>
        </w:tc>
      </w:tr>
      <w:tr>
        <w:trPr>
          <w:trHeight w:val="171"/>
        </w:trPr>
        <w:tc>
          <w:tcPr>
            <w:tcW w:w="4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color w:val="auto"/>
              </w:rPr>
              <w:t>11.9 %</w:t>
            </w: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34.4 %</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increases in selling prices to mitigate impacts of inflation;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increased sales due to the acquisitions of Manitowoc Ice, Pleatco and KBI completed in the third quarter of 2022, the fourth quarter of 2021 and the second quarter of 2021, respectively; and</w:t>
      </w:r>
    </w:p>
    <w:p>
      <w:pPr>
        <w:spacing w:after="0" w:line="159" w:lineRule="exact"/>
        <w:rPr>
          <w:rFonts w:ascii="Arial" w:cs="Arial" w:eastAsia="Arial" w:hAnsi="Arial"/>
          <w:sz w:val="12"/>
          <w:szCs w:val="12"/>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increased sales volume in our commercial water solutions business in 2022 compared to the prior year.</w:t>
      </w:r>
    </w:p>
    <w:p>
      <w:pPr>
        <w:spacing w:after="0" w:line="200" w:lineRule="exact"/>
        <w:rPr>
          <w:sz w:val="20"/>
          <w:szCs w:val="20"/>
          <w:color w:val="auto"/>
        </w:rPr>
      </w:pPr>
    </w:p>
    <w:p>
      <w:pPr>
        <w:spacing w:after="0" w:line="233" w:lineRule="exact"/>
        <w:rPr>
          <w:sz w:val="20"/>
          <w:szCs w:val="20"/>
          <w:color w:val="auto"/>
        </w:rPr>
      </w:pPr>
    </w:p>
    <w:p>
      <w:pPr>
        <w:ind w:left="5580" w:right="4100" w:hanging="5320"/>
        <w:spacing w:after="0" w:line="929" w:lineRule="auto"/>
        <w:tabs>
          <w:tab w:leader="none" w:pos="517" w:val="left"/>
        </w:tabs>
        <w:numPr>
          <w:ilvl w:val="0"/>
          <w:numId w:val="27"/>
        </w:numPr>
        <w:rPr>
          <w:rFonts w:ascii="Arial" w:cs="Arial" w:eastAsia="Arial" w:hAnsi="Arial"/>
          <w:sz w:val="14"/>
          <w:szCs w:val="14"/>
          <w:i w:val="1"/>
          <w:iCs w:val="1"/>
          <w:color w:val="auto"/>
        </w:rPr>
      </w:pPr>
      <w:r>
        <w:rPr>
          <w:rFonts w:ascii="Arial" w:cs="Arial" w:eastAsia="Arial" w:hAnsi="Arial"/>
          <w:sz w:val="14"/>
          <w:szCs w:val="14"/>
          <w:color w:val="auto"/>
        </w:rPr>
        <w:t>decreased sales volume in our pool and residential water treatment businesses in 2022 compared to the prior year;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-250825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0"/>
        </w:trPr>
        <w:tc>
          <w:tcPr>
            <w:tcW w:w="9120" w:type="dxa"/>
            <w:vAlign w:val="bottom"/>
          </w:tcPr>
          <w:p>
            <w:pPr>
              <w:ind w:left="260"/>
              <w:spacing w:after="0"/>
              <w:rPr>
                <w:sz w:val="20"/>
                <w:szCs w:val="20"/>
                <w:color w:val="auto"/>
              </w:rPr>
            </w:pPr>
            <w:r>
              <w:rPr>
                <w:rFonts w:ascii="Arial" w:cs="Arial" w:eastAsia="Arial" w:hAnsi="Arial"/>
                <w:sz w:val="14"/>
                <w:szCs w:val="14"/>
                <w:color w:val="auto"/>
              </w:rPr>
              <w:t>•   unfavorable foreign currency effects compared to 2021.</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87"/>
        </w:trPr>
        <w:tc>
          <w:tcPr>
            <w:tcW w:w="9120" w:type="dxa"/>
            <w:vAlign w:val="bottom"/>
          </w:tcPr>
          <w:p>
            <w:pPr>
              <w:spacing w:after="0"/>
              <w:rPr>
                <w:sz w:val="20"/>
                <w:szCs w:val="20"/>
                <w:color w:val="auto"/>
              </w:rPr>
            </w:pPr>
            <w:r>
              <w:rPr>
                <w:rFonts w:ascii="Arial" w:cs="Arial" w:eastAsia="Arial" w:hAnsi="Arial"/>
                <w:sz w:val="14"/>
                <w:szCs w:val="14"/>
                <w:b w:val="1"/>
                <w:bCs w:val="1"/>
                <w:i w:val="1"/>
                <w:iCs w:val="1"/>
                <w:color w:val="auto"/>
              </w:rPr>
              <w:t>Segment income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80"/>
        </w:trPr>
        <w:tc>
          <w:tcPr>
            <w:tcW w:w="9120" w:type="dxa"/>
            <w:vAlign w:val="bottom"/>
          </w:tcPr>
          <w:p>
            <w:pPr>
              <w:spacing w:after="0"/>
              <w:rPr>
                <w:sz w:val="20"/>
                <w:szCs w:val="20"/>
                <w:color w:val="auto"/>
              </w:rPr>
            </w:pPr>
            <w:r>
              <w:rPr>
                <w:rFonts w:ascii="Arial" w:cs="Arial" w:eastAsia="Arial" w:hAnsi="Arial"/>
                <w:sz w:val="14"/>
                <w:szCs w:val="14"/>
                <w:color w:val="auto"/>
              </w:rPr>
              <w:t>The components of the change in Consumer Solutions segment income as a percentage of net sales from the prior period were as follows:</w:t>
            </w: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29"/>
        </w:trPr>
        <w:tc>
          <w:tcPr>
            <w:tcW w:w="9120" w:type="dxa"/>
            <w:vAlign w:val="bottom"/>
            <w:tcBorders>
              <w:bottom w:val="single" w:sz="8" w:color="auto"/>
            </w:tcBorders>
          </w:tcPr>
          <w:p>
            <w:pPr>
              <w:ind w:left="876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24"/>
                <w:szCs w:val="24"/>
                <w:color w:val="auto"/>
              </w:rPr>
            </w:pPr>
          </w:p>
        </w:tc>
      </w:tr>
      <w:tr>
        <w:trPr>
          <w:trHeight w:val="17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Growth/Price/Acquisition</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1060" w:type="dxa"/>
            <w:vAlign w:val="bottom"/>
            <w:shd w:val="clear" w:color="auto" w:fill="CCEEFF"/>
          </w:tcPr>
          <w:p>
            <w:pPr>
              <w:jc w:val="center"/>
              <w:ind w:left="689"/>
              <w:spacing w:after="0"/>
              <w:rPr>
                <w:sz w:val="20"/>
                <w:szCs w:val="20"/>
                <w:color w:val="auto"/>
              </w:rPr>
            </w:pPr>
            <w:r>
              <w:rPr>
                <w:rFonts w:ascii="Arial" w:cs="Arial" w:eastAsia="Arial" w:hAnsi="Arial"/>
                <w:sz w:val="14"/>
                <w:szCs w:val="14"/>
                <w:color w:val="auto"/>
                <w:w w:val="92"/>
              </w:rPr>
              <w:t>5.0</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pts</w:t>
            </w:r>
          </w:p>
        </w:tc>
      </w:tr>
      <w:tr>
        <w:trPr>
          <w:trHeight w:val="180"/>
        </w:trPr>
        <w:tc>
          <w:tcPr>
            <w:tcW w:w="9120" w:type="dxa"/>
            <w:vAlign w:val="bottom"/>
          </w:tcPr>
          <w:p>
            <w:pPr>
              <w:ind w:left="20"/>
              <w:spacing w:after="0"/>
              <w:rPr>
                <w:sz w:val="20"/>
                <w:szCs w:val="20"/>
                <w:color w:val="auto"/>
              </w:rPr>
            </w:pPr>
            <w:r>
              <w:rPr>
                <w:rFonts w:ascii="Arial" w:cs="Arial" w:eastAsia="Arial" w:hAnsi="Arial"/>
                <w:sz w:val="14"/>
                <w:szCs w:val="14"/>
                <w:color w:val="auto"/>
              </w:rPr>
              <w:t>Currency</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060" w:type="dxa"/>
            <w:vAlign w:val="bottom"/>
          </w:tcPr>
          <w:p>
            <w:pPr>
              <w:jc w:val="center"/>
              <w:ind w:left="669"/>
              <w:spacing w:after="0"/>
              <w:rPr>
                <w:sz w:val="20"/>
                <w:szCs w:val="20"/>
                <w:color w:val="auto"/>
              </w:rPr>
            </w:pPr>
            <w:r>
              <w:rPr>
                <w:rFonts w:ascii="Arial" w:cs="Arial" w:eastAsia="Arial" w:hAnsi="Arial"/>
                <w:sz w:val="14"/>
                <w:szCs w:val="14"/>
                <w:color w:val="auto"/>
                <w:w w:val="97"/>
              </w:rPr>
              <w:t>(0.1)</w:t>
            </w:r>
          </w:p>
        </w:tc>
        <w:tc>
          <w:tcPr>
            <w:tcW w:w="200" w:type="dxa"/>
            <w:vAlign w:val="bottom"/>
          </w:tcPr>
          <w:p>
            <w:pPr>
              <w:spacing w:after="0"/>
              <w:rPr>
                <w:sz w:val="15"/>
                <w:szCs w:val="15"/>
                <w:color w:val="auto"/>
              </w:rPr>
            </w:pPr>
          </w:p>
        </w:tc>
      </w:tr>
      <w:tr>
        <w:trPr>
          <w:trHeight w:val="18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Inflation</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669"/>
              <w:spacing w:after="0"/>
              <w:rPr>
                <w:sz w:val="20"/>
                <w:szCs w:val="20"/>
                <w:color w:val="auto"/>
              </w:rPr>
            </w:pPr>
            <w:r>
              <w:rPr>
                <w:rFonts w:ascii="Arial" w:cs="Arial" w:eastAsia="Arial" w:hAnsi="Arial"/>
                <w:sz w:val="14"/>
                <w:szCs w:val="14"/>
                <w:color w:val="auto"/>
                <w:w w:val="97"/>
              </w:rPr>
              <w:t>(7.7)</w:t>
            </w:r>
          </w:p>
        </w:tc>
        <w:tc>
          <w:tcPr>
            <w:tcW w:w="200" w:type="dxa"/>
            <w:vAlign w:val="bottom"/>
            <w:shd w:val="clear" w:color="auto" w:fill="CCEEFF"/>
          </w:tcPr>
          <w:p>
            <w:pPr>
              <w:spacing w:after="0"/>
              <w:rPr>
                <w:sz w:val="15"/>
                <w:szCs w:val="15"/>
                <w:color w:val="auto"/>
              </w:rPr>
            </w:pPr>
          </w:p>
        </w:tc>
      </w:tr>
      <w:tr>
        <w:trPr>
          <w:trHeight w:val="180"/>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Productivity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color w:val="auto"/>
                <w:w w:val="92"/>
              </w:rPr>
              <w:t>2.5</w:t>
            </w:r>
          </w:p>
        </w:tc>
        <w:tc>
          <w:tcPr>
            <w:tcW w:w="200" w:type="dxa"/>
            <w:vAlign w:val="bottom"/>
            <w:tcBorders>
              <w:bottom w:val="single" w:sz="8" w:color="auto"/>
            </w:tcBorders>
          </w:tcPr>
          <w:p>
            <w:pPr>
              <w:spacing w:after="0"/>
              <w:rPr>
                <w:sz w:val="15"/>
                <w:szCs w:val="15"/>
                <w:color w:val="auto"/>
              </w:rPr>
            </w:pPr>
          </w:p>
        </w:tc>
      </w:tr>
      <w:tr>
        <w:trPr>
          <w:trHeight w:val="196"/>
        </w:trPr>
        <w:tc>
          <w:tcPr>
            <w:tcW w:w="9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1060" w:type="dxa"/>
            <w:vAlign w:val="bottom"/>
            <w:tcBorders>
              <w:bottom w:val="single" w:sz="8" w:color="auto"/>
            </w:tcBorders>
            <w:shd w:val="clear" w:color="auto" w:fill="CCEEFF"/>
          </w:tcPr>
          <w:p>
            <w:pPr>
              <w:jc w:val="center"/>
              <w:ind w:left="669"/>
              <w:spacing w:after="0"/>
              <w:rPr>
                <w:sz w:val="20"/>
                <w:szCs w:val="20"/>
                <w:color w:val="auto"/>
              </w:rPr>
            </w:pPr>
            <w:r>
              <w:rPr>
                <w:rFonts w:ascii="Arial" w:cs="Arial" w:eastAsia="Arial" w:hAnsi="Arial"/>
                <w:sz w:val="14"/>
                <w:szCs w:val="14"/>
                <w:color w:val="auto"/>
                <w:w w:val="97"/>
              </w:rPr>
              <w:t>(0.3)</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85"/>
              </w:rPr>
              <w:t>pts</w:t>
            </w:r>
          </w:p>
        </w:tc>
      </w:tr>
      <w:tr>
        <w:trPr>
          <w:trHeight w:val="20"/>
        </w:trPr>
        <w:tc>
          <w:tcPr>
            <w:tcW w:w="9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0.4 percentage point decrease in segment income for Consumer Solutions as a percentage of net sales in 2022 from 2021 was primarily the result of:</w:t>
      </w:r>
    </w:p>
    <w:p>
      <w:pPr>
        <w:spacing w:after="0" w:line="136"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inflationary cost increases due to high demand and limited supply of raw materials such as metals, resins and electronics along with increased logistics and labor costs;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decreased productivity in our pool and residential water treatment businesses due to decreased sales volume.</w:t>
      </w:r>
    </w:p>
    <w:p>
      <w:pPr>
        <w:spacing w:after="0" w:line="200" w:lineRule="exact"/>
        <w:rPr>
          <w:sz w:val="20"/>
          <w:szCs w:val="20"/>
          <w:color w:val="auto"/>
        </w:rPr>
      </w:pPr>
    </w:p>
    <w:p>
      <w:pPr>
        <w:spacing w:after="0" w:line="233"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increases in selling prices to mitigate the impacts of inflation;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income of the Manitowoc Ice business that was acquired in the third quarter of 2022.</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Industrial &amp; Flow Technologies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net sales and segment income for Industrial &amp; Flow Technologies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Years ended December 31</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3"/>
          </w:tcPr>
          <w:p>
            <w:pPr>
              <w:jc w:val="right"/>
              <w:ind w:right="751"/>
              <w:spacing w:after="0"/>
              <w:rPr>
                <w:sz w:val="20"/>
                <w:szCs w:val="20"/>
                <w:color w:val="auto"/>
              </w:rPr>
            </w:pPr>
            <w:r>
              <w:rPr>
                <w:rFonts w:ascii="Arial" w:cs="Arial" w:eastAsia="Arial" w:hAnsi="Arial"/>
                <w:sz w:val="14"/>
                <w:szCs w:val="14"/>
                <w:b w:val="1"/>
                <w:bCs w:val="1"/>
                <w:color w:val="auto"/>
              </w:rPr>
              <w:t>% / point change</w:t>
            </w:r>
          </w:p>
        </w:tc>
        <w:tc>
          <w:tcPr>
            <w:tcW w:w="160" w:type="dxa"/>
            <w:vAlign w:val="bottom"/>
            <w:tcBorders>
              <w:bottom w:val="single" w:sz="8" w:color="auto"/>
            </w:tcBorders>
          </w:tcPr>
          <w:p>
            <w:pPr>
              <w:spacing w:after="0"/>
              <w:rPr>
                <w:sz w:val="16"/>
                <w:szCs w:val="16"/>
                <w:color w:val="auto"/>
              </w:rPr>
            </w:pPr>
          </w:p>
        </w:tc>
      </w:tr>
      <w:tr>
        <w:trPr>
          <w:trHeight w:val="17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2022 vs 2021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 vs 2020</w:t>
            </w:r>
          </w:p>
        </w:tc>
        <w:tc>
          <w:tcPr>
            <w:tcW w:w="160" w:type="dxa"/>
            <w:vAlign w:val="bottom"/>
            <w:tcBorders>
              <w:bottom w:val="single" w:sz="8" w:color="auto"/>
            </w:tcBorders>
          </w:tcPr>
          <w:p>
            <w:pPr>
              <w:spacing w:after="0"/>
              <w:rPr>
                <w:sz w:val="14"/>
                <w:szCs w:val="14"/>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1,500.8</w:t>
            </w:r>
          </w:p>
        </w:tc>
        <w:tc>
          <w:tcPr>
            <w:tcW w:w="4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1,421.4</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1,273.6</w:t>
            </w: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5.6</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w w:val="9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11.6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80"/>
        </w:trPr>
        <w:tc>
          <w:tcPr>
            <w:tcW w:w="4080" w:type="dxa"/>
            <w:vAlign w:val="bottom"/>
          </w:tcPr>
          <w:p>
            <w:pPr>
              <w:ind w:left="20"/>
              <w:spacing w:after="0"/>
              <w:rPr>
                <w:sz w:val="20"/>
                <w:szCs w:val="20"/>
                <w:color w:val="auto"/>
              </w:rPr>
            </w:pPr>
            <w:r>
              <w:rPr>
                <w:rFonts w:ascii="Arial" w:cs="Arial" w:eastAsia="Arial" w:hAnsi="Arial"/>
                <w:sz w:val="14"/>
                <w:szCs w:val="14"/>
                <w:color w:val="auto"/>
              </w:rPr>
              <w:t>Segment income</w:t>
            </w: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242.3</w:t>
            </w:r>
          </w:p>
        </w:tc>
        <w:tc>
          <w:tcPr>
            <w:tcW w:w="460" w:type="dxa"/>
            <w:vAlign w:val="bottom"/>
          </w:tcPr>
          <w:p>
            <w:pPr>
              <w:spacing w:after="0"/>
              <w:rPr>
                <w:sz w:val="15"/>
                <w:szCs w:val="15"/>
                <w:color w:val="auto"/>
              </w:rPr>
            </w:pPr>
          </w:p>
        </w:tc>
        <w:tc>
          <w:tcPr>
            <w:tcW w:w="1100" w:type="dxa"/>
            <w:vAlign w:val="bottom"/>
          </w:tcPr>
          <w:p>
            <w:pPr>
              <w:jc w:val="right"/>
              <w:ind w:right="93"/>
              <w:spacing w:after="0"/>
              <w:rPr>
                <w:sz w:val="20"/>
                <w:szCs w:val="20"/>
                <w:color w:val="auto"/>
              </w:rPr>
            </w:pPr>
            <w:r>
              <w:rPr>
                <w:rFonts w:ascii="Arial" w:cs="Arial" w:eastAsia="Arial" w:hAnsi="Arial"/>
                <w:sz w:val="14"/>
                <w:szCs w:val="14"/>
                <w:color w:val="auto"/>
              </w:rPr>
              <w:t>213.3</w:t>
            </w:r>
          </w:p>
        </w:tc>
        <w:tc>
          <w:tcPr>
            <w:tcW w:w="280" w:type="dxa"/>
            <w:vAlign w:val="bottom"/>
          </w:tcPr>
          <w:p>
            <w:pPr>
              <w:spacing w:after="0"/>
              <w:rPr>
                <w:sz w:val="15"/>
                <w:szCs w:val="15"/>
                <w:color w:val="auto"/>
              </w:rPr>
            </w:pPr>
          </w:p>
        </w:tc>
        <w:tc>
          <w:tcPr>
            <w:tcW w:w="1000" w:type="dxa"/>
            <w:vAlign w:val="bottom"/>
          </w:tcPr>
          <w:p>
            <w:pPr>
              <w:jc w:val="right"/>
              <w:ind w:right="93"/>
              <w:spacing w:after="0"/>
              <w:rPr>
                <w:sz w:val="20"/>
                <w:szCs w:val="20"/>
                <w:color w:val="auto"/>
              </w:rPr>
            </w:pPr>
            <w:r>
              <w:rPr>
                <w:rFonts w:ascii="Arial" w:cs="Arial" w:eastAsia="Arial" w:hAnsi="Arial"/>
                <w:sz w:val="14"/>
                <w:szCs w:val="14"/>
                <w:color w:val="auto"/>
              </w:rPr>
              <w:t>164.6</w:t>
            </w:r>
          </w:p>
        </w:tc>
        <w:tc>
          <w:tcPr>
            <w:tcW w:w="100" w:type="dxa"/>
            <w:vAlign w:val="bottom"/>
          </w:tcPr>
          <w:p>
            <w:pPr>
              <w:spacing w:after="0"/>
              <w:rPr>
                <w:sz w:val="15"/>
                <w:szCs w:val="15"/>
                <w:color w:val="auto"/>
              </w:rPr>
            </w:pP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13.6</w:t>
            </w:r>
          </w:p>
        </w:tc>
        <w:tc>
          <w:tcPr>
            <w:tcW w:w="320" w:type="dxa"/>
            <w:vAlign w:val="bottom"/>
          </w:tcPr>
          <w:p>
            <w:pPr>
              <w:jc w:val="right"/>
              <w:ind w:right="114"/>
              <w:spacing w:after="0"/>
              <w:rPr>
                <w:sz w:val="20"/>
                <w:szCs w:val="20"/>
                <w:color w:val="auto"/>
              </w:rPr>
            </w:pPr>
            <w:r>
              <w:rPr>
                <w:rFonts w:ascii="Arial" w:cs="Arial" w:eastAsia="Arial" w:hAnsi="Arial"/>
                <w:sz w:val="14"/>
                <w:szCs w:val="14"/>
                <w:color w:val="auto"/>
                <w:w w:val="96"/>
              </w:rPr>
              <w:t>%</w:t>
            </w: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29.6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159"/>
        </w:trPr>
        <w:tc>
          <w:tcPr>
            <w:tcW w:w="408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 of net sales</w:t>
            </w:r>
          </w:p>
        </w:tc>
        <w:tc>
          <w:tcPr>
            <w:tcW w:w="3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69"/>
              <w:spacing w:after="0"/>
              <w:rPr>
                <w:sz w:val="20"/>
                <w:szCs w:val="20"/>
                <w:color w:val="auto"/>
              </w:rPr>
            </w:pPr>
            <w:r>
              <w:rPr>
                <w:rFonts w:ascii="Arial" w:cs="Arial" w:eastAsia="Arial" w:hAnsi="Arial"/>
                <w:sz w:val="11"/>
                <w:szCs w:val="11"/>
                <w:i w:val="1"/>
                <w:iCs w:val="1"/>
                <w:color w:val="auto"/>
              </w:rPr>
              <w:t>16.1 %</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15.0 %</w:t>
            </w:r>
          </w:p>
        </w:tc>
        <w:tc>
          <w:tcPr>
            <w:tcW w:w="2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rPr>
              <w:t>12.9 %</w:t>
            </w: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1"/>
                <w:szCs w:val="11"/>
                <w:i w:val="1"/>
                <w:iCs w:val="1"/>
                <w:color w:val="auto"/>
              </w:rPr>
              <w:t>1.1</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1"/>
                <w:szCs w:val="11"/>
                <w:i w:val="1"/>
                <w:iCs w:val="1"/>
                <w:color w:val="auto"/>
                <w:w w:val="81"/>
              </w:rPr>
              <w:t>pts</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1"/>
                <w:szCs w:val="11"/>
                <w:i w:val="1"/>
                <w:iCs w:val="1"/>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i w:val="1"/>
                <w:iCs w:val="1"/>
                <w:color w:val="auto"/>
                <w:w w:val="81"/>
              </w:rPr>
              <w:t>pts</w:t>
            </w:r>
          </w:p>
        </w:tc>
      </w:tr>
      <w:tr>
        <w:trPr>
          <w:trHeight w:val="286"/>
        </w:trPr>
        <w:tc>
          <w:tcPr>
            <w:tcW w:w="4080" w:type="dxa"/>
            <w:vAlign w:val="bottom"/>
          </w:tcPr>
          <w:p>
            <w:pPr>
              <w:spacing w:after="0"/>
              <w:rPr>
                <w:sz w:val="20"/>
                <w:szCs w:val="20"/>
                <w:color w:val="auto"/>
              </w:rPr>
            </w:pPr>
            <w:r>
              <w:rPr>
                <w:rFonts w:ascii="Arial" w:cs="Arial" w:eastAsia="Arial" w:hAnsi="Arial"/>
                <w:sz w:val="14"/>
                <w:szCs w:val="14"/>
                <w:b w:val="1"/>
                <w:bCs w:val="1"/>
                <w:i w:val="1"/>
                <w:iCs w:val="1"/>
                <w:color w:val="auto"/>
              </w:rPr>
              <w:t>Net sales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0"/>
        </w:trPr>
        <w:tc>
          <w:tcPr>
            <w:tcW w:w="5360" w:type="dxa"/>
            <w:vAlign w:val="bottom"/>
            <w:gridSpan w:val="3"/>
          </w:tcPr>
          <w:p>
            <w:pPr>
              <w:spacing w:after="0"/>
              <w:rPr>
                <w:sz w:val="20"/>
                <w:szCs w:val="20"/>
                <w:color w:val="auto"/>
              </w:rPr>
            </w:pPr>
            <w:r>
              <w:rPr>
                <w:rFonts w:ascii="Arial" w:cs="Arial" w:eastAsia="Arial" w:hAnsi="Arial"/>
                <w:sz w:val="14"/>
                <w:szCs w:val="14"/>
                <w:color w:val="auto"/>
                <w:w w:val="94"/>
              </w:rPr>
              <w:t>The components of the change in Industrial &amp; Flow Technologies net sales were as follows:</w:t>
            </w: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65"/>
        </w:trPr>
        <w:tc>
          <w:tcPr>
            <w:tcW w:w="40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2022 vs 2021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 vs 2020</w:t>
            </w:r>
          </w:p>
        </w:tc>
        <w:tc>
          <w:tcPr>
            <w:tcW w:w="160" w:type="dxa"/>
            <w:vAlign w:val="bottom"/>
            <w:tcBorders>
              <w:bottom w:val="single" w:sz="8" w:color="auto"/>
            </w:tcBorders>
          </w:tcPr>
          <w:p>
            <w:pPr>
              <w:spacing w:after="0"/>
              <w:rPr>
                <w:sz w:val="23"/>
                <w:szCs w:val="23"/>
                <w:color w:val="auto"/>
              </w:rPr>
            </w:pPr>
          </w:p>
        </w:tc>
      </w:tr>
      <w:tr>
        <w:trPr>
          <w:trHeight w:val="171"/>
        </w:trPr>
        <w:tc>
          <w:tcPr>
            <w:tcW w:w="4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Volume</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34"/>
              <w:spacing w:after="0"/>
              <w:rPr>
                <w:sz w:val="20"/>
                <w:szCs w:val="20"/>
                <w:color w:val="auto"/>
              </w:rPr>
            </w:pPr>
            <w:r>
              <w:rPr>
                <w:rFonts w:ascii="Arial" w:cs="Arial" w:eastAsia="Arial" w:hAnsi="Arial"/>
                <w:sz w:val="14"/>
                <w:szCs w:val="14"/>
                <w:color w:val="auto"/>
              </w:rPr>
              <w:t>(0.7)%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5.9 %</w:t>
            </w:r>
          </w:p>
        </w:tc>
      </w:tr>
      <w:tr>
        <w:trPr>
          <w:trHeight w:val="18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Price</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60" w:type="dxa"/>
            <w:vAlign w:val="bottom"/>
            <w:tcBorders>
              <w:bottom w:val="single" w:sz="8" w:color="auto"/>
            </w:tcBorders>
          </w:tcPr>
          <w:p>
            <w:pPr>
              <w:spacing w:after="0"/>
              <w:rPr>
                <w:sz w:val="15"/>
                <w:szCs w:val="15"/>
                <w:color w:val="auto"/>
              </w:rPr>
            </w:pPr>
          </w:p>
        </w:tc>
      </w:tr>
      <w:tr>
        <w:trPr>
          <w:trHeight w:val="171"/>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Core growth</w:t>
            </w:r>
          </w:p>
        </w:tc>
        <w:tc>
          <w:tcPr>
            <w:tcW w:w="3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3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4"/>
                <w:szCs w:val="14"/>
                <w:color w:val="auto"/>
              </w:rPr>
            </w:pPr>
          </w:p>
        </w:tc>
      </w:tr>
      <w:tr>
        <w:trPr>
          <w:trHeight w:val="180"/>
        </w:trPr>
        <w:tc>
          <w:tcPr>
            <w:tcW w:w="4080" w:type="dxa"/>
            <w:vAlign w:val="bottom"/>
          </w:tcPr>
          <w:p>
            <w:pPr>
              <w:ind w:left="20"/>
              <w:spacing w:after="0"/>
              <w:rPr>
                <w:sz w:val="20"/>
                <w:szCs w:val="20"/>
                <w:color w:val="auto"/>
              </w:rPr>
            </w:pPr>
            <w:r>
              <w:rPr>
                <w:rFonts w:ascii="Arial" w:cs="Arial" w:eastAsia="Arial" w:hAnsi="Arial"/>
                <w:sz w:val="14"/>
                <w:szCs w:val="14"/>
                <w:color w:val="auto"/>
              </w:rPr>
              <w:t>Acquisition/Divestiture</w:t>
            </w: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0.4</w:t>
            </w:r>
          </w:p>
        </w:tc>
        <w:tc>
          <w:tcPr>
            <w:tcW w:w="160" w:type="dxa"/>
            <w:vAlign w:val="bottom"/>
          </w:tcPr>
          <w:p>
            <w:pPr>
              <w:spacing w:after="0"/>
              <w:rPr>
                <w:sz w:val="15"/>
                <w:szCs w:val="15"/>
                <w:color w:val="auto"/>
              </w:rPr>
            </w:pPr>
          </w:p>
        </w:tc>
      </w:tr>
      <w:tr>
        <w:trPr>
          <w:trHeight w:val="18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Currency</w:t>
            </w:r>
          </w:p>
        </w:tc>
        <w:tc>
          <w:tcPr>
            <w:tcW w:w="34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spacing w:after="0"/>
              <w:rPr>
                <w:sz w:val="15"/>
                <w:szCs w:val="15"/>
                <w:color w:val="auto"/>
              </w:rPr>
            </w:pPr>
          </w:p>
        </w:tc>
      </w:tr>
      <w:tr>
        <w:trPr>
          <w:trHeight w:val="171"/>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4"/>
                <w:szCs w:val="14"/>
                <w:color w:val="auto"/>
              </w:rPr>
              <w:t>5.6 %</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11.6 %</w:t>
            </w:r>
          </w:p>
        </w:tc>
      </w:tr>
      <w:tr>
        <w:trPr>
          <w:trHeight w:val="20"/>
        </w:trPr>
        <w:tc>
          <w:tcPr>
            <w:tcW w:w="4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5.6 percent increase in net sales for Industrial &amp; Flow Technologies in 2022 from 2021 was primarily the result of:</w:t>
      </w:r>
    </w:p>
    <w:p>
      <w:pPr>
        <w:spacing w:after="0" w:line="136"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increases in selling prices to mitigate inflationary cost increases;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increased sales volume in our industrial solutions business in 2022 due to continued recovery in our project sales.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This increase was partially offset by:</w:t>
      </w:r>
    </w:p>
    <w:p>
      <w:pPr>
        <w:spacing w:after="0" w:line="136"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i w:val="1"/>
          <w:iCs w:val="1"/>
          <w:color w:val="auto"/>
        </w:rPr>
      </w:pPr>
      <w:r>
        <w:rPr>
          <w:rFonts w:ascii="Arial" w:cs="Arial" w:eastAsia="Arial" w:hAnsi="Arial"/>
          <w:sz w:val="14"/>
          <w:szCs w:val="14"/>
          <w:color w:val="auto"/>
        </w:rPr>
        <w:t>decreased sales volume in our residential and irrigation flow businesses in 2022 compared to the prior year; and</w:t>
      </w:r>
    </w:p>
    <w:p>
      <w:pPr>
        <w:spacing w:after="0" w:line="136" w:lineRule="exact"/>
        <w:rPr>
          <w:rFonts w:ascii="Arial" w:cs="Arial" w:eastAsia="Arial" w:hAnsi="Arial"/>
          <w:sz w:val="14"/>
          <w:szCs w:val="14"/>
          <w:i w:val="1"/>
          <w:iCs w:val="1"/>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unfavorable foreign currency effects in 2022 compared to 2021.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i w:val="1"/>
          <w:iCs w:val="1"/>
          <w:color w:val="auto"/>
        </w:rPr>
        <w:t>Segment income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the change in Industrial &amp; Flow Technologies segment income as a percentage of net sales from the prior period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20" w:type="dxa"/>
            <w:vAlign w:val="bottom"/>
            <w:tcBorders>
              <w:bottom w:val="single" w:sz="8" w:color="auto"/>
            </w:tcBorders>
          </w:tcPr>
          <w:p>
            <w:pPr>
              <w:ind w:left="876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r>
      <w:tr>
        <w:trPr>
          <w:trHeight w:val="17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Growth/Price/Acquisition</w:t>
            </w:r>
          </w:p>
        </w:tc>
        <w:tc>
          <w:tcPr>
            <w:tcW w:w="380" w:type="dxa"/>
            <w:vAlign w:val="bottom"/>
            <w:shd w:val="clear" w:color="auto" w:fill="CCEEFF"/>
          </w:tcPr>
          <w:p>
            <w:pPr>
              <w:jc w:val="center"/>
              <w:ind w:left="9"/>
              <w:spacing w:after="0"/>
              <w:rPr>
                <w:sz w:val="20"/>
                <w:szCs w:val="20"/>
                <w:color w:val="auto"/>
              </w:rPr>
            </w:pPr>
            <w:r>
              <w:rPr>
                <w:rFonts w:ascii="Arial" w:cs="Arial" w:eastAsia="Arial" w:hAnsi="Arial"/>
                <w:sz w:val="14"/>
                <w:szCs w:val="14"/>
                <w:color w:val="auto"/>
                <w:w w:val="92"/>
              </w:rPr>
              <w:t>9.6</w:t>
            </w:r>
          </w:p>
        </w:tc>
        <w:tc>
          <w:tcPr>
            <w:tcW w:w="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1060" w:type="dxa"/>
            <w:vAlign w:val="bottom"/>
            <w:shd w:val="clear" w:color="auto" w:fill="CCEEFF"/>
          </w:tcPr>
          <w:p>
            <w:pPr>
              <w:jc w:val="center"/>
              <w:ind w:left="689"/>
              <w:spacing w:after="0"/>
              <w:rPr>
                <w:sz w:val="20"/>
                <w:szCs w:val="20"/>
                <w:color w:val="auto"/>
              </w:rPr>
            </w:pPr>
            <w:r>
              <w:rPr>
                <w:rFonts w:ascii="Arial" w:cs="Arial" w:eastAsia="Arial" w:hAnsi="Arial"/>
                <w:sz w:val="14"/>
                <w:szCs w:val="14"/>
                <w:color w:val="auto"/>
                <w:w w:val="92"/>
              </w:rPr>
              <w:t>3.6</w:t>
            </w: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w w:val="85"/>
              </w:rPr>
              <w:t>pts</w:t>
            </w:r>
          </w:p>
        </w:tc>
      </w:tr>
      <w:tr>
        <w:trPr>
          <w:trHeight w:val="180"/>
        </w:trPr>
        <w:tc>
          <w:tcPr>
            <w:tcW w:w="9120" w:type="dxa"/>
            <w:vAlign w:val="bottom"/>
          </w:tcPr>
          <w:p>
            <w:pPr>
              <w:ind w:left="20"/>
              <w:spacing w:after="0"/>
              <w:rPr>
                <w:sz w:val="20"/>
                <w:szCs w:val="20"/>
                <w:color w:val="auto"/>
              </w:rPr>
            </w:pPr>
            <w:r>
              <w:rPr>
                <w:rFonts w:ascii="Arial" w:cs="Arial" w:eastAsia="Arial" w:hAnsi="Arial"/>
                <w:sz w:val="14"/>
                <w:szCs w:val="14"/>
                <w:color w:val="auto"/>
              </w:rPr>
              <w:t>Currency</w:t>
            </w:r>
          </w:p>
        </w:tc>
        <w:tc>
          <w:tcPr>
            <w:tcW w:w="380" w:type="dxa"/>
            <w:vAlign w:val="bottom"/>
          </w:tcPr>
          <w:p>
            <w:pPr>
              <w:jc w:val="center"/>
              <w:spacing w:after="0"/>
              <w:rPr>
                <w:sz w:val="20"/>
                <w:szCs w:val="20"/>
                <w:color w:val="auto"/>
              </w:rPr>
            </w:pPr>
            <w:r>
              <w:rPr>
                <w:rFonts w:ascii="Arial" w:cs="Arial" w:eastAsia="Arial" w:hAnsi="Arial"/>
                <w:sz w:val="14"/>
                <w:szCs w:val="14"/>
                <w:color w:val="auto"/>
                <w:w w:val="90"/>
              </w:rPr>
              <w:t>(0.1)</w:t>
            </w:r>
          </w:p>
        </w:tc>
        <w:tc>
          <w:tcPr>
            <w:tcW w:w="520" w:type="dxa"/>
            <w:vAlign w:val="bottom"/>
          </w:tcPr>
          <w:p>
            <w:pPr>
              <w:spacing w:after="0"/>
              <w:rPr>
                <w:sz w:val="15"/>
                <w:szCs w:val="15"/>
                <w:color w:val="auto"/>
              </w:rPr>
            </w:pPr>
          </w:p>
        </w:tc>
        <w:tc>
          <w:tcPr>
            <w:tcW w:w="1060" w:type="dxa"/>
            <w:vAlign w:val="bottom"/>
          </w:tcPr>
          <w:p>
            <w:pPr>
              <w:jc w:val="center"/>
              <w:ind w:left="689"/>
              <w:spacing w:after="0"/>
              <w:rPr>
                <w:sz w:val="20"/>
                <w:szCs w:val="20"/>
                <w:color w:val="auto"/>
              </w:rPr>
            </w:pPr>
            <w:r>
              <w:rPr>
                <w:rFonts w:ascii="Arial" w:cs="Arial" w:eastAsia="Arial" w:hAnsi="Arial"/>
                <w:sz w:val="14"/>
                <w:szCs w:val="14"/>
                <w:color w:val="auto"/>
                <w:w w:val="92"/>
              </w:rPr>
              <w:t>0.1</w:t>
            </w:r>
          </w:p>
        </w:tc>
        <w:tc>
          <w:tcPr>
            <w:tcW w:w="200" w:type="dxa"/>
            <w:vAlign w:val="bottom"/>
          </w:tcPr>
          <w:p>
            <w:pPr>
              <w:spacing w:after="0"/>
              <w:rPr>
                <w:sz w:val="15"/>
                <w:szCs w:val="15"/>
                <w:color w:val="auto"/>
              </w:rPr>
            </w:pPr>
          </w:p>
        </w:tc>
      </w:tr>
      <w:tr>
        <w:trPr>
          <w:trHeight w:val="181"/>
        </w:trPr>
        <w:tc>
          <w:tcPr>
            <w:tcW w:w="9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Inflation</w:t>
            </w: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(7.4)</w:t>
            </w:r>
          </w:p>
        </w:tc>
        <w:tc>
          <w:tcPr>
            <w:tcW w:w="520" w:type="dxa"/>
            <w:vAlign w:val="bottom"/>
            <w:shd w:val="clear" w:color="auto" w:fill="CCEEFF"/>
          </w:tcPr>
          <w:p>
            <w:pPr>
              <w:spacing w:after="0"/>
              <w:rPr>
                <w:sz w:val="15"/>
                <w:szCs w:val="15"/>
                <w:color w:val="auto"/>
              </w:rPr>
            </w:pPr>
          </w:p>
        </w:tc>
        <w:tc>
          <w:tcPr>
            <w:tcW w:w="1060" w:type="dxa"/>
            <w:vAlign w:val="bottom"/>
            <w:shd w:val="clear" w:color="auto" w:fill="CCEEFF"/>
          </w:tcPr>
          <w:p>
            <w:pPr>
              <w:jc w:val="center"/>
              <w:ind w:left="669"/>
              <w:spacing w:after="0"/>
              <w:rPr>
                <w:sz w:val="20"/>
                <w:szCs w:val="20"/>
                <w:color w:val="auto"/>
              </w:rPr>
            </w:pPr>
            <w:r>
              <w:rPr>
                <w:rFonts w:ascii="Arial" w:cs="Arial" w:eastAsia="Arial" w:hAnsi="Arial"/>
                <w:sz w:val="14"/>
                <w:szCs w:val="14"/>
                <w:color w:val="auto"/>
                <w:w w:val="97"/>
              </w:rPr>
              <w:t>(3.9)</w:t>
            </w:r>
          </w:p>
        </w:tc>
        <w:tc>
          <w:tcPr>
            <w:tcW w:w="200" w:type="dxa"/>
            <w:vAlign w:val="bottom"/>
            <w:shd w:val="clear" w:color="auto" w:fill="CCEEFF"/>
          </w:tcPr>
          <w:p>
            <w:pPr>
              <w:spacing w:after="0"/>
              <w:rPr>
                <w:sz w:val="15"/>
                <w:szCs w:val="15"/>
                <w:color w:val="auto"/>
              </w:rPr>
            </w:pPr>
          </w:p>
        </w:tc>
      </w:tr>
      <w:tr>
        <w:trPr>
          <w:trHeight w:val="180"/>
        </w:trPr>
        <w:tc>
          <w:tcPr>
            <w:tcW w:w="9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Productivity</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(1.0)</w:t>
            </w:r>
          </w:p>
        </w:tc>
        <w:tc>
          <w:tcPr>
            <w:tcW w:w="5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left="689"/>
              <w:spacing w:after="0"/>
              <w:rPr>
                <w:sz w:val="20"/>
                <w:szCs w:val="20"/>
                <w:color w:val="auto"/>
              </w:rPr>
            </w:pPr>
            <w:r>
              <w:rPr>
                <w:rFonts w:ascii="Arial" w:cs="Arial" w:eastAsia="Arial" w:hAnsi="Arial"/>
                <w:sz w:val="14"/>
                <w:szCs w:val="14"/>
                <w:color w:val="auto"/>
                <w:w w:val="92"/>
              </w:rPr>
              <w:t>2.3</w:t>
            </w:r>
          </w:p>
        </w:tc>
        <w:tc>
          <w:tcPr>
            <w:tcW w:w="200" w:type="dxa"/>
            <w:vAlign w:val="bottom"/>
            <w:tcBorders>
              <w:bottom w:val="single" w:sz="8" w:color="auto"/>
            </w:tcBorders>
          </w:tcPr>
          <w:p>
            <w:pPr>
              <w:spacing w:after="0"/>
              <w:rPr>
                <w:sz w:val="15"/>
                <w:szCs w:val="15"/>
                <w:color w:val="auto"/>
              </w:rPr>
            </w:pPr>
          </w:p>
        </w:tc>
      </w:tr>
      <w:tr>
        <w:trPr>
          <w:trHeight w:val="196"/>
        </w:trPr>
        <w:tc>
          <w:tcPr>
            <w:tcW w:w="9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CCEEFF"/>
          </w:tcPr>
          <w:p>
            <w:pPr>
              <w:jc w:val="center"/>
              <w:ind w:left="9"/>
              <w:spacing w:after="0"/>
              <w:rPr>
                <w:sz w:val="20"/>
                <w:szCs w:val="20"/>
                <w:color w:val="auto"/>
              </w:rPr>
            </w:pPr>
            <w:r>
              <w:rPr>
                <w:rFonts w:ascii="Arial" w:cs="Arial" w:eastAsia="Arial" w:hAnsi="Arial"/>
                <w:sz w:val="14"/>
                <w:szCs w:val="14"/>
                <w:color w:val="auto"/>
                <w:w w:val="92"/>
              </w:rPr>
              <w:t>1.1</w:t>
            </w: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pts</w:t>
            </w:r>
          </w:p>
        </w:tc>
        <w:tc>
          <w:tcPr>
            <w:tcW w:w="1060" w:type="dxa"/>
            <w:vAlign w:val="bottom"/>
            <w:tcBorders>
              <w:bottom w:val="single" w:sz="8" w:color="auto"/>
            </w:tcBorders>
            <w:shd w:val="clear" w:color="auto" w:fill="CCEEFF"/>
          </w:tcPr>
          <w:p>
            <w:pPr>
              <w:jc w:val="center"/>
              <w:ind w:left="689"/>
              <w:spacing w:after="0"/>
              <w:rPr>
                <w:sz w:val="20"/>
                <w:szCs w:val="20"/>
                <w:color w:val="auto"/>
              </w:rPr>
            </w:pPr>
            <w:r>
              <w:rPr>
                <w:rFonts w:ascii="Arial" w:cs="Arial" w:eastAsia="Arial" w:hAnsi="Arial"/>
                <w:sz w:val="14"/>
                <w:szCs w:val="14"/>
                <w:color w:val="auto"/>
                <w:w w:val="92"/>
              </w:rPr>
              <w:t>2.1</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85"/>
              </w:rPr>
              <w:t>pts</w:t>
            </w:r>
          </w:p>
        </w:tc>
      </w:tr>
      <w:tr>
        <w:trPr>
          <w:trHeight w:val="20"/>
        </w:trPr>
        <w:tc>
          <w:tcPr>
            <w:tcW w:w="9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1.1 percentage point increase in segment income for Industrial &amp; Flow Technologies as a percentage of net sales in 2022 from 2021 was primarily the result of:</w:t>
      </w:r>
    </w:p>
    <w:p>
      <w:pPr>
        <w:spacing w:after="0" w:line="136"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increases in selling prices to mitigate inflationary cost increases.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This increase was partially offset by:</w:t>
      </w:r>
    </w:p>
    <w:p>
      <w:pPr>
        <w:spacing w:after="0" w:line="136" w:lineRule="exact"/>
        <w:rPr>
          <w:sz w:val="20"/>
          <w:szCs w:val="20"/>
          <w:color w:val="auto"/>
        </w:rPr>
      </w:pPr>
    </w:p>
    <w:p>
      <w:pPr>
        <w:ind w:left="520" w:hanging="260"/>
        <w:spacing w:after="0" w:line="28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inflationary cost increases due to high demand and tight supply of metals and resins along with increased logistics costs due to supply chain constraints and labor costs due to workforce shortages;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decreased productivity due to supply chain and plant inefficiencies.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20"/>
                <w:szCs w:val="20"/>
                <w:color w:val="auto"/>
              </w:rPr>
            </w:pPr>
            <w:r>
              <w:rPr>
                <w:rFonts w:ascii="Arial" w:cs="Arial" w:eastAsia="Arial" w:hAnsi="Arial"/>
                <w:sz w:val="14"/>
                <w:szCs w:val="14"/>
                <w:b w:val="1"/>
                <w:bCs w:val="1"/>
                <w:color w:val="auto"/>
              </w:rPr>
              <w:t>BACKLOG OF ORDERS BY SEGMENT</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2"/>
        </w:trPr>
        <w:tc>
          <w:tcPr>
            <w:tcW w:w="5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center"/>
              <w:ind w:left="629"/>
              <w:spacing w:after="0"/>
              <w:rPr>
                <w:sz w:val="20"/>
                <w:szCs w:val="20"/>
                <w:color w:val="auto"/>
              </w:rPr>
            </w:pPr>
            <w:r>
              <w:rPr>
                <w:rFonts w:ascii="Arial" w:cs="Arial" w:eastAsia="Arial" w:hAnsi="Arial"/>
                <w:sz w:val="14"/>
                <w:szCs w:val="14"/>
                <w:b w:val="1"/>
                <w:bCs w:val="1"/>
                <w:color w:val="auto"/>
                <w:w w:val="91"/>
              </w:rPr>
              <w:t>December 31</w:t>
            </w:r>
          </w:p>
        </w:tc>
        <w:tc>
          <w:tcPr>
            <w:tcW w:w="1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71"/>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w w:val="85"/>
              </w:rPr>
              <w:t>change</w:t>
            </w:r>
          </w:p>
        </w:tc>
        <w:tc>
          <w:tcPr>
            <w:tcW w:w="13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 change</w:t>
            </w:r>
          </w:p>
        </w:tc>
      </w:tr>
      <w:tr>
        <w:trPr>
          <w:trHeight w:val="17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36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1,073.7</w:t>
            </w:r>
          </w:p>
        </w:tc>
        <w:tc>
          <w:tcPr>
            <w:tcW w:w="540" w:type="dxa"/>
            <w:vAlign w:val="bottom"/>
            <w:shd w:val="clear" w:color="auto" w:fill="CCEEFF"/>
          </w:tcPr>
          <w:p>
            <w:pPr>
              <w:jc w:val="center"/>
              <w:ind w:right="34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(590.6)</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18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Industrial &amp; Flow Technologies</w:t>
            </w: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512.1</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446.3</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65.8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14.7 %</w:t>
            </w:r>
          </w:p>
        </w:tc>
      </w:tr>
      <w:tr>
        <w:trPr>
          <w:trHeight w:val="19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995.2</w:t>
            </w:r>
          </w:p>
        </w:tc>
        <w:tc>
          <w:tcPr>
            <w:tcW w:w="36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540" w:type="dxa"/>
            <w:vAlign w:val="bottom"/>
            <w:tcBorders>
              <w:bottom w:val="single" w:sz="8" w:color="auto"/>
            </w:tcBorders>
            <w:shd w:val="clear" w:color="auto" w:fill="CCEEFF"/>
          </w:tcPr>
          <w:p>
            <w:pPr>
              <w:jc w:val="center"/>
              <w:ind w:right="34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(524.8)</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2023 net sales.</w:t>
      </w:r>
    </w:p>
    <w:p>
      <w:pPr>
        <w:spacing w:after="0" w:line="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decrease in our backlog in our Consumer Solutions segment from the prior year was primarily driven by pool backlog trending down to more historical levels due to increased manufacturing capacity, improved lead times and customers balancing the need to place new orders with market demand and channel inventory levels.</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experience seasonal cash flows primarily due to seasonal demand in a number of markets. Consistent with historical trends, we experienced seasonal cash usage in the first quarter of 2022 and drew on our revolving credit facility to fund our operations. This cash usage reversed in the second quarter of 2022 as the seasonality of our businesses peaked and generated significant cash to fund our operations. In the second half of 2022, we funded our operations using our strong cash flow and revolving credit facility.</w:t>
      </w:r>
    </w:p>
    <w:p>
      <w:pPr>
        <w:spacing w:after="0" w:line="9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End-user demand for pool and certain pumping equipment follows warm weather trends and historically has been at seasonal highs from April to August. The magnitude of the sales spike has historically been partially mitigated by employing some advance sale “early buy” programs (generally including extended payment terms and/or additional discounts). Demand for</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residential and agricultural water systems is also impacted by weather patterns, particularly by temperature, heavy flooding and droughts.</w:t>
      </w:r>
    </w:p>
    <w:p>
      <w:pPr>
        <w:spacing w:after="0" w:line="14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On July 28, 2022, as part of our Consumer Solutions reporting segment, we completed the acquisition of Manitowoc Ice for approximately $1.6 billion in cash. We funded the purchase price for this acquisition with net proceeds from our term loan facility, the issuance of the 2032 Senior Notes and borrowings under our revolving credit facility, as well as cash on hand.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80" w:type="dxa"/>
            <w:vAlign w:val="bottom"/>
          </w:tcPr>
          <w:p>
            <w:pPr>
              <w:spacing w:after="0"/>
              <w:rPr>
                <w:sz w:val="20"/>
                <w:szCs w:val="20"/>
                <w:color w:val="auto"/>
              </w:rPr>
            </w:pPr>
            <w:r>
              <w:rPr>
                <w:rFonts w:ascii="Arial" w:cs="Arial" w:eastAsia="Arial" w:hAnsi="Arial"/>
                <w:sz w:val="14"/>
                <w:szCs w:val="14"/>
                <w:b w:val="1"/>
                <w:bCs w:val="1"/>
                <w:i w:val="1"/>
                <w:iCs w:val="1"/>
                <w:color w:val="auto"/>
              </w:rPr>
              <w:t>Summary of Cash Flows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29"/>
        </w:trPr>
        <w:tc>
          <w:tcPr>
            <w:tcW w:w="6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provided by (used for):</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980" w:type="dxa"/>
            <w:vAlign w:val="bottom"/>
          </w:tcPr>
          <w:p>
            <w:pPr>
              <w:ind w:left="120"/>
              <w:spacing w:after="0"/>
              <w:rPr>
                <w:sz w:val="20"/>
                <w:szCs w:val="20"/>
                <w:color w:val="auto"/>
              </w:rPr>
            </w:pPr>
            <w:r>
              <w:rPr>
                <w:rFonts w:ascii="Arial" w:cs="Arial" w:eastAsia="Arial" w:hAnsi="Arial"/>
                <w:sz w:val="14"/>
                <w:szCs w:val="14"/>
                <w:color w:val="auto"/>
              </w:rPr>
              <w:t>Operating activities of continuing operations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364.3</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613.6</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574.2</w:t>
            </w:r>
          </w:p>
        </w:tc>
      </w:tr>
      <w:tr>
        <w:trPr>
          <w:trHeight w:val="181"/>
        </w:trPr>
        <w:tc>
          <w:tcPr>
            <w:tcW w:w="6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Investing activities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(1,582.8)</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w:t>
            </w:r>
          </w:p>
        </w:tc>
      </w:tr>
      <w:tr>
        <w:trPr>
          <w:trHeight w:val="180"/>
        </w:trPr>
        <w:tc>
          <w:tcPr>
            <w:tcW w:w="6980" w:type="dxa"/>
            <w:vAlign w:val="bottom"/>
          </w:tcPr>
          <w:p>
            <w:pPr>
              <w:ind w:left="120"/>
              <w:spacing w:after="0"/>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1,232.7</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(222.2)</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(435.9)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activities</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2022, net cash provided by operating activities of continuing operations primarily reflects net income from continuing operations of $615.4 million, net of non-cash depreciation, amortization and asset impairment. Additionally, we had a cash outflow of $218.7 million as a result of changes in net working capital, primarily due to increased inventory balances compared to December 31, 2021. Inventory was higher due to inflationary impacts, continued supply chain inefficiencies and a rebalancing of inventory levels in the residential channel.</w:t>
      </w:r>
    </w:p>
    <w:p>
      <w:pPr>
        <w:spacing w:after="0" w:line="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2021, net cash provided by operating activities of continuing operations primarily reflects net income from continuing operations of $633.5 million, net of non-cash depreciation and amortization. Additionally, we had a cash outflow of $20.8 million as a result of changes in net working capital, primarily due to increased sales demand and inflationary impacts leading to higher accounts receivable, inventory, accounts payable and other current liabilities balances.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Investing activities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Net cash used for investing activities in 2022 primarily reflects the net cash paid of $1,579.5 million for the Manitowoc Ice acquisition and capital expenditures of $85.2 million, partially offset by cash received upon the settlement of net investment hedges of $78.9 million.</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Net cash used for investing activities in 2021 primarily reflects capital expenditures of $60.2 million and cash paid for acquisitions of $338.5 million in our Consumer Solutions and Industrial &amp; Flow Technologies reporting segments, net of cash acquired.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Financing activities</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2022, net cash provided by financing activities primarily relates to net borrowings of revolving long-term debt of $124.5 million, net proceeds received from the Term Loan Facility and issuance of the 2032 Senior Notes of $1,391.3 million used to finance the Manitowoc Ice acquisition and net cash receipts upon the settlement of cross currency swaps of $12.3 million, partially offset by dividend payments of $138.6 million, repayment of $88.3 million senior fixed notes, share repurchases of $50.0 million and payments of debt issuance costs of $15.8 million.</w:t>
      </w:r>
    </w:p>
    <w:p>
      <w:pPr>
        <w:spacing w:after="0" w:line="8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2021, net cash used for financing activities primarily relates to repayment of $103.8 million of senior notes, $150.0 million of share repurchases, dividend payments of $133.0 million and payments upon maturity of cross currency swaps of $14.7 million, partially offset by net borrowings of revolving long-term debt of $159.4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i w:val="1"/>
          <w:iCs w:val="1"/>
          <w:color w:val="auto"/>
        </w:rPr>
        <w:t>Free Cash Flow</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00" w:type="dxa"/>
            <w:vAlign w:val="bottom"/>
          </w:tcPr>
          <w:p>
            <w:pPr>
              <w:spacing w:after="0"/>
              <w:rPr>
                <w:sz w:val="20"/>
                <w:szCs w:val="20"/>
                <w:color w:val="auto"/>
              </w:rPr>
            </w:pPr>
            <w:r>
              <w:rPr>
                <w:rFonts w:ascii="Arial" w:cs="Arial" w:eastAsia="Arial" w:hAnsi="Arial"/>
                <w:sz w:val="14"/>
                <w:szCs w:val="14"/>
                <w:color w:val="auto"/>
              </w:rPr>
              <w:t>The following table is a reconciliation of free cash flow:</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2"/>
        </w:trPr>
        <w:tc>
          <w:tcPr>
            <w:tcW w:w="6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20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171"/>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364.3</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613.6</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574.2</w:t>
            </w:r>
          </w:p>
        </w:tc>
      </w:tr>
      <w:tr>
        <w:trPr>
          <w:trHeight w:val="180"/>
        </w:trPr>
        <w:tc>
          <w:tcPr>
            <w:tcW w:w="6900" w:type="dxa"/>
            <w:vAlign w:val="bottom"/>
          </w:tcPr>
          <w:p>
            <w:pPr>
              <w:ind w:left="20"/>
              <w:spacing w:after="0"/>
              <w:rPr>
                <w:sz w:val="20"/>
                <w:szCs w:val="20"/>
                <w:color w:val="auto"/>
              </w:rPr>
            </w:pPr>
            <w:r>
              <w:rPr>
                <w:rFonts w:ascii="Arial" w:cs="Arial" w:eastAsia="Arial" w:hAnsi="Arial"/>
                <w:sz w:val="14"/>
                <w:szCs w:val="14"/>
                <w:color w:val="auto"/>
              </w:rPr>
              <w:t>Capital expenditures of continuing operations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(85.2)</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(60.2)</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(62.2)</w:t>
            </w:r>
          </w:p>
        </w:tc>
      </w:tr>
      <w:tr>
        <w:trPr>
          <w:trHeight w:val="180"/>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Proceeds from sale of property and equipment of continuing operations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Free cash flow from continuing operations</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283.2</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557.3</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512.1</w:t>
            </w:r>
          </w:p>
        </w:tc>
      </w:tr>
      <w:tr>
        <w:trPr>
          <w:trHeight w:val="171"/>
        </w:trPr>
        <w:tc>
          <w:tcPr>
            <w:tcW w:w="6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cash used for operating activities of discontinued operations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w:t>
            </w:r>
          </w:p>
        </w:tc>
      </w:tr>
      <w:tr>
        <w:trPr>
          <w:trHeight w:val="171"/>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282.2</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556.9</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511.5</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and Capital</w:t>
      </w:r>
    </w:p>
    <w:p>
      <w:pPr>
        <w:spacing w:after="0" w:line="62"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92"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31, 2022, total availability under the Senior Credit Facility was $580.0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 $400.0 million to an aggregate principal amount of $1.0 billion. The Term Loan Facility has a maturity date of July 28, 2027, with required quarterly installment payments of $6.3 million beginning on the last day of the third quarter of 2023 and increasing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used the net proceeds from the Term Loan Facility and the issuance of the 2032 Senior Notes to finance a portion of the Manitowoc Ice acquisition purchase price and to pay related fees and expenses.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2" w:name="page33"/>
    <w:bookmarkEnd w:id="32"/>
    <w:p>
      <w:pPr>
        <w:jc w:val="both"/>
        <w:spacing w:after="0" w:line="280" w:lineRule="auto"/>
        <w:rPr>
          <w:sz w:val="20"/>
          <w:szCs w:val="20"/>
          <w:color w:val="auto"/>
        </w:rPr>
      </w:pPr>
      <w:r>
        <w:rPr>
          <w:rFonts w:ascii="Arial" w:cs="Arial" w:eastAsia="Arial" w:hAnsi="Arial"/>
          <w:sz w:val="13"/>
          <w:szCs w:val="13"/>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to the Senior Credit Facility and the Term Loan Facility, we have various other credit facilities with an aggregate availability of $21.0 million, of which there were no outstanding borrowings at December 31, 2022. Borrowings under these credit facilities bear interest at variable rates.</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$12.5 million of Term Loan Facility payments due in the next twelve months. We classified this debt as long-term as of December 31, 2022 as we have the intent and ability to refinance such obligation on a long-term basis under the revolving credit facility under the Senior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As of December 31, 2022, we had $89.6 million of cash held in certain countries in which the ability to repatriate is limited due to local regulations or significant potential tax consequences.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Authorized shares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Our authorized share capital consists of 426.0 million ordinary shares with a par value of $0.01 per share.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2021, we repurchased 2.1 million of our ordinary shares for $150.0 million, of which 0.8 million shares, or $50.0 million, and 1.3 million shares, or $100.0 million, were repurchased pursuant to the 2018 Authorization and 2020 Authorization, respectively.</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2022, we repurchased 1.0 million of our ordinary shares for $50.0 million under the 2020 Authorization. As of December 31, 2022, we had $600.0 million available for share repurchases under the 2020 Authorization.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Dividends</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On December 12, 2022, the Board of Directors approved a 5 percent increase in the Company’s regular quarterly dividend rate (from $0.21 per share to $0.22 per share) that was paid on February 3, 2023 to shareholders of record at the close of business on January 20, 2023. The balance of dividends payable included in </w:t>
      </w:r>
      <w:r>
        <w:rPr>
          <w:rFonts w:ascii="Arial" w:cs="Arial" w:eastAsia="Arial" w:hAnsi="Arial"/>
          <w:sz w:val="13"/>
          <w:szCs w:val="13"/>
          <w:i w:val="1"/>
          <w:iCs w:val="1"/>
          <w:color w:val="auto"/>
        </w:rPr>
        <w:t>Other current liabilities</w:t>
      </w:r>
      <w:r>
        <w:rPr>
          <w:rFonts w:ascii="Arial" w:cs="Arial" w:eastAsia="Arial" w:hAnsi="Arial"/>
          <w:sz w:val="13"/>
          <w:szCs w:val="13"/>
          <w:color w:val="auto"/>
        </w:rPr>
        <w:t xml:space="preserve"> on our Consolidated Balance Sheets was $36.2 million at December 31, 2022. Dividends paid per ordinary share were $0.84, $0.80 and $0.76 for the years ended December 31, 2022, 2021 and 2020, respectively.</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GAAP reported amount (e.g., retained earnings). Our distributable reserve balance was $7.1 billion and $8.4 billion as of December 31, 2022 and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Supplemental guarantor information</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Pentair plc (the “Parent Company Guarantor”), fully and unconditionally, guarantees the senior notes of PFSA (the “Subsidiary Issuer”). The Subsidiary Issuer is a Luxembourg private limited liability company and 100 percent-owned subsidiary of the Parent Company Guarantor.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3" w:name="page34"/>
    <w:bookmarkEnd w:id="33"/>
    <w:p>
      <w:pPr>
        <w:jc w:val="both"/>
        <w:spacing w:after="0" w:line="257" w:lineRule="auto"/>
        <w:rPr>
          <w:sz w:val="20"/>
          <w:szCs w:val="20"/>
          <w:color w:val="auto"/>
        </w:rPr>
      </w:pPr>
      <w:r>
        <w:rPr>
          <w:rFonts w:ascii="Arial" w:cs="Arial" w:eastAsia="Arial" w:hAnsi="Arial"/>
          <w:sz w:val="14"/>
          <w:szCs w:val="14"/>
          <w:color w:val="auto"/>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spacing w:after="0" w:line="17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following table presents summarized financial information as of December 31, 2022 for the Parent Company Guarantor and Subsidiary Issuer on a combined basis after elimination of (i) intercompany transactions and balances among the guarantors and issuer and (ii) equity in earnings from and investments in any subsidiary that is a non-Guarantor or issuer.</w:t>
      </w:r>
    </w:p>
    <w:tbl>
      <w:tblPr>
        <w:tblLayout w:type="fixed"/>
        <w:tblInd w:w="0" w:type="dxa"/>
        <w:tblCellMar>
          <w:top w:w="0" w:type="dxa"/>
          <w:left w:w="0" w:type="dxa"/>
          <w:bottom w:w="0" w:type="dxa"/>
          <w:right w:w="0" w:type="dxa"/>
        </w:tblCellMar>
      </w:tblPr>
      <w:tr>
        <w:trPr>
          <w:trHeight w:val="152"/>
        </w:trPr>
        <w:tc>
          <w:tcPr>
            <w:tcW w:w="524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800" w:type="dxa"/>
            <w:vAlign w:val="bottom"/>
          </w:tcPr>
          <w:p>
            <w:pPr>
              <w:jc w:val="right"/>
              <w:ind w:right="609"/>
              <w:spacing w:after="0" w:line="152" w:lineRule="exact"/>
              <w:rPr>
                <w:sz w:val="20"/>
                <w:szCs w:val="20"/>
                <w:color w:val="auto"/>
              </w:rPr>
            </w:pPr>
            <w:r>
              <w:rPr>
                <w:rFonts w:ascii="Arial" w:cs="Arial" w:eastAsia="Arial" w:hAnsi="Arial"/>
                <w:sz w:val="14"/>
                <w:szCs w:val="14"/>
                <w:b w:val="1"/>
                <w:bCs w:val="1"/>
                <w:color w:val="auto"/>
              </w:rPr>
              <w:t>December 31,</w:t>
            </w:r>
          </w:p>
        </w:tc>
      </w:tr>
      <w:tr>
        <w:trPr>
          <w:trHeight w:val="191"/>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2022</w:t>
            </w:r>
          </w:p>
        </w:tc>
      </w:tr>
      <w:tr>
        <w:trPr>
          <w:trHeight w:val="171"/>
        </w:trPr>
        <w:tc>
          <w:tcPr>
            <w:tcW w:w="524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Current assets </w:t>
            </w:r>
            <w:r>
              <w:rPr>
                <w:rFonts w:ascii="Arial" w:cs="Arial" w:eastAsia="Arial" w:hAnsi="Arial"/>
                <w:sz w:val="18"/>
                <w:szCs w:val="18"/>
                <w:color w:val="auto"/>
                <w:vertAlign w:val="superscript"/>
              </w:rPr>
              <w:t>(1)</w:t>
            </w:r>
          </w:p>
        </w:tc>
        <w:tc>
          <w:tcPr>
            <w:tcW w:w="42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0"/>
        </w:trPr>
        <w:tc>
          <w:tcPr>
            <w:tcW w:w="52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Noncurrent assets </w:t>
            </w:r>
            <w:r>
              <w:rPr>
                <w:rFonts w:ascii="Arial" w:cs="Arial" w:eastAsia="Arial" w:hAnsi="Arial"/>
                <w:sz w:val="18"/>
                <w:szCs w:val="18"/>
                <w:color w:val="auto"/>
                <w:vertAlign w:val="superscript"/>
              </w:rPr>
              <w:t>(2)</w:t>
            </w:r>
          </w:p>
        </w:tc>
        <w:tc>
          <w:tcPr>
            <w:tcW w:w="42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2,677.4</w:t>
            </w:r>
          </w:p>
        </w:tc>
      </w:tr>
      <w:tr>
        <w:trPr>
          <w:trHeight w:val="180"/>
        </w:trPr>
        <w:tc>
          <w:tcPr>
            <w:tcW w:w="52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Current liabilities </w:t>
            </w:r>
            <w:r>
              <w:rPr>
                <w:rFonts w:ascii="Arial" w:cs="Arial" w:eastAsia="Arial" w:hAnsi="Arial"/>
                <w:sz w:val="18"/>
                <w:szCs w:val="18"/>
                <w:color w:val="auto"/>
                <w:vertAlign w:val="superscript"/>
              </w:rPr>
              <w:t>(3)</w:t>
            </w:r>
          </w:p>
        </w:tc>
        <w:tc>
          <w:tcPr>
            <w:tcW w:w="4240" w:type="dxa"/>
            <w:vAlign w:val="bottom"/>
            <w:shd w:val="clear" w:color="auto" w:fill="CCEEFF"/>
          </w:tcPr>
          <w:p>
            <w:pPr>
              <w:spacing w:after="0"/>
              <w:rPr>
                <w:sz w:val="15"/>
                <w:szCs w:val="15"/>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1,068.6</w:t>
            </w:r>
          </w:p>
        </w:tc>
      </w:tr>
      <w:tr>
        <w:trPr>
          <w:trHeight w:val="183"/>
        </w:trPr>
        <w:tc>
          <w:tcPr>
            <w:tcW w:w="5240" w:type="dxa"/>
            <w:vAlign w:val="bottom"/>
          </w:tcPr>
          <w:p>
            <w:pPr>
              <w:ind w:left="20"/>
              <w:spacing w:after="0" w:line="183" w:lineRule="exact"/>
              <w:rPr>
                <w:sz w:val="20"/>
                <w:szCs w:val="20"/>
                <w:color w:val="auto"/>
              </w:rPr>
            </w:pPr>
            <w:r>
              <w:rPr>
                <w:rFonts w:ascii="Arial" w:cs="Arial" w:eastAsia="Arial" w:hAnsi="Arial"/>
                <w:sz w:val="14"/>
                <w:szCs w:val="14"/>
                <w:color w:val="auto"/>
              </w:rPr>
              <w:t xml:space="preserve">Noncurrent liabilities </w:t>
            </w:r>
            <w:r>
              <w:rPr>
                <w:rFonts w:ascii="Arial" w:cs="Arial" w:eastAsia="Arial" w:hAnsi="Arial"/>
                <w:sz w:val="18"/>
                <w:szCs w:val="18"/>
                <w:color w:val="auto"/>
                <w:vertAlign w:val="superscript"/>
              </w:rPr>
              <w:t>(4)</w:t>
            </w:r>
          </w:p>
        </w:tc>
        <w:tc>
          <w:tcPr>
            <w:tcW w:w="42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2,640.3</w:t>
            </w:r>
          </w:p>
        </w:tc>
      </w:tr>
    </w:tbl>
    <w:p>
      <w:pPr>
        <w:ind w:left="160" w:hanging="141"/>
        <w:spacing w:after="0" w:line="212" w:lineRule="auto"/>
        <w:tabs>
          <w:tab w:leader="none" w:pos="160" w:val="left"/>
        </w:tabs>
        <w:numPr>
          <w:ilvl w:val="0"/>
          <w:numId w:val="34"/>
        </w:numPr>
        <w:rPr>
          <w:rFonts w:ascii="Arial" w:cs="Arial" w:eastAsia="Arial" w:hAnsi="Arial"/>
          <w:sz w:val="17"/>
          <w:szCs w:val="17"/>
          <w:color w:val="auto"/>
          <w:vertAlign w:val="superscript"/>
        </w:rPr>
      </w:pPr>
      <w:r>
        <w:rPr>
          <w:rFonts w:ascii="Arial" w:cs="Arial" w:eastAsia="Arial" w:hAnsi="Arial"/>
          <w:sz w:val="12"/>
          <w:szCs w:val="12"/>
          <w:color w:val="auto"/>
        </w:rPr>
        <w:t>No assets due from non-guarantor subsidiaries were included.</w:t>
      </w:r>
    </w:p>
    <w:p>
      <w:pPr>
        <w:spacing w:after="0" w:line="18" w:lineRule="exact"/>
        <w:rPr>
          <w:rFonts w:ascii="Arial" w:cs="Arial" w:eastAsia="Arial" w:hAnsi="Arial"/>
          <w:sz w:val="17"/>
          <w:szCs w:val="17"/>
          <w:color w:val="auto"/>
          <w:vertAlign w:val="superscript"/>
        </w:rPr>
      </w:pPr>
    </w:p>
    <w:p>
      <w:pPr>
        <w:ind w:left="140" w:hanging="121"/>
        <w:spacing w:after="0" w:line="225" w:lineRule="auto"/>
        <w:tabs>
          <w:tab w:leader="none" w:pos="140" w:val="left"/>
        </w:tabs>
        <w:numPr>
          <w:ilvl w:val="0"/>
          <w:numId w:val="34"/>
        </w:numPr>
        <w:rPr>
          <w:rFonts w:ascii="Arial" w:cs="Arial" w:eastAsia="Arial" w:hAnsi="Arial"/>
          <w:sz w:val="14"/>
          <w:szCs w:val="14"/>
          <w:color w:val="auto"/>
          <w:vertAlign w:val="superscript"/>
        </w:rPr>
      </w:pPr>
      <w:r>
        <w:rPr>
          <w:rFonts w:ascii="Arial" w:cs="Arial" w:eastAsia="Arial" w:hAnsi="Arial"/>
          <w:sz w:val="10"/>
          <w:szCs w:val="10"/>
          <w:color w:val="auto"/>
        </w:rPr>
        <w:t>Includes assets due from non-guarantor subsidiaries of $2,664.7 million.</w:t>
      </w:r>
    </w:p>
    <w:p>
      <w:pPr>
        <w:spacing w:after="0" w:line="18" w:lineRule="exact"/>
        <w:rPr>
          <w:rFonts w:ascii="Arial" w:cs="Arial" w:eastAsia="Arial" w:hAnsi="Arial"/>
          <w:sz w:val="14"/>
          <w:szCs w:val="14"/>
          <w:color w:val="auto"/>
          <w:vertAlign w:val="superscript"/>
        </w:rPr>
      </w:pPr>
    </w:p>
    <w:p>
      <w:pPr>
        <w:ind w:left="140" w:hanging="121"/>
        <w:spacing w:after="0" w:line="225" w:lineRule="auto"/>
        <w:tabs>
          <w:tab w:leader="none" w:pos="140" w:val="left"/>
        </w:tabs>
        <w:numPr>
          <w:ilvl w:val="0"/>
          <w:numId w:val="34"/>
        </w:numPr>
        <w:rPr>
          <w:rFonts w:ascii="Arial" w:cs="Arial" w:eastAsia="Arial" w:hAnsi="Arial"/>
          <w:sz w:val="14"/>
          <w:szCs w:val="14"/>
          <w:color w:val="auto"/>
          <w:vertAlign w:val="superscript"/>
        </w:rPr>
      </w:pPr>
      <w:r>
        <w:rPr>
          <w:rFonts w:ascii="Arial" w:cs="Arial" w:eastAsia="Arial" w:hAnsi="Arial"/>
          <w:sz w:val="10"/>
          <w:szCs w:val="10"/>
          <w:color w:val="auto"/>
        </w:rPr>
        <w:t>Includes liabilities due to non-guarantor subsidiaries of $989.8 million.</w:t>
      </w:r>
    </w:p>
    <w:p>
      <w:pPr>
        <w:spacing w:after="0" w:line="18" w:lineRule="exact"/>
        <w:rPr>
          <w:rFonts w:ascii="Arial" w:cs="Arial" w:eastAsia="Arial" w:hAnsi="Arial"/>
          <w:sz w:val="14"/>
          <w:szCs w:val="14"/>
          <w:color w:val="auto"/>
          <w:vertAlign w:val="superscript"/>
        </w:rPr>
      </w:pPr>
    </w:p>
    <w:p>
      <w:pPr>
        <w:ind w:left="160" w:hanging="141"/>
        <w:spacing w:after="0" w:line="185" w:lineRule="auto"/>
        <w:tabs>
          <w:tab w:leader="none" w:pos="160" w:val="left"/>
        </w:tabs>
        <w:numPr>
          <w:ilvl w:val="0"/>
          <w:numId w:val="34"/>
        </w:numPr>
        <w:rPr>
          <w:rFonts w:ascii="Arial" w:cs="Arial" w:eastAsia="Arial" w:hAnsi="Arial"/>
          <w:sz w:val="17"/>
          <w:szCs w:val="17"/>
          <w:color w:val="auto"/>
          <w:vertAlign w:val="superscript"/>
        </w:rPr>
      </w:pPr>
      <w:r>
        <w:rPr>
          <w:rFonts w:ascii="Arial" w:cs="Arial" w:eastAsia="Arial" w:hAnsi="Arial"/>
          <w:sz w:val="12"/>
          <w:szCs w:val="12"/>
          <w:color w:val="auto"/>
        </w:rPr>
        <w:t>Includes liabilities due to non-guarantor subsidiaries of $259.8 million.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The Parent Company Guarantor and Subsidiary Issuer do not have material results of operations on a combined basis.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Material cash requirements from contractual obligations and commitments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expect to continue to have sufficient cash and borrowing capacity to support working capital needs and capital expenditures, to pay interest and service debt and to pay dividends to shareholders quarterly. We believe we have the ability to meet our short-term and long-term cash requirements by using available cash and internally generated funds and to borrow under our committed and uncommitted credit facilities. The following summarizes our material cash requirements from significant contractual obligations and purchase commitments that impact our liquidity as of December 31, 2022:</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40" w:type="dxa"/>
            <w:vAlign w:val="bottom"/>
          </w:tcPr>
          <w:p>
            <w:pPr>
              <w:jc w:val="right"/>
              <w:ind w:right="569"/>
              <w:spacing w:after="0"/>
              <w:rPr>
                <w:sz w:val="20"/>
                <w:szCs w:val="20"/>
                <w:color w:val="auto"/>
              </w:rPr>
            </w:pPr>
            <w:r>
              <w:rPr>
                <w:rFonts w:ascii="Arial" w:cs="Arial" w:eastAsia="Arial" w:hAnsi="Arial"/>
                <w:sz w:val="14"/>
                <w:szCs w:val="14"/>
                <w:b w:val="1"/>
                <w:bCs w:val="1"/>
                <w:color w:val="auto"/>
              </w:rPr>
              <w:t>Next</w:t>
            </w:r>
          </w:p>
        </w:tc>
        <w:tc>
          <w:tcPr>
            <w:tcW w:w="140" w:type="dxa"/>
            <w:vAlign w:val="bottom"/>
          </w:tcPr>
          <w:p>
            <w:pPr>
              <w:spacing w:after="0"/>
              <w:rPr>
                <w:sz w:val="14"/>
                <w:szCs w:val="14"/>
                <w:color w:val="auto"/>
              </w:rPr>
            </w:pPr>
          </w:p>
        </w:tc>
        <w:tc>
          <w:tcPr>
            <w:tcW w:w="1420" w:type="dxa"/>
            <w:vAlign w:val="bottom"/>
          </w:tcPr>
          <w:p>
            <w:pPr>
              <w:jc w:val="right"/>
              <w:ind w:right="49"/>
              <w:spacing w:after="0"/>
              <w:rPr>
                <w:sz w:val="20"/>
                <w:szCs w:val="20"/>
                <w:color w:val="auto"/>
              </w:rPr>
            </w:pPr>
            <w:r>
              <w:rPr>
                <w:rFonts w:ascii="Arial" w:cs="Arial" w:eastAsia="Arial" w:hAnsi="Arial"/>
                <w:sz w:val="14"/>
                <w:szCs w:val="14"/>
                <w:b w:val="1"/>
                <w:bCs w:val="1"/>
                <w:color w:val="auto"/>
                <w:w w:val="92"/>
              </w:rPr>
              <w:t>Greater Than Twelve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7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Twelve Months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Months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Total</w:t>
            </w:r>
          </w:p>
        </w:tc>
      </w:tr>
      <w:tr>
        <w:trPr>
          <w:trHeight w:val="17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obligations (Note 8)</w:t>
            </w:r>
          </w:p>
        </w:tc>
        <w:tc>
          <w:tcPr>
            <w:tcW w:w="1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2,326.8</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2,339.3</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Interest obligations on fixed-rate debt</w:t>
            </w:r>
          </w:p>
        </w:tc>
        <w:tc>
          <w:tcPr>
            <w:tcW w:w="17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42.5</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322.2</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364.7</w:t>
            </w:r>
          </w:p>
        </w:tc>
      </w:tr>
      <w:tr>
        <w:trPr>
          <w:trHeight w:val="18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obligations, net of sublease rentals (Note 15)</w:t>
            </w:r>
          </w:p>
        </w:tc>
        <w:tc>
          <w:tcPr>
            <w:tcW w:w="17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r>
      <w:tr>
        <w:trPr>
          <w:trHeight w:val="180"/>
        </w:trPr>
        <w:tc>
          <w:tcPr>
            <w:tcW w:w="5100" w:type="dxa"/>
            <w:vAlign w:val="bottom"/>
          </w:tcPr>
          <w:p>
            <w:pPr>
              <w:ind w:left="20"/>
              <w:spacing w:after="0"/>
              <w:rPr>
                <w:sz w:val="20"/>
                <w:szCs w:val="20"/>
                <w:color w:val="auto"/>
              </w:rPr>
            </w:pPr>
            <w:r>
              <w:rPr>
                <w:rFonts w:ascii="Arial" w:cs="Arial" w:eastAsia="Arial" w:hAnsi="Arial"/>
                <w:sz w:val="14"/>
                <w:szCs w:val="14"/>
                <w:color w:val="auto"/>
              </w:rPr>
              <w:t>Purchase and marketing obligations</w:t>
            </w:r>
          </w:p>
        </w:tc>
        <w:tc>
          <w:tcPr>
            <w:tcW w:w="17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19.8</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14.8</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34.6</w:t>
            </w:r>
          </w:p>
        </w:tc>
      </w:tr>
      <w:tr>
        <w:trPr>
          <w:trHeight w:val="18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Pension and other post-retirement plan contributions (Note 11)</w:t>
            </w:r>
          </w:p>
        </w:tc>
        <w:tc>
          <w:tcPr>
            <w:tcW w:w="17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w:t>
            </w:r>
          </w:p>
        </w:tc>
      </w:tr>
      <w:tr>
        <w:trPr>
          <w:trHeight w:val="171"/>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contractual obligations, net</w:t>
            </w:r>
          </w:p>
        </w:tc>
        <w:tc>
          <w:tcPr>
            <w:tcW w:w="1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2,794.9</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2,911.2</w:t>
            </w: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majority of the purchase obligations represent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spacing w:after="0" w:line="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to the significant contractual obligations described above, we will incur annual interest expense on outstanding variable rate debt. As of December 31, 2022, variable interest rate debt was $1,520.0 million at a weighted average interest rate of 5.64%.</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4" w:name="page35"/>
    <w:bookmarkEnd w:id="34"/>
    <w:p>
      <w:pPr>
        <w:jc w:val="both"/>
        <w:spacing w:after="0" w:line="267" w:lineRule="auto"/>
        <w:rPr>
          <w:sz w:val="20"/>
          <w:szCs w:val="20"/>
          <w:color w:val="auto"/>
        </w:rPr>
      </w:pPr>
      <w:r>
        <w:rPr>
          <w:rFonts w:ascii="Arial" w:cs="Arial" w:eastAsia="Arial" w:hAnsi="Arial"/>
          <w:sz w:val="14"/>
          <w:szCs w:val="14"/>
          <w:color w:val="auto"/>
        </w:rPr>
        <w:t xml:space="preserve">The total gross liability for uncertain tax positions at December 31, 2022 was estimated to be $39.6 million. We record penalties and interest related to unrecognized tax benefits in </w:t>
      </w:r>
      <w:r>
        <w:rPr>
          <w:rFonts w:ascii="Arial" w:cs="Arial" w:eastAsia="Arial" w:hAnsi="Arial"/>
          <w:sz w:val="14"/>
          <w:szCs w:val="14"/>
          <w:i w:val="1"/>
          <w:iCs w:val="1"/>
          <w:color w:val="auto"/>
        </w:rPr>
        <w:t>Provision for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income taxes </w:t>
      </w:r>
      <w:r>
        <w:rPr>
          <w:rFonts w:ascii="Arial" w:cs="Arial" w:eastAsia="Arial" w:hAnsi="Arial"/>
          <w:sz w:val="14"/>
          <w:szCs w:val="14"/>
          <w:color w:val="auto"/>
        </w:rPr>
        <w:t>and</w:t>
      </w:r>
      <w:r>
        <w:rPr>
          <w:rFonts w:ascii="Arial" w:cs="Arial" w:eastAsia="Arial" w:hAnsi="Arial"/>
          <w:sz w:val="14"/>
          <w:szCs w:val="14"/>
          <w:i w:val="1"/>
          <w:iCs w:val="1"/>
          <w:color w:val="auto"/>
        </w:rPr>
        <w:t xml:space="preserve"> Net interest expense</w:t>
      </w:r>
      <w:r>
        <w:rPr>
          <w:rFonts w:ascii="Arial" w:cs="Arial" w:eastAsia="Arial" w:hAnsi="Arial"/>
          <w:sz w:val="14"/>
          <w:szCs w:val="14"/>
          <w:color w:val="auto"/>
        </w:rPr>
        <w:t>, respectively, which is consistent with our past practices. As of December 31, 2022, we had recorded $0.6 million for the possible payment of penalties and $4.9</w:t>
      </w:r>
      <w:r>
        <w:rPr>
          <w:rFonts w:ascii="Arial" w:cs="Arial" w:eastAsia="Arial" w:hAnsi="Arial"/>
          <w:sz w:val="14"/>
          <w:szCs w:val="14"/>
          <w:i w:val="1"/>
          <w:iCs w:val="1"/>
          <w:color w:val="auto"/>
        </w:rPr>
        <w:t xml:space="preserve"> </w:t>
      </w:r>
      <w:r>
        <w:rPr>
          <w:rFonts w:ascii="Arial" w:cs="Arial" w:eastAsia="Arial" w:hAnsi="Arial"/>
          <w:sz w:val="14"/>
          <w:szCs w:val="14"/>
          <w:color w:val="auto"/>
        </w:rPr>
        <w:t>million related to the possible payment of interest.</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COMMITMENTS AND CONTINGENCIES</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9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claims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Stand-by letters of credit, bank guarantees and bonds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and 2021, the outstanding value of bonds, letters of credit and bank guarantees totaled $99.7 million and $104.5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have adopted various accounting policies to prepare the consolidated financial statements in accordance with U.S.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observance of trends in the industry and information available from other outside sources, as appropriate. We consider an accounting estimate to be critical if:</w:t>
      </w:r>
    </w:p>
    <w:p>
      <w:pPr>
        <w:spacing w:after="0" w:line="89"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it requires us to make assumptions about matters that were uncertain at the time we were making the estimate;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the estimate or different estimates that we could have selected would have had a material impact on our financial condition or results of operations.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Our critical accounting estimates include the following: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Impairment of goodwill and indefinite-lived intangibles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Goodwill represents the excess of the cost of acquired businesses over the net of the fair value of identifiable tangible net assets and identifiable intangible assets purchased and liabilities assumed.</w:t>
      </w:r>
    </w:p>
    <w:p>
      <w:pPr>
        <w:spacing w:after="0" w:line="14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During 2022 and 2021, a qualitative assessment was performed. As a result, it was determined that it was more likely than not that the fair value of the reporting units exceeded their respective carrying values. Factors considered in the analysis included the 2020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Identifiable intangible assets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An impairment charge of $2.7 million was recorded in 2022 related to the write-off of a proprietary technology intangible asset as a result of restructuring initiatives implemented in the fourth quarter of 2022. The impairment charge was recorded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in our Consolidated Statements of Operations and Comprehensive Income.</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charges were recognized in 2022 or 2021 as a result of our annual impairment assessment.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Assets and liabilities acquired in a business combination are recorded at their estimated fair values at the acquisition date. Goodwill is recorded when the purchase price exceeds the estimated fair value of the net identifiable tangible and intangible assets acquired. Estimates of intangible asset fair value represent management’s best estimate of assumptions and about future events and uncertainties, including significant judgments related to future cash flows, discount rates, margin and revenue growth assumptions, royalty rates, customer attrition rates, useful lives and others. Inputs used are generally obtained from historical data supplemented by current and anticipated market conditions and growth rates. If the actual results differ from the estimates and judgments used in these fair values, the amounts recorded in the consolidated financial statements could result in a possible impairment of the intangible assets and goodwill or require acceleration of the amortization expense of finite-lived intangible assets.</w:t>
      </w:r>
    </w:p>
    <w:p>
      <w:pPr>
        <w:spacing w:after="0" w:line="17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Allocations of the purchase price for acquisitions are based on estimates of the fair value of the net assets acquired and are subject to adjustment upon finalization of the purchase price allocation. During this measurement period, we will adjust assets or liabilities if new information is obtained about facts and circumstances that existed as of the acquisition date that, if known,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auto"/>
        </w:rPr>
        <w:t>would have resulted in the recognition of those assets and liabilities as of that date. All changes that do not qualify as measurement period adjustments are included in current period earnings.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Pension and other post-retirement plans</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w:t>
      </w:r>
    </w:p>
    <w:p>
      <w:pPr>
        <w:spacing w:after="0" w:line="91"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w:t>
      </w:r>
    </w:p>
    <w:p>
      <w:pPr>
        <w:jc w:val="both"/>
        <w:ind w:firstLine="5"/>
        <w:spacing w:after="0" w:line="257" w:lineRule="auto"/>
        <w:tabs>
          <w:tab w:leader="none" w:pos="204" w:val="left"/>
        </w:tabs>
        <w:numPr>
          <w:ilvl w:val="0"/>
          <w:numId w:val="36"/>
        </w:numPr>
        <w:rPr>
          <w:rFonts w:ascii="Arial" w:cs="Arial" w:eastAsia="Arial" w:hAnsi="Arial"/>
          <w:sz w:val="14"/>
          <w:szCs w:val="14"/>
          <w:color w:val="auto"/>
        </w:rPr>
      </w:pPr>
      <w:r>
        <w:rPr>
          <w:rFonts w:ascii="Arial" w:cs="Arial" w:eastAsia="Arial" w:hAnsi="Arial"/>
          <w:sz w:val="14"/>
          <w:szCs w:val="14"/>
          <w:color w:val="auto"/>
        </w:rPr>
        <w:t>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pre-tax gains of $17.5 million and $2.4 million in 2022 and 2021, respectively, and a pre-tax loss of $6.7 million in 2020. The remaining components of pension expense, including service and interest costs and the expected return on plan assets, are recorded on a quarterly basis as ongoing pension expense.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Discount rates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2023.</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Expected rate of return</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Sensitivity to changes in key assumptions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100 basis point increase or decrease in the discount rates used to measure our pension and other post-retirement benefit plans would result in a $7.1 million increase or $6.1 million decrease in our total projected benefit obligation. A 100 basis point increase or decrease in the assumed rate of return on pension assets or discount rates for our pension and other post-retirement benefit plans would result in an immaterial change in our ongoing pension expense. These estimates exclude any potential mark-to-market adjustments.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Loss contingencies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 estimates. Additionally, we record receivables from third party insurers when recovery has been determined to be probable.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7" w:name="page38"/>
    <w:bookmarkEnd w:id="37"/>
    <w:p>
      <w:pPr>
        <w:jc w:val="both"/>
        <w:spacing w:after="0" w:line="260" w:lineRule="auto"/>
        <w:rPr>
          <w:sz w:val="20"/>
          <w:szCs w:val="20"/>
          <w:color w:val="auto"/>
        </w:rPr>
      </w:pPr>
      <w:r>
        <w:rPr>
          <w:rFonts w:ascii="Arial" w:cs="Arial" w:eastAsia="Arial" w:hAnsi="Arial"/>
          <w:sz w:val="14"/>
          <w:szCs w:val="14"/>
          <w:color w:val="auto"/>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spacing w:after="0" w:line="10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debt portfolio as of December 31, 2022, was comprised of debt predominantly denominated in U.S. dollars. This debt portfolio is comprised of 35% fixed-rate debt and 65%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Based on the fixed-rate debt included in our debt portfolio, as of December 31, 2022, a 100 basis point increase or decrease in interest rates would result in a $50.1 million decrease or $54.3 million increase in fair value, respectively.</w:t>
      </w:r>
    </w:p>
    <w:p>
      <w:pPr>
        <w:spacing w:after="0" w:line="9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Based on the variable-rate debt included in our debt portfolio as of December 31, 2022, a 100 basis point increase or decrease in interest rates would result in a $15.2 million increase or decrease in interest incurred.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exchange. However, our results of operations and assets and liabilities are reported in U.S. dollars and thus will fluctuate with changes in exchange rates between such local currencies and the U.S. dollar.</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8" w:name="page39"/>
    <w:bookmarkEnd w:id="38"/>
    <w:p>
      <w:pPr>
        <w:jc w:val="both"/>
        <w:spacing w:after="0" w:line="260" w:lineRule="auto"/>
        <w:rPr>
          <w:sz w:val="20"/>
          <w:szCs w:val="20"/>
          <w:color w:val="auto"/>
        </w:rPr>
      </w:pPr>
      <w:r>
        <w:rPr>
          <w:rFonts w:ascii="Arial" w:cs="Arial" w:eastAsia="Arial" w:hAnsi="Arial"/>
          <w:sz w:val="14"/>
          <w:szCs w:val="14"/>
          <w:color w:val="auto"/>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2022, we had outstanding foreign currency derivative contracts with gross notional U.S. dollar equivalent amounts of $9.4 million.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Arial" w:cs="Arial" w:eastAsia="Arial" w:hAnsi="Arial"/>
          <w:sz w:val="14"/>
          <w:szCs w:val="14"/>
          <w:i w:val="1"/>
          <w:iCs w:val="1"/>
          <w:color w:val="auto"/>
        </w:rPr>
        <w:t>Accumulated other comprehensive loss</w:t>
      </w:r>
      <w:r>
        <w:rPr>
          <w:rFonts w:ascii="Arial" w:cs="Arial" w:eastAsia="Arial" w:hAnsi="Arial"/>
          <w:sz w:val="14"/>
          <w:szCs w:val="14"/>
          <w:color w:val="auto"/>
        </w:rPr>
        <w:t xml:space="preserve"> and subsequently recognized in the Consolidated Statements of Operations and Comprehensive Income when the hedged item affects earnings.</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At December 31, 2022, we had outstanding cross currency swap agreements with a combined notional amount of $746.3 million.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or a 10% depreciation of the U.S. dollar relative to the Euro would result in a change in accumulated other comprehensive income of approximately $55 million. However, the change in other comprehensive income would be offset by decreases or increases in the hedged items on our balance sheet.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4"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9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Management assessed the effectiveness of the Company’s internal control over financial reporting as of December 31, 2022. In making this assessment, management used the criteria for effective internal control over financial reporting described in </w:t>
      </w:r>
      <w:r>
        <w:rPr>
          <w:rFonts w:ascii="Arial" w:cs="Arial" w:eastAsia="Arial" w:hAnsi="Arial"/>
          <w:sz w:val="13"/>
          <w:szCs w:val="13"/>
          <w:i w:val="1"/>
          <w:iCs w:val="1"/>
          <w:color w:val="auto"/>
        </w:rPr>
        <w:t>Internal Control-Integrated Framework (2013)</w:t>
      </w:r>
      <w:r>
        <w:rPr>
          <w:rFonts w:ascii="Arial" w:cs="Arial" w:eastAsia="Arial" w:hAnsi="Arial"/>
          <w:sz w:val="13"/>
          <w:szCs w:val="13"/>
          <w:color w:val="auto"/>
        </w:rPr>
        <w:t xml:space="preserve"> issued by the Committee of Sponsoring Organizations of the Treadway Commission. Based on this assessment, management believes that, as of December 31, 2022, the Company’s internal control over financial reporting was effective based on those criteria.</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completed its acquisition of Welbilt’s Manitowoc Ice business (“Manitowoc Ice”) on July 28, 2022. The Company is continuing to integrate Manitowoc Ice into its internal control over financial reporting, and management’s evaluation of the effectiveness of the Company’s internal control over financial reporting excluded Manitowoc Ice as of December 31, 2022, as permitted by guidance issued by the Securities and Exchange Commission. Manitowoc Ice accounted for approximately 2% of total assets, excluding acquired goodwill and identifiable intangible assets which are included within the scope of management’s assessment, and 4% of total net sales included within the consolidated financial statements of Pentair plc and its subsidiaries as of and for the fiscal year ended December 31, 2022.</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Our independent registered public accounting firm, Deloitte &amp; Touche LLP, has issued an attestation report on the Company’s internal control over financial reporting as of December 31, 2022. That attestation report is set forth immediately following this management report.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60" w:type="dxa"/>
            <w:vAlign w:val="bottom"/>
          </w:tcPr>
          <w:p>
            <w:pPr>
              <w:ind w:left="20"/>
              <w:spacing w:after="0"/>
              <w:rPr>
                <w:sz w:val="20"/>
                <w:szCs w:val="20"/>
                <w:color w:val="auto"/>
              </w:rPr>
            </w:pPr>
            <w:r>
              <w:rPr>
                <w:rFonts w:ascii="Arial" w:cs="Arial" w:eastAsia="Arial" w:hAnsi="Arial"/>
                <w:sz w:val="14"/>
                <w:szCs w:val="14"/>
                <w:color w:val="auto"/>
              </w:rPr>
              <w:t>John L. Stauch</w:t>
            </w:r>
          </w:p>
        </w:tc>
        <w:tc>
          <w:tcPr>
            <w:tcW w:w="7420" w:type="dxa"/>
            <w:vAlign w:val="bottom"/>
          </w:tcPr>
          <w:p>
            <w:pPr>
              <w:ind w:left="2080"/>
              <w:spacing w:after="0"/>
              <w:rPr>
                <w:sz w:val="20"/>
                <w:szCs w:val="20"/>
                <w:color w:val="auto"/>
              </w:rPr>
            </w:pPr>
            <w:r>
              <w:rPr>
                <w:rFonts w:ascii="Arial" w:cs="Arial" w:eastAsia="Arial" w:hAnsi="Arial"/>
                <w:sz w:val="14"/>
                <w:szCs w:val="14"/>
                <w:color w:val="auto"/>
              </w:rPr>
              <w:t>Robert P. Fishman</w:t>
            </w:r>
          </w:p>
        </w:tc>
      </w:tr>
      <w:tr>
        <w:trPr>
          <w:trHeight w:val="180"/>
        </w:trPr>
        <w:tc>
          <w:tcPr>
            <w:tcW w:w="3860" w:type="dxa"/>
            <w:vAlign w:val="bottom"/>
          </w:tcPr>
          <w:p>
            <w:pPr>
              <w:ind w:left="20"/>
              <w:spacing w:after="0"/>
              <w:rPr>
                <w:sz w:val="20"/>
                <w:szCs w:val="20"/>
                <w:color w:val="auto"/>
              </w:rPr>
            </w:pPr>
            <w:r>
              <w:rPr>
                <w:rFonts w:ascii="Arial" w:cs="Arial" w:eastAsia="Arial" w:hAnsi="Arial"/>
                <w:sz w:val="14"/>
                <w:szCs w:val="14"/>
                <w:i w:val="1"/>
                <w:iCs w:val="1"/>
                <w:color w:val="auto"/>
              </w:rPr>
              <w:t>President and Chief Executive Officer</w:t>
            </w:r>
          </w:p>
        </w:tc>
        <w:tc>
          <w:tcPr>
            <w:tcW w:w="7420" w:type="dxa"/>
            <w:vAlign w:val="bottom"/>
          </w:tcPr>
          <w:p>
            <w:pPr>
              <w:ind w:left="2080"/>
              <w:spacing w:after="0"/>
              <w:rPr>
                <w:sz w:val="20"/>
                <w:szCs w:val="20"/>
                <w:color w:val="auto"/>
              </w:rPr>
            </w:pPr>
            <w:r>
              <w:rPr>
                <w:rFonts w:ascii="Arial" w:cs="Arial" w:eastAsia="Arial" w:hAnsi="Arial"/>
                <w:sz w:val="14"/>
                <w:szCs w:val="14"/>
                <w:i w:val="1"/>
                <w:iCs w:val="1"/>
                <w:color w:val="auto"/>
              </w:rPr>
              <w:t>Executive Vice President, Chief Financial Officer and Chief Accounting Officer</w:t>
            </w:r>
          </w:p>
        </w:tc>
      </w:tr>
      <w:tr>
        <w:trPr>
          <w:trHeight w:val="870"/>
        </w:trPr>
        <w:tc>
          <w:tcPr>
            <w:tcW w:w="3860" w:type="dxa"/>
            <w:vAlign w:val="bottom"/>
          </w:tcPr>
          <w:p>
            <w:pPr>
              <w:spacing w:after="0"/>
              <w:rPr>
                <w:sz w:val="24"/>
                <w:szCs w:val="24"/>
                <w:color w:val="auto"/>
              </w:rPr>
            </w:pPr>
          </w:p>
        </w:tc>
        <w:tc>
          <w:tcPr>
            <w:tcW w:w="7420" w:type="dxa"/>
            <w:vAlign w:val="bottom"/>
          </w:tcPr>
          <w:p>
            <w:pPr>
              <w:jc w:val="right"/>
              <w:ind w:right="5489"/>
              <w:spacing w:after="0"/>
              <w:rPr>
                <w:sz w:val="20"/>
                <w:szCs w:val="20"/>
                <w:color w:val="auto"/>
              </w:rPr>
            </w:pPr>
            <w:r>
              <w:rPr>
                <w:rFonts w:ascii="Arial" w:cs="Arial" w:eastAsia="Arial" w:hAnsi="Arial"/>
                <w:sz w:val="14"/>
                <w:szCs w:val="14"/>
                <w:color w:val="auto"/>
              </w:rPr>
              <w:t>38</w:t>
            </w:r>
          </w:p>
        </w:tc>
      </w:tr>
      <w:tr>
        <w:trPr>
          <w:trHeight w:val="87"/>
        </w:trPr>
        <w:tc>
          <w:tcPr>
            <w:tcW w:w="3860" w:type="dxa"/>
            <w:vAlign w:val="bottom"/>
            <w:tcBorders>
              <w:bottom w:val="single" w:sz="8" w:color="9A9A9A"/>
            </w:tcBorders>
          </w:tcPr>
          <w:p>
            <w:pPr>
              <w:spacing w:after="0"/>
              <w:rPr>
                <w:sz w:val="7"/>
                <w:szCs w:val="7"/>
                <w:color w:val="auto"/>
              </w:rPr>
            </w:pPr>
          </w:p>
        </w:tc>
        <w:tc>
          <w:tcPr>
            <w:tcW w:w="7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Pentair plc</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4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We have audited the internal control over financial reporting of Pentair plc and subsidiaries (the “Company”) as of December 31, 2022, based on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(2013) </w:t>
      </w:r>
      <w:r>
        <w:rPr>
          <w:rFonts w:ascii="Arial" w:cs="Arial" w:eastAsia="Arial" w:hAnsi="Arial"/>
          <w:sz w:val="13"/>
          <w:szCs w:val="13"/>
          <w:color w:val="auto"/>
        </w:rPr>
        <w:t>issued by the Committee of Sponsoring Organizations of the Treadway Commission (COSO). In our opinion, the Company maintained, in all material respects, effective internal</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control over financial reporting as of December 31, 2022,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COSO.</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also audited, in accordance with the standards of the Public Company Accounting Oversight Board (United States) (PCAOB), the consolidated financial statements as of and for the year ended December 31, 2022, of the Company and our report dated February 21, 2023, expressed an unqualified opinion on those financial statements.</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 xml:space="preserve">As described in </w:t>
      </w:r>
      <w:r>
        <w:rPr>
          <w:rFonts w:ascii="Arial" w:cs="Arial" w:eastAsia="Arial" w:hAnsi="Arial"/>
          <w:sz w:val="14"/>
          <w:szCs w:val="14"/>
          <w:i w:val="1"/>
          <w:iCs w:val="1"/>
          <w:color w:val="auto"/>
        </w:rPr>
        <w:t>Management’s Report on Internal Control over Financial Reporting</w:t>
      </w:r>
      <w:r>
        <w:rPr>
          <w:rFonts w:ascii="Arial" w:cs="Arial" w:eastAsia="Arial" w:hAnsi="Arial"/>
          <w:sz w:val="14"/>
          <w:szCs w:val="14"/>
          <w:color w:val="auto"/>
        </w:rPr>
        <w:t>, management excluded from its assessment the internal control over financial reporting at Manitowoc Ice, which was acquired on July 28, 2022, and whose financial statements constitute approximately 2% of total assets (excluding acquired goodwill and identifiable intangible assets which are included within the scope of management’s assessment) and 4% of total net sales of the consolidated financial statement amounts as of and for the year ended December 31, 2022. Accordingly, our audit did not include the internal control over financial reporting at Manitowoc Ice.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40"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4"/>
          <w:szCs w:val="14"/>
          <w:i w:val="1"/>
          <w:iCs w:val="1"/>
          <w:color w:val="auto"/>
        </w:rPr>
        <w:t>Management’s Report on Internal Control over Financial Reporting</w:t>
      </w:r>
      <w:r>
        <w:rPr>
          <w:rFonts w:ascii="Arial" w:cs="Arial" w:eastAsia="Arial" w:hAnsi="Arial"/>
          <w:sz w:val="14"/>
          <w:szCs w:val="14"/>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ind w:right="140"/>
        <w:spacing w:after="0" w:line="262"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40" w:lineRule="exact"/>
        <w:rPr>
          <w:sz w:val="20"/>
          <w:szCs w:val="20"/>
          <w:color w:val="auto"/>
        </w:rPr>
      </w:pPr>
    </w:p>
    <w:p>
      <w:pPr>
        <w:ind w:right="100"/>
        <w:spacing w:after="0" w:line="28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ind w:right="12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Minneapolis, Minnesota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21, 2023</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Pentair plc</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4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We have audited the accompanying consolidated balance sheets of Pentair plc and subsidiaries (the “Company”) as of December 31, 2022 and 2021, the related consolidated statements of operations and comprehensive income, cash flows, and changes in equity,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and our report dated February 21, 2023, expressed an unqualified opinion on the Company’s internal control over financial reporting.</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4" w:lineRule="exact"/>
        <w:rPr>
          <w:sz w:val="20"/>
          <w:szCs w:val="20"/>
          <w:color w:val="auto"/>
        </w:rPr>
      </w:pPr>
    </w:p>
    <w:p>
      <w:pPr>
        <w:ind w:right="4740"/>
        <w:spacing w:after="0" w:line="442" w:lineRule="auto"/>
        <w:rPr>
          <w:sz w:val="20"/>
          <w:szCs w:val="20"/>
          <w:color w:val="auto"/>
        </w:rPr>
      </w:pPr>
      <w:r>
        <w:rPr>
          <w:rFonts w:ascii="Arial" w:cs="Arial" w:eastAsia="Arial" w:hAnsi="Arial"/>
          <w:sz w:val="14"/>
          <w:szCs w:val="14"/>
          <w:b w:val="1"/>
          <w:bCs w:val="1"/>
          <w:i w:val="1"/>
          <w:iCs w:val="1"/>
          <w:color w:val="auto"/>
        </w:rPr>
        <w:t xml:space="preserve">Income Taxes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Completeness of Uncertain Tax Positions </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Refer to Notes 1 and 10 to the financial statements </w:t>
      </w:r>
      <w:r>
        <w:rPr>
          <w:rFonts w:ascii="Arial" w:cs="Arial" w:eastAsia="Arial" w:hAnsi="Arial"/>
          <w:sz w:val="14"/>
          <w:szCs w:val="14"/>
          <w:i w:val="1"/>
          <w:iCs w:val="1"/>
          <w:color w:val="auto"/>
        </w:rPr>
        <w:t>Critical Audit Matter Description</w:t>
      </w:r>
    </w:p>
    <w:p>
      <w:pPr>
        <w:spacing w:after="0" w:line="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Company assesses uncertain tax positions (“UTPs”) based upon an evaluation of available information and records a liability when a position taken or expected to be taken in a tax return does not meet certain measurement or recognition criteria. A tax benefit is recognized only if management believes it is more likely than not that the tax position will be sustained upon examination by the relevant tax authority. Determining the completeness of UTPs is complex and significant judgment is involved in identifying which positions may not meet the required measurement or recognition criteria. As of December 31, 2022, the Company’s recorded UTP balance was $39.6 million.</w:t>
      </w:r>
    </w:p>
    <w:p>
      <w:pPr>
        <w:spacing w:after="0" w:line="16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UTP analysis is complex as it includes numerous tax jurisdictions and varying applications of tax laws. Given the multiple jurisdictions in which the Company operates and the complexity of tax regulations, auditing the completeness of UTPs involved a high degree of auditor judgment, and an increased extent of audit effort, including the need to involve our tax specialists.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Our audit procedures to evaluate the completeness of UTPs in material jurisdictions included the following, among others:</w:t>
      </w:r>
    </w:p>
    <w:p>
      <w:pPr>
        <w:spacing w:after="0" w:line="136" w:lineRule="exact"/>
        <w:rPr>
          <w:sz w:val="20"/>
          <w:szCs w:val="20"/>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tested the effectiveness of controls over management’s determination of the existence of UTPs.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With the assistance of our income tax specialists, we assessed the Company’s determination of the existence of UTPs. In particular, our procedures included:</w:t>
      </w:r>
    </w:p>
    <w:p>
      <w:pPr>
        <w:spacing w:after="0" w:line="136"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   Evaluating the Company’s significant judgments related to completeness of UTPs in material jurisdictions:</w:t>
      </w:r>
    </w:p>
    <w:p>
      <w:pPr>
        <w:spacing w:after="0" w:line="136" w:lineRule="exact"/>
        <w:rPr>
          <w:rFonts w:ascii="Arial" w:cs="Arial" w:eastAsia="Arial" w:hAnsi="Arial"/>
          <w:sz w:val="14"/>
          <w:szCs w:val="14"/>
          <w:color w:val="auto"/>
        </w:rPr>
      </w:pPr>
    </w:p>
    <w:p>
      <w:pPr>
        <w:ind w:left="1540" w:hanging="262"/>
        <w:spacing w:after="0" w:line="265" w:lineRule="auto"/>
        <w:tabs>
          <w:tab w:leader="none" w:pos="1536" w:val="left"/>
        </w:tabs>
        <w:numPr>
          <w:ilvl w:val="2"/>
          <w:numId w:val="37"/>
        </w:numPr>
        <w:rPr>
          <w:rFonts w:ascii="Arial" w:cs="Arial" w:eastAsia="Arial" w:hAnsi="Arial"/>
          <w:sz w:val="14"/>
          <w:szCs w:val="14"/>
          <w:color w:val="auto"/>
        </w:rPr>
      </w:pPr>
      <w:r>
        <w:rPr>
          <w:rFonts w:ascii="Arial" w:cs="Arial" w:eastAsia="Arial" w:hAnsi="Arial"/>
          <w:sz w:val="14"/>
          <w:szCs w:val="14"/>
          <w:color w:val="auto"/>
        </w:rPr>
        <w:t>We performed inquiries of management to assess whether they are aware of any new items or significant changes to the business that would impact the UTP assessment or give rise to new UTPs.</w:t>
      </w:r>
    </w:p>
    <w:p>
      <w:pPr>
        <w:spacing w:after="0" w:line="100" w:lineRule="exact"/>
        <w:rPr>
          <w:rFonts w:ascii="Arial" w:cs="Arial" w:eastAsia="Arial" w:hAnsi="Arial"/>
          <w:sz w:val="14"/>
          <w:szCs w:val="14"/>
          <w:color w:val="auto"/>
        </w:rPr>
      </w:pPr>
    </w:p>
    <w:p>
      <w:pPr>
        <w:ind w:left="1540" w:hanging="262"/>
        <w:spacing w:after="0" w:line="265" w:lineRule="auto"/>
        <w:tabs>
          <w:tab w:leader="none" w:pos="1536" w:val="left"/>
        </w:tabs>
        <w:numPr>
          <w:ilvl w:val="2"/>
          <w:numId w:val="37"/>
        </w:numPr>
        <w:rPr>
          <w:rFonts w:ascii="Arial" w:cs="Arial" w:eastAsia="Arial" w:hAnsi="Arial"/>
          <w:sz w:val="14"/>
          <w:szCs w:val="14"/>
          <w:color w:val="auto"/>
        </w:rPr>
      </w:pPr>
      <w:r>
        <w:rPr>
          <w:rFonts w:ascii="Arial" w:cs="Arial" w:eastAsia="Arial" w:hAnsi="Arial"/>
          <w:sz w:val="14"/>
          <w:szCs w:val="14"/>
          <w:color w:val="auto"/>
        </w:rPr>
        <w:t>We evaluated the following: technical merits of existing UTPs, technical merits of potential UTPs, and significant transactions and their tax implications, including the completeness and accuracy of the underlying data supporting the transactions.</w:t>
      </w:r>
    </w:p>
    <w:p>
      <w:pPr>
        <w:spacing w:after="0" w:line="90"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We assessed the appropriateness and consistency of management’s methods and assumptions used in identifying UTPs.</w:t>
      </w:r>
    </w:p>
    <w:p>
      <w:pPr>
        <w:spacing w:after="0" w:line="136"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We evaluated former and ongoing tax audits by tax authorities.</w:t>
      </w:r>
    </w:p>
    <w:p>
      <w:pPr>
        <w:spacing w:after="0" w:line="125" w:lineRule="exact"/>
        <w:rPr>
          <w:rFonts w:ascii="Arial" w:cs="Arial" w:eastAsia="Arial" w:hAnsi="Arial"/>
          <w:sz w:val="14"/>
          <w:szCs w:val="14"/>
          <w:color w:val="auto"/>
        </w:rPr>
      </w:pPr>
    </w:p>
    <w:p>
      <w:pPr>
        <w:ind w:left="1520" w:hanging="242"/>
        <w:spacing w:after="0"/>
        <w:tabs>
          <w:tab w:leader="none" w:pos="1520" w:val="left"/>
        </w:tabs>
        <w:numPr>
          <w:ilvl w:val="2"/>
          <w:numId w:val="37"/>
        </w:numPr>
        <w:rPr>
          <w:rFonts w:ascii="Arial" w:cs="Arial" w:eastAsia="Arial" w:hAnsi="Arial"/>
          <w:sz w:val="14"/>
          <w:szCs w:val="14"/>
          <w:color w:val="auto"/>
        </w:rPr>
      </w:pPr>
      <w:r>
        <w:rPr>
          <w:rFonts w:ascii="Arial" w:cs="Arial" w:eastAsia="Arial" w:hAnsi="Arial"/>
          <w:sz w:val="14"/>
          <w:szCs w:val="14"/>
          <w:color w:val="auto"/>
        </w:rPr>
        <w:t>We considered changes in and assessed the Company’s interpretation of applicable tax laws.</w:t>
      </w:r>
    </w:p>
    <w:p>
      <w:pPr>
        <w:spacing w:after="0" w:line="125" w:lineRule="exact"/>
        <w:rPr>
          <w:rFonts w:ascii="Arial" w:cs="Arial" w:eastAsia="Arial" w:hAnsi="Arial"/>
          <w:sz w:val="14"/>
          <w:szCs w:val="14"/>
          <w:color w:val="auto"/>
        </w:rPr>
      </w:pPr>
    </w:p>
    <w:p>
      <w:pPr>
        <w:ind w:left="1540" w:hanging="262"/>
        <w:spacing w:after="0" w:line="281" w:lineRule="auto"/>
        <w:tabs>
          <w:tab w:leader="none" w:pos="1536" w:val="left"/>
        </w:tabs>
        <w:numPr>
          <w:ilvl w:val="2"/>
          <w:numId w:val="37"/>
        </w:numPr>
        <w:rPr>
          <w:rFonts w:ascii="Arial" w:cs="Arial" w:eastAsia="Arial" w:hAnsi="Arial"/>
          <w:sz w:val="14"/>
          <w:szCs w:val="14"/>
          <w:color w:val="auto"/>
        </w:rPr>
      </w:pPr>
      <w:r>
        <w:rPr>
          <w:rFonts w:ascii="Arial" w:cs="Arial" w:eastAsia="Arial" w:hAnsi="Arial"/>
          <w:sz w:val="14"/>
          <w:szCs w:val="14"/>
          <w:color w:val="auto"/>
        </w:rPr>
        <w:t>We inspected the Company’s summary of differences between the filed tax returns and the tax provision to obtain an understanding of significant differences. We assessed whether the appropriate UTPs were recorded as well as whether any additional UTPs needed to be considered.</w:t>
      </w:r>
    </w:p>
    <w:p>
      <w:pPr>
        <w:spacing w:after="0" w:line="79" w:lineRule="exact"/>
        <w:rPr>
          <w:sz w:val="20"/>
          <w:szCs w:val="20"/>
          <w:color w:val="auto"/>
        </w:rPr>
      </w:pPr>
    </w:p>
    <w:p>
      <w:pPr>
        <w:ind w:right="3220"/>
        <w:spacing w:after="0" w:line="434" w:lineRule="auto"/>
        <w:rPr>
          <w:sz w:val="20"/>
          <w:szCs w:val="20"/>
          <w:color w:val="auto"/>
        </w:rPr>
      </w:pPr>
      <w:r>
        <w:rPr>
          <w:rFonts w:ascii="Arial" w:cs="Arial" w:eastAsia="Arial" w:hAnsi="Arial"/>
          <w:sz w:val="14"/>
          <w:szCs w:val="14"/>
          <w:b w:val="1"/>
          <w:bCs w:val="1"/>
          <w:i w:val="1"/>
          <w:iCs w:val="1"/>
          <w:color w:val="auto"/>
        </w:rPr>
        <w:t xml:space="preserve">Acquisitions - Valuation of Manitowoc Ice Acquired Customer Relationship Intangible Asset — Refer to Note 2 to the financial statements </w:t>
      </w:r>
      <w:r>
        <w:rPr>
          <w:rFonts w:ascii="Arial" w:cs="Arial" w:eastAsia="Arial" w:hAnsi="Arial"/>
          <w:sz w:val="14"/>
          <w:szCs w:val="14"/>
          <w:i w:val="1"/>
          <w:iCs w:val="1"/>
          <w:color w:val="auto"/>
        </w:rPr>
        <w:t>Critical Audit Matter Description</w:t>
      </w:r>
    </w:p>
    <w:p>
      <w:pPr>
        <w:spacing w:after="0" w:line="1" w:lineRule="exact"/>
        <w:rPr>
          <w:sz w:val="20"/>
          <w:szCs w:val="20"/>
          <w:color w:val="auto"/>
        </w:rPr>
      </w:pPr>
    </w:p>
    <w:p>
      <w:pPr>
        <w:ind w:right="200"/>
        <w:spacing w:after="0" w:line="272" w:lineRule="auto"/>
        <w:rPr>
          <w:sz w:val="20"/>
          <w:szCs w:val="20"/>
          <w:color w:val="auto"/>
        </w:rPr>
      </w:pPr>
      <w:r>
        <w:rPr>
          <w:rFonts w:ascii="Arial" w:cs="Arial" w:eastAsia="Arial" w:hAnsi="Arial"/>
          <w:sz w:val="13"/>
          <w:szCs w:val="13"/>
          <w:color w:val="auto"/>
        </w:rPr>
        <w:t>On July 28, 2022, the Company completed the acquisition of Welbilt Inc.’s Manitowoc Ice business (“Manitowoc Ice”) for consideration paid of $1.6 billion. The Company accounted for the acquisition under the acquisition method of accounting for business combinations. Accordingly, the purchase price was allocated to the assets acquired and liabilities assumed based on their respective fair values, including a customer relationship intangible asset of $588.4 million. Management estimated the fair value of the customer relationship intangible asset using the multi-period excess earnings method, which is a specific discounted cash flow method. The fair value determination of the customer relationship intangible asset required management to make significant estimates and assumptions related to future cash flows, including margin and revenue growth assumptions, and the selection of the discount and customer attrition rates.</w:t>
      </w:r>
    </w:p>
    <w:p>
      <w:pPr>
        <w:spacing w:after="0" w:line="87"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identified the valuation of the Manitowoc Ice customer relationship intangible asset as a critical audit matter because of the significant estimates and assumptions management made to estimate the fair value of this asset. This required a high degree of auditor judgment and an increased extent of effort, including the need to involve our fair value specialists, when performing audit procedures to evaluate the reasonableness of management’s forecasts of future cash flows, including margin and revenue growth assumptions, and the selection of the discount and customer attrition rates for the customer relationship intangible asset.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How the Critical Audit Matter Was Addressed in the Audit</w:t>
      </w:r>
    </w:p>
    <w:p>
      <w:pPr>
        <w:spacing w:after="0" w:line="136" w:lineRule="exact"/>
        <w:rPr>
          <w:sz w:val="20"/>
          <w:szCs w:val="20"/>
          <w:color w:val="auto"/>
        </w:rPr>
      </w:pPr>
    </w:p>
    <w:p>
      <w:pPr>
        <w:ind w:right="500"/>
        <w:spacing w:after="0" w:line="281" w:lineRule="auto"/>
        <w:rPr>
          <w:sz w:val="20"/>
          <w:szCs w:val="20"/>
          <w:color w:val="auto"/>
        </w:rPr>
      </w:pPr>
      <w:r>
        <w:rPr>
          <w:rFonts w:ascii="Arial" w:cs="Arial" w:eastAsia="Arial" w:hAnsi="Arial"/>
          <w:sz w:val="14"/>
          <w:szCs w:val="14"/>
          <w:color w:val="auto"/>
        </w:rPr>
        <w:t>Our audit procedures related to the forecasts of future cash flows, including the margin and revenue growth rates, and the selection of the discount and customer attrition rates for the acquired customer relationship intangible asset included the following, among others:</w:t>
      </w:r>
    </w:p>
    <w:p>
      <w:pPr>
        <w:spacing w:after="0" w:line="79" w:lineRule="exact"/>
        <w:rPr>
          <w:sz w:val="20"/>
          <w:szCs w:val="20"/>
          <w:color w:val="auto"/>
        </w:rPr>
      </w:pPr>
    </w:p>
    <w:p>
      <w:pPr>
        <w:ind w:left="520" w:right="520" w:hanging="260"/>
        <w:spacing w:after="0" w:line="265"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tested the effectiveness of controls over the valuation of the acquired customer relationship intangible asset, including management’s controls over forecasts of future cash flows, including margin and revenue growth assumptions, and the selection of the discount and customer attrition rates.</w:t>
      </w:r>
    </w:p>
    <w:p>
      <w:pPr>
        <w:spacing w:after="0" w:line="100" w:lineRule="exact"/>
        <w:rPr>
          <w:rFonts w:ascii="Arial" w:cs="Arial" w:eastAsia="Arial" w:hAnsi="Arial"/>
          <w:sz w:val="14"/>
          <w:szCs w:val="14"/>
          <w:color w:val="auto"/>
        </w:rPr>
      </w:pPr>
    </w:p>
    <w:p>
      <w:pPr>
        <w:ind w:left="520" w:right="300" w:hanging="260"/>
        <w:spacing w:after="0" w:line="265"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assessed the reasonableness of management’s forecasts of future cash flows, including margin and revenue growth assumptions, by comparing the projections to historical results for Manitowoc Ice, certain peer companies’ historical results, and industry reports.</w:t>
      </w:r>
    </w:p>
    <w:p>
      <w:pPr>
        <w:spacing w:after="0" w:line="90" w:lineRule="exact"/>
        <w:rPr>
          <w:rFonts w:ascii="Arial" w:cs="Arial" w:eastAsia="Arial" w:hAnsi="Arial"/>
          <w:sz w:val="14"/>
          <w:szCs w:val="14"/>
          <w:color w:val="auto"/>
        </w:rPr>
      </w:pPr>
    </w:p>
    <w:p>
      <w:pPr>
        <w:ind w:left="520" w:hanging="26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With the assistance of our fair value specialists, we evaluated the reasonableness of the (1) valuation methodology and (2) the discount and customer attrition rates by: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43" w:name="page44"/>
    <w:bookmarkEnd w:id="43"/>
    <w:p>
      <w:pPr>
        <w:ind w:left="1020" w:hanging="251"/>
        <w:spacing w:after="0"/>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Testing the source information underlying the determination of the discount and customer attrition rates.</w:t>
      </w:r>
    </w:p>
    <w:p>
      <w:pPr>
        <w:spacing w:after="0" w:line="125" w:lineRule="exact"/>
        <w:rPr>
          <w:rFonts w:ascii="Arial" w:cs="Arial" w:eastAsia="Arial" w:hAnsi="Arial"/>
          <w:sz w:val="14"/>
          <w:szCs w:val="14"/>
          <w:color w:val="auto"/>
        </w:rPr>
      </w:pPr>
    </w:p>
    <w:p>
      <w:pPr>
        <w:ind w:left="1020" w:hanging="251"/>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Comparing the selected customer attrition rate to the historical customer attrition rate observed by Manitowoc Ice.</w:t>
      </w:r>
    </w:p>
    <w:p>
      <w:pPr>
        <w:spacing w:after="0" w:line="159" w:lineRule="exact"/>
        <w:rPr>
          <w:rFonts w:ascii="Arial" w:cs="Arial" w:eastAsia="Arial" w:hAnsi="Arial"/>
          <w:sz w:val="12"/>
          <w:szCs w:val="12"/>
          <w:color w:val="auto"/>
        </w:rPr>
      </w:pPr>
    </w:p>
    <w:p>
      <w:pPr>
        <w:ind w:left="1020" w:hanging="251"/>
        <w:spacing w:after="0"/>
        <w:tabs>
          <w:tab w:leader="none" w:pos="10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Testing the mathematical accuracy of the discount and customer attrition rate calculations.</w:t>
      </w:r>
    </w:p>
    <w:p>
      <w:pPr>
        <w:spacing w:after="0" w:line="125" w:lineRule="exact"/>
        <w:rPr>
          <w:rFonts w:ascii="Arial" w:cs="Arial" w:eastAsia="Arial" w:hAnsi="Arial"/>
          <w:sz w:val="14"/>
          <w:szCs w:val="14"/>
          <w:color w:val="auto"/>
        </w:rPr>
      </w:pPr>
    </w:p>
    <w:p>
      <w:pPr>
        <w:ind w:left="1020" w:hanging="251"/>
        <w:spacing w:after="0"/>
        <w:tabs>
          <w:tab w:leader="none" w:pos="10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Developing a range of independent estimates and comparing those to the discount rate selected by management</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Minneapolis, Minnesota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21, 2023</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We have served as the Company’s auditor since 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61"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Pentair plc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 and Comprehensive Income</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per-share data</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4,121.8</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3,764.8</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3,017.8</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goods sold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2,757.2</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2,445.6</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1,960.2</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1,364.6</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1,319.2</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1,057.6</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677.1</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596.4</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520.5</w:t>
            </w:r>
          </w:p>
        </w:tc>
      </w:tr>
      <w:tr>
        <w:trPr>
          <w:trHeight w:val="180"/>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71"/>
        </w:trPr>
        <w:tc>
          <w:tcPr>
            <w:tcW w:w="69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595.3</w:t>
            </w: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636.9</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461.4</w:t>
            </w: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(Gain) loss on sale of businesses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expense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171"/>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from continuing operations before income taxes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432.1</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67.4</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r>
      <w:tr>
        <w:trPr>
          <w:trHeight w:val="171"/>
        </w:trPr>
        <w:tc>
          <w:tcPr>
            <w:tcW w:w="69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 from continuing operations</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483.2</w:t>
            </w: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(Loss) income from discontinued operations, net of tax</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175"/>
        </w:trPr>
        <w:tc>
          <w:tcPr>
            <w:tcW w:w="6980" w:type="dxa"/>
            <w:vAlign w:val="bottom"/>
            <w:tcBorders>
              <w:bottom w:val="single" w:sz="8" w:color="auto"/>
            </w:tcBorders>
            <w:shd w:val="clear" w:color="auto" w:fill="CCEEFF"/>
          </w:tcPr>
          <w:p>
            <w:pPr>
              <w:ind w:left="20"/>
              <w:spacing w:after="0" w:line="150" w:lineRule="exact"/>
              <w:rPr>
                <w:sz w:val="20"/>
                <w:szCs w:val="20"/>
                <w:color w:val="auto"/>
              </w:rPr>
            </w:pPr>
            <w:r>
              <w:rPr>
                <w:rFonts w:ascii="Arial" w:cs="Arial" w:eastAsia="Arial" w:hAnsi="Arial"/>
                <w:sz w:val="14"/>
                <w:szCs w:val="14"/>
                <w:b w:val="1"/>
                <w:bCs w:val="1"/>
                <w:color w:val="auto"/>
              </w:rPr>
              <w:t>Net income</w:t>
            </w:r>
          </w:p>
        </w:tc>
        <w:tc>
          <w:tcPr>
            <w:tcW w:w="34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480.9</w:t>
            </w:r>
          </w:p>
        </w:tc>
        <w:tc>
          <w:tcPr>
            <w:tcW w:w="32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553.0</w:t>
            </w:r>
          </w:p>
        </w:tc>
        <w:tc>
          <w:tcPr>
            <w:tcW w:w="340" w:type="dxa"/>
            <w:vAlign w:val="bottom"/>
            <w:tcBorders>
              <w:bottom w:val="single" w:sz="8" w:color="auto"/>
            </w:tcBorders>
            <w:shd w:val="clear" w:color="auto" w:fill="CCEEFF"/>
          </w:tcPr>
          <w:p>
            <w:pPr>
              <w:jc w:val="right"/>
              <w:ind w:right="169"/>
              <w:spacing w:after="0" w:line="150"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358.6</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98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Comprehensive income, net of tax</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553.0</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358.6</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Changes in cumulative translation adjustment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(56.4)</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(47.0)</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49.0</w:t>
            </w:r>
          </w:p>
        </w:tc>
      </w:tr>
      <w:tr>
        <w:trPr>
          <w:trHeight w:val="180"/>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(29.8)</w:t>
            </w: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546.4</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377.8</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3"/>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ordinary share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Basic</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earnings per ordinary share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980" w:type="dxa"/>
            <w:vAlign w:val="bottom"/>
          </w:tcPr>
          <w:p>
            <w:pPr>
              <w:ind w:left="20"/>
              <w:spacing w:after="0" w:line="143" w:lineRule="exact"/>
              <w:rPr>
                <w:sz w:val="20"/>
                <w:szCs w:val="20"/>
                <w:color w:val="auto"/>
              </w:rPr>
            </w:pPr>
            <w:r>
              <w:rPr>
                <w:rFonts w:ascii="Arial" w:cs="Arial" w:eastAsia="Arial" w:hAnsi="Arial"/>
                <w:sz w:val="14"/>
                <w:szCs w:val="14"/>
                <w:b w:val="1"/>
                <w:bCs w:val="1"/>
                <w:i w:val="1"/>
                <w:iCs w:val="1"/>
                <w:color w:val="auto"/>
              </w:rPr>
              <w:t>Diluted</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Discontinued operations</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ordinary share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698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Weighted average ordinary shares outstanding</w:t>
            </w: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Diluted</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165.6</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167.5</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167.4</w:t>
            </w:r>
          </w:p>
        </w:tc>
      </w:tr>
    </w:tbl>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 w:name="page46"/>
    <w:bookmarkEnd w:id="45"/>
    <w:p>
      <w:pPr>
        <w:ind w:left="4800"/>
        <w:spacing w:after="0"/>
        <w:rPr>
          <w:sz w:val="20"/>
          <w:szCs w:val="20"/>
          <w:color w:val="auto"/>
        </w:rPr>
      </w:pPr>
      <w:r>
        <w:rPr>
          <w:rFonts w:ascii="Arial" w:cs="Arial" w:eastAsia="Arial" w:hAnsi="Arial"/>
          <w:sz w:val="14"/>
          <w:szCs w:val="14"/>
          <w:b w:val="1"/>
          <w:bCs w:val="1"/>
          <w:color w:val="auto"/>
        </w:rPr>
        <w:t>Pentair plc and Subsidiaries</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Consolidated Balance Sheets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71"/>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per-share data</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8360" w:type="dxa"/>
            <w:vAlign w:val="bottom"/>
            <w:shd w:val="clear" w:color="auto" w:fill="CCEEFF"/>
          </w:tcPr>
          <w:p>
            <w:pPr>
              <w:ind w:left="54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w:t>
            </w: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Accounts receivable, net of allowances of $10.8 and $9.1, respectively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531.5</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534.3</w:t>
            </w:r>
          </w:p>
        </w:tc>
      </w:tr>
      <w:tr>
        <w:trPr>
          <w:trHeight w:val="18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562.9</w:t>
            </w:r>
          </w:p>
        </w:tc>
      </w:tr>
      <w:tr>
        <w:trPr>
          <w:trHeight w:val="18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w:t>
            </w:r>
          </w:p>
        </w:tc>
      </w:tr>
      <w:tr>
        <w:trPr>
          <w:trHeight w:val="17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1,558.5</w:t>
            </w: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1,304.0</w:t>
            </w: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344.5</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310.0</w:t>
            </w: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3,252.6</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2,504.5</w:t>
            </w:r>
          </w:p>
        </w:tc>
      </w:tr>
      <w:tr>
        <w:trPr>
          <w:trHeight w:val="18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Intangibles, net</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1,094.6</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r>
      <w:tr>
        <w:trPr>
          <w:trHeight w:val="18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197.3</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w:t>
            </w:r>
          </w:p>
        </w:tc>
      </w:tr>
      <w:tr>
        <w:trPr>
          <w:trHeight w:val="171"/>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other assets</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4,544.5</w:t>
            </w:r>
          </w:p>
        </w:tc>
        <w:tc>
          <w:tcPr>
            <w:tcW w:w="5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3,139.6</w:t>
            </w:r>
          </w:p>
        </w:tc>
      </w:tr>
      <w:tr>
        <w:trPr>
          <w:trHeight w:val="171"/>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6,447.5</w:t>
            </w: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4,753.6</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8360" w:type="dxa"/>
            <w:vAlign w:val="bottom"/>
            <w:shd w:val="clear" w:color="auto" w:fill="CCEEFF"/>
          </w:tcPr>
          <w:p>
            <w:pPr>
              <w:ind w:left="4980"/>
              <w:spacing w:after="0"/>
              <w:rPr>
                <w:sz w:val="20"/>
                <w:szCs w:val="20"/>
                <w:color w:val="auto"/>
              </w:rPr>
            </w:pPr>
            <w:r>
              <w:rPr>
                <w:rFonts w:ascii="Arial" w:cs="Arial" w:eastAsia="Arial" w:hAnsi="Arial"/>
                <w:sz w:val="14"/>
                <w:szCs w:val="14"/>
                <w:b w:val="1"/>
                <w:bCs w:val="1"/>
                <w:color w:val="auto"/>
              </w:rPr>
              <w:t>Liabilities and Equity</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w:t>
            </w: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w:t>
            </w: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Employee compensation and benefits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106.0</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140.1</w:t>
            </w:r>
          </w:p>
        </w:tc>
      </w:tr>
      <w:tr>
        <w:trPr>
          <w:trHeight w:val="18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602.1</w:t>
            </w:r>
          </w:p>
        </w:tc>
        <w:tc>
          <w:tcPr>
            <w:tcW w:w="5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525.9</w:t>
            </w:r>
          </w:p>
        </w:tc>
      </w:tr>
      <w:tr>
        <w:trPr>
          <w:trHeight w:val="171"/>
        </w:trPr>
        <w:tc>
          <w:tcPr>
            <w:tcW w:w="836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1,063.1</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1,051.7</w:t>
            </w:r>
          </w:p>
        </w:tc>
      </w:tr>
      <w:tr>
        <w:trPr>
          <w:trHeight w:val="18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liabilities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2,317.3</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894.1</w:t>
            </w:r>
          </w:p>
        </w:tc>
      </w:tr>
      <w:tr>
        <w:trPr>
          <w:trHeight w:val="18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and other post-retirement compensation and benefits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w:t>
            </w: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Deferred tax liabilities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43.3</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89.8</w:t>
            </w:r>
          </w:p>
        </w:tc>
      </w:tr>
      <w:tr>
        <w:trPr>
          <w:trHeight w:val="180"/>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c>
          <w:tcPr>
            <w:tcW w:w="5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r>
      <w:tr>
        <w:trPr>
          <w:trHeight w:val="171"/>
        </w:trPr>
        <w:tc>
          <w:tcPr>
            <w:tcW w:w="836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3,739.4</w:t>
            </w:r>
          </w:p>
        </w:tc>
        <w:tc>
          <w:tcPr>
            <w:tcW w:w="5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2,331.7</w:t>
            </w:r>
          </w:p>
        </w:tc>
      </w:tr>
      <w:tr>
        <w:trPr>
          <w:trHeight w:val="18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15)</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 $0.01 par value, 426.0 authorized, 164.5 and 165.1 issued at December 31, 2022 and 2021, respectively</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836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1,554.9</w:t>
            </w:r>
          </w:p>
        </w:tc>
        <w:tc>
          <w:tcPr>
            <w:tcW w:w="5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1,582.7</w:t>
            </w:r>
          </w:p>
        </w:tc>
      </w:tr>
      <w:tr>
        <w:trPr>
          <w:trHeight w:val="18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Retained earnings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1,390.5</w:t>
            </w: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1,051.4</w:t>
            </w:r>
          </w:p>
        </w:tc>
      </w:tr>
      <w:tr>
        <w:trPr>
          <w:trHeight w:val="180"/>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w:t>
            </w:r>
          </w:p>
        </w:tc>
        <w:tc>
          <w:tcPr>
            <w:tcW w:w="5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(213.9)</w:t>
            </w:r>
          </w:p>
        </w:tc>
      </w:tr>
      <w:tr>
        <w:trPr>
          <w:trHeight w:val="171"/>
        </w:trPr>
        <w:tc>
          <w:tcPr>
            <w:tcW w:w="8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equity</w:t>
            </w:r>
          </w:p>
        </w:tc>
        <w:tc>
          <w:tcPr>
            <w:tcW w:w="3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2,708.1</w:t>
            </w:r>
          </w:p>
        </w:tc>
        <w:tc>
          <w:tcPr>
            <w:tcW w:w="5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2,421.9</w:t>
            </w:r>
          </w:p>
        </w:tc>
      </w:tr>
      <w:tr>
        <w:trPr>
          <w:trHeight w:val="171"/>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6,447.5</w:t>
            </w: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4,753.6</w:t>
            </w:r>
          </w:p>
        </w:tc>
      </w:tr>
      <w:tr>
        <w:trPr>
          <w:trHeight w:val="20"/>
        </w:trPr>
        <w:tc>
          <w:tcPr>
            <w:tcW w:w="8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3"/>
          <w:szCs w:val="13"/>
          <w:b w:val="1"/>
          <w:bCs w:val="1"/>
          <w:color w:val="auto"/>
        </w:rPr>
        <w:t>Pentair plc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2"/>
                <w:szCs w:val="12"/>
                <w:b w:val="1"/>
                <w:bCs w:val="1"/>
                <w:color w:val="auto"/>
              </w:rPr>
              <w:t>Years ended December 31</w:t>
            </w:r>
          </w:p>
        </w:tc>
        <w:tc>
          <w:tcPr>
            <w:tcW w:w="920" w:type="dxa"/>
            <w:vAlign w:val="bottom"/>
            <w:tcBorders>
              <w:bottom w:val="single" w:sz="8" w:color="auto"/>
            </w:tcBorders>
          </w:tcPr>
          <w:p>
            <w:pPr>
              <w:spacing w:after="0"/>
              <w:rPr>
                <w:sz w:val="13"/>
                <w:szCs w:val="13"/>
                <w:color w:val="auto"/>
              </w:rPr>
            </w:pPr>
          </w:p>
        </w:tc>
      </w:tr>
      <w:tr>
        <w:trPr>
          <w:trHeight w:val="155"/>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2"/>
                <w:szCs w:val="12"/>
                <w:i w:val="1"/>
                <w:iCs w:val="1"/>
                <w:color w:val="auto"/>
              </w:rPr>
              <w:t>In millions</w:t>
            </w: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2022</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2021</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2020</w:t>
            </w:r>
          </w:p>
        </w:tc>
      </w:tr>
      <w:tr>
        <w:trPr>
          <w:trHeight w:val="151"/>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480.9</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553.0</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358.6</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(income) from discontinued operations, net of tax</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58"/>
        </w:trPr>
        <w:tc>
          <w:tcPr>
            <w:tcW w:w="7640" w:type="dxa"/>
            <w:vAlign w:val="bottom"/>
          </w:tcPr>
          <w:p>
            <w:pPr>
              <w:ind w:left="140"/>
              <w:spacing w:after="0"/>
              <w:rPr>
                <w:sz w:val="20"/>
                <w:szCs w:val="20"/>
                <w:color w:val="auto"/>
              </w:rPr>
            </w:pPr>
            <w:r>
              <w:rPr>
                <w:rFonts w:ascii="Arial" w:cs="Arial" w:eastAsia="Arial" w:hAnsi="Arial"/>
                <w:sz w:val="12"/>
                <w:szCs w:val="12"/>
                <w:b w:val="1"/>
                <w:bCs w:val="1"/>
                <w:color w:val="auto"/>
                <w:w w:val="97"/>
              </w:rPr>
              <w:t>Adjustments to reconcile net income from continuing operations to net cash provided by operating activities of continuing operations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Equity income of unconsolidated subsidiaries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Depreciation</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54.1</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51.2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46.7</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(Gain) loss on sale of businesses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(0.2)</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Deferred income taxes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Share-based compensation</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24.9</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29.8</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20.3</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Asset impairment and write-offs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Amortization of bridge financing debt issuance costs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9.0</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Pension and other post-retirement (income) expense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Pension and other post-retirement contributions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(8.8)</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(9.4)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(Gain) loss on sale of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r>
      <w:tr>
        <w:trPr>
          <w:trHeight w:val="158"/>
        </w:trPr>
        <w:tc>
          <w:tcPr>
            <w:tcW w:w="7640" w:type="dxa"/>
            <w:vAlign w:val="bottom"/>
          </w:tcPr>
          <w:p>
            <w:pPr>
              <w:ind w:left="20"/>
              <w:spacing w:after="0"/>
              <w:rPr>
                <w:sz w:val="20"/>
                <w:szCs w:val="20"/>
                <w:color w:val="auto"/>
              </w:rPr>
            </w:pPr>
            <w:r>
              <w:rPr>
                <w:rFonts w:ascii="Arial" w:cs="Arial" w:eastAsia="Arial" w:hAnsi="Arial"/>
                <w:sz w:val="12"/>
                <w:szCs w:val="12"/>
                <w:b w:val="1"/>
                <w:bCs w:val="1"/>
                <w:color w:val="auto"/>
              </w:rPr>
              <w:t>Changes in assets and liabilities, net of effects of business acquisitions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0"/>
        </w:trPr>
        <w:tc>
          <w:tcPr>
            <w:tcW w:w="7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Accounts receivable</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30.4</w:t>
            </w: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(142.0)</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w:t>
            </w:r>
          </w:p>
        </w:tc>
      </w:tr>
      <w:tr>
        <w:trPr>
          <w:trHeight w:val="156"/>
        </w:trPr>
        <w:tc>
          <w:tcPr>
            <w:tcW w:w="7640" w:type="dxa"/>
            <w:vAlign w:val="bottom"/>
          </w:tcPr>
          <w:p>
            <w:pPr>
              <w:ind w:left="280"/>
              <w:spacing w:after="0"/>
              <w:rPr>
                <w:sz w:val="20"/>
                <w:szCs w:val="20"/>
                <w:color w:val="auto"/>
              </w:rPr>
            </w:pPr>
            <w:r>
              <w:rPr>
                <w:rFonts w:ascii="Arial" w:cs="Arial" w:eastAsia="Arial" w:hAnsi="Arial"/>
                <w:sz w:val="12"/>
                <w:szCs w:val="12"/>
                <w:color w:val="auto"/>
              </w:rPr>
              <w:t>Inventories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(187.0)</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(121.4)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(29.1)</w:t>
            </w:r>
          </w:p>
        </w:tc>
      </w:tr>
      <w:tr>
        <w:trPr>
          <w:trHeight w:val="162"/>
        </w:trPr>
        <w:tc>
          <w:tcPr>
            <w:tcW w:w="7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Other current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r>
      <w:tr>
        <w:trPr>
          <w:trHeight w:val="156"/>
        </w:trPr>
        <w:tc>
          <w:tcPr>
            <w:tcW w:w="7640" w:type="dxa"/>
            <w:vAlign w:val="bottom"/>
          </w:tcPr>
          <w:p>
            <w:pPr>
              <w:ind w:left="280"/>
              <w:spacing w:after="0"/>
              <w:rPr>
                <w:sz w:val="20"/>
                <w:szCs w:val="20"/>
                <w:color w:val="auto"/>
              </w:rPr>
            </w:pPr>
            <w:r>
              <w:rPr>
                <w:rFonts w:ascii="Arial" w:cs="Arial" w:eastAsia="Arial" w:hAnsi="Arial"/>
                <w:sz w:val="12"/>
                <w:szCs w:val="12"/>
                <w:color w:val="auto"/>
              </w:rPr>
              <w:t>Accounts payable</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(56.9)</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114.2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(81.9)</w:t>
            </w:r>
          </w:p>
        </w:tc>
      </w:tr>
      <w:tr>
        <w:trPr>
          <w:trHeight w:val="162"/>
        </w:trPr>
        <w:tc>
          <w:tcPr>
            <w:tcW w:w="7640" w:type="dxa"/>
            <w:vAlign w:val="bottom"/>
            <w:shd w:val="clear" w:color="auto" w:fill="CCEEFF"/>
          </w:tcPr>
          <w:p>
            <w:pPr>
              <w:ind w:left="280"/>
              <w:spacing w:after="0"/>
              <w:rPr>
                <w:sz w:val="20"/>
                <w:szCs w:val="20"/>
                <w:color w:val="auto"/>
              </w:rPr>
            </w:pPr>
            <w:r>
              <w:rPr>
                <w:rFonts w:ascii="Arial" w:cs="Arial" w:eastAsia="Arial" w:hAnsi="Arial"/>
                <w:sz w:val="12"/>
                <w:szCs w:val="12"/>
                <w:color w:val="auto"/>
              </w:rPr>
              <w:t>Employee compensation and benefits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w:t>
            </w:r>
          </w:p>
        </w:tc>
      </w:tr>
      <w:tr>
        <w:trPr>
          <w:trHeight w:val="156"/>
        </w:trPr>
        <w:tc>
          <w:tcPr>
            <w:tcW w:w="7640" w:type="dxa"/>
            <w:vAlign w:val="bottom"/>
          </w:tcPr>
          <w:p>
            <w:pPr>
              <w:ind w:left="280"/>
              <w:spacing w:after="0"/>
              <w:rPr>
                <w:sz w:val="20"/>
                <w:szCs w:val="20"/>
                <w:color w:val="auto"/>
              </w:rPr>
            </w:pPr>
            <w:r>
              <w:rPr>
                <w:rFonts w:ascii="Arial" w:cs="Arial" w:eastAsia="Arial" w:hAnsi="Arial"/>
                <w:sz w:val="12"/>
                <w:szCs w:val="12"/>
                <w:color w:val="auto"/>
              </w:rPr>
              <w:t>Other current liabilities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46.5</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116.2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32.0</w:t>
            </w:r>
          </w:p>
        </w:tc>
      </w:tr>
      <w:tr>
        <w:trPr>
          <w:trHeight w:val="159"/>
        </w:trPr>
        <w:tc>
          <w:tcPr>
            <w:tcW w:w="76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2"/>
                <w:szCs w:val="12"/>
                <w:color w:val="auto"/>
              </w:rPr>
              <w:t>Other non-current assets and liabilities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w:t>
            </w:r>
          </w:p>
        </w:tc>
      </w:tr>
      <w:tr>
        <w:trPr>
          <w:trHeight w:val="150"/>
        </w:trPr>
        <w:tc>
          <w:tcPr>
            <w:tcW w:w="7640" w:type="dxa"/>
            <w:vAlign w:val="bottom"/>
          </w:tcPr>
          <w:p>
            <w:pPr>
              <w:ind w:left="400"/>
              <w:spacing w:after="0"/>
              <w:rPr>
                <w:sz w:val="20"/>
                <w:szCs w:val="20"/>
                <w:color w:val="auto"/>
              </w:rPr>
            </w:pPr>
            <w:r>
              <w:rPr>
                <w:rFonts w:ascii="Arial" w:cs="Arial" w:eastAsia="Arial" w:hAnsi="Arial"/>
                <w:sz w:val="12"/>
                <w:szCs w:val="12"/>
                <w:color w:val="auto"/>
              </w:rPr>
              <w:t>Net cash provided by operating activities of continuing operations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364.3</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613.6</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574.2</w:t>
            </w:r>
          </w:p>
        </w:tc>
      </w:tr>
      <w:tr>
        <w:trPr>
          <w:trHeight w:val="159"/>
        </w:trPr>
        <w:tc>
          <w:tcPr>
            <w:tcW w:w="76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rPr>
              <w:t>Net cash used for operating activities of discontinued operations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(0.6)</w:t>
            </w:r>
          </w:p>
        </w:tc>
      </w:tr>
      <w:tr>
        <w:trPr>
          <w:trHeight w:val="150"/>
        </w:trPr>
        <w:tc>
          <w:tcPr>
            <w:tcW w:w="7640" w:type="dxa"/>
            <w:vAlign w:val="bottom"/>
          </w:tcPr>
          <w:p>
            <w:pPr>
              <w:ind w:left="400"/>
              <w:spacing w:after="0"/>
              <w:rPr>
                <w:sz w:val="20"/>
                <w:szCs w:val="20"/>
                <w:color w:val="auto"/>
              </w:rPr>
            </w:pPr>
            <w:r>
              <w:rPr>
                <w:rFonts w:ascii="Arial" w:cs="Arial" w:eastAsia="Arial" w:hAnsi="Arial"/>
                <w:sz w:val="12"/>
                <w:szCs w:val="12"/>
                <w:color w:val="auto"/>
              </w:rPr>
              <w:t>Net cash provided by operating activities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363.3</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613.2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573.6</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(85.2)</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(60.2)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(62.2)</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sale of property and equipment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Proceeds from sale of businesses, net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Acquisitions, net of cash acquired</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(1,580.9)</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(338.5)</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(58.0)</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Settlement of net investment hedges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78.9</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50"/>
        </w:trPr>
        <w:tc>
          <w:tcPr>
            <w:tcW w:w="7640" w:type="dxa"/>
            <w:vAlign w:val="bottom"/>
          </w:tcPr>
          <w:p>
            <w:pPr>
              <w:ind w:left="400"/>
              <w:spacing w:after="0"/>
              <w:rPr>
                <w:sz w:val="20"/>
                <w:szCs w:val="20"/>
                <w:color w:val="auto"/>
              </w:rPr>
            </w:pPr>
            <w:r>
              <w:rPr>
                <w:rFonts w:ascii="Arial" w:cs="Arial" w:eastAsia="Arial" w:hAnsi="Arial"/>
                <w:sz w:val="12"/>
                <w:szCs w:val="12"/>
                <w:color w:val="auto"/>
              </w:rPr>
              <w:t>Net cash used for investing activities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(1,582.8)</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(390.7)</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(117.9)</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Net borrowings (repayments) of revolving long-term debt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124.5</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159.4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(117.5)</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Proceeds from long-term debt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1,391.3</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Repayment of long-term debt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(88.3)</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(103.8)</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(74.0)</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Debt issuance costs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Shares issued to employees, net of shares withheld</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32.9</w:t>
            </w:r>
          </w:p>
        </w:tc>
      </w:tr>
      <w:tr>
        <w:trPr>
          <w:trHeight w:val="162"/>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Repurchases of ordinary shares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w:t>
            </w: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(150.2)</w:t>
            </w:r>
          </w:p>
        </w:tc>
      </w:tr>
      <w:tr>
        <w:trPr>
          <w:trHeight w:val="156"/>
        </w:trPr>
        <w:tc>
          <w:tcPr>
            <w:tcW w:w="7640" w:type="dxa"/>
            <w:vAlign w:val="bottom"/>
          </w:tcPr>
          <w:p>
            <w:pPr>
              <w:ind w:left="20"/>
              <w:spacing w:after="0"/>
              <w:rPr>
                <w:sz w:val="20"/>
                <w:szCs w:val="20"/>
                <w:color w:val="auto"/>
              </w:rPr>
            </w:pPr>
            <w:r>
              <w:rPr>
                <w:rFonts w:ascii="Arial" w:cs="Arial" w:eastAsia="Arial" w:hAnsi="Arial"/>
                <w:sz w:val="12"/>
                <w:szCs w:val="12"/>
                <w:color w:val="auto"/>
              </w:rPr>
              <w:t>Dividends paid</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(138.6)</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(127.1)</w:t>
            </w:r>
          </w:p>
        </w:tc>
      </w:tr>
      <w:tr>
        <w:trPr>
          <w:trHeight w:val="159"/>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Receipts (payments) upon the settlement of cross currency swaps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7640" w:type="dxa"/>
            <w:vAlign w:val="bottom"/>
          </w:tcPr>
          <w:p>
            <w:pPr>
              <w:ind w:left="400"/>
              <w:spacing w:after="0"/>
              <w:rPr>
                <w:sz w:val="20"/>
                <w:szCs w:val="20"/>
                <w:color w:val="auto"/>
              </w:rPr>
            </w:pPr>
            <w:r>
              <w:rPr>
                <w:rFonts w:ascii="Arial" w:cs="Arial" w:eastAsia="Arial" w:hAnsi="Arial"/>
                <w:sz w:val="12"/>
                <w:szCs w:val="12"/>
                <w:color w:val="auto"/>
              </w:rPr>
              <w:t>Net cash provided by (used for) financing activities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1,232.7</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(222.2)</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(435.9)</w:t>
            </w:r>
          </w:p>
        </w:tc>
      </w:tr>
      <w:tr>
        <w:trPr>
          <w:trHeight w:val="161"/>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Effect of exchange rate changes on cash and cash equivalents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3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(20.2)</w:t>
            </w:r>
          </w:p>
        </w:tc>
      </w:tr>
      <w:tr>
        <w:trPr>
          <w:trHeight w:val="150"/>
        </w:trPr>
        <w:tc>
          <w:tcPr>
            <w:tcW w:w="7640" w:type="dxa"/>
            <w:vAlign w:val="bottom"/>
          </w:tcPr>
          <w:p>
            <w:pPr>
              <w:ind w:left="20"/>
              <w:spacing w:after="0"/>
              <w:rPr>
                <w:sz w:val="20"/>
                <w:szCs w:val="20"/>
                <w:color w:val="auto"/>
              </w:rPr>
            </w:pPr>
            <w:r>
              <w:rPr>
                <w:rFonts w:ascii="Arial" w:cs="Arial" w:eastAsia="Arial" w:hAnsi="Arial"/>
                <w:sz w:val="12"/>
                <w:szCs w:val="12"/>
                <w:b w:val="1"/>
                <w:bCs w:val="1"/>
                <w:color w:val="auto"/>
              </w:rPr>
              <w:t>Change in cash and cash equivalents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14.4</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12.4</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57"/>
        </w:trPr>
        <w:tc>
          <w:tcPr>
            <w:tcW w:w="7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beginning of year</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94.5</w:t>
            </w:r>
          </w:p>
        </w:tc>
        <w:tc>
          <w:tcPr>
            <w:tcW w:w="2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82.1</w:t>
            </w:r>
          </w:p>
        </w:tc>
        <w:tc>
          <w:tcPr>
            <w:tcW w:w="3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82.5</w:t>
            </w:r>
          </w:p>
        </w:tc>
      </w:tr>
      <w:tr>
        <w:trPr>
          <w:trHeight w:val="152"/>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and cash equivalents, end of year</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108.9</w:t>
            </w: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82.1</w:t>
            </w:r>
          </w:p>
        </w:tc>
      </w:tr>
      <w:tr>
        <w:trPr>
          <w:trHeight w:val="20"/>
        </w:trPr>
        <w:tc>
          <w:tcPr>
            <w:tcW w:w="7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2"/>
        </w:trPr>
        <w:tc>
          <w:tcPr>
            <w:tcW w:w="7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227"/>
        </w:trPr>
        <w:tc>
          <w:tcPr>
            <w:tcW w:w="7640" w:type="dxa"/>
            <w:vAlign w:val="bottom"/>
          </w:tcPr>
          <w:p>
            <w:pPr>
              <w:ind w:left="20"/>
              <w:spacing w:after="0"/>
              <w:rPr>
                <w:sz w:val="20"/>
                <w:szCs w:val="20"/>
                <w:color w:val="auto"/>
              </w:rPr>
            </w:pPr>
            <w:r>
              <w:rPr>
                <w:rFonts w:ascii="Arial" w:cs="Arial" w:eastAsia="Arial" w:hAnsi="Arial"/>
                <w:sz w:val="12"/>
                <w:szCs w:val="12"/>
                <w:b w:val="1"/>
                <w:bCs w:val="1"/>
                <w:color w:val="auto"/>
              </w:rPr>
              <w:t>Supplemental disclosure of cash flow information:</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81"/>
        </w:trPr>
        <w:tc>
          <w:tcPr>
            <w:tcW w:w="7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r>
      <w:tr>
        <w:trPr>
          <w:trHeight w:val="159"/>
        </w:trPr>
        <w:tc>
          <w:tcPr>
            <w:tcW w:w="7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paid for interest, net</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41.0</w:t>
            </w:r>
          </w:p>
        </w:tc>
      </w:tr>
      <w:tr>
        <w:trPr>
          <w:trHeight w:val="153"/>
        </w:trPr>
        <w:tc>
          <w:tcPr>
            <w:tcW w:w="7640" w:type="dxa"/>
            <w:vAlign w:val="bottom"/>
          </w:tcPr>
          <w:p>
            <w:pPr>
              <w:ind w:left="20"/>
              <w:spacing w:after="0"/>
              <w:rPr>
                <w:sz w:val="20"/>
                <w:szCs w:val="20"/>
                <w:color w:val="auto"/>
              </w:rPr>
            </w:pPr>
            <w:r>
              <w:rPr>
                <w:rFonts w:ascii="Arial" w:cs="Arial" w:eastAsia="Arial" w:hAnsi="Arial"/>
                <w:sz w:val="12"/>
                <w:szCs w:val="12"/>
                <w:color w:val="auto"/>
              </w:rPr>
              <w:t>Cash paid for income taxes, net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122.6</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71.8</w:t>
            </w:r>
          </w:p>
        </w:tc>
        <w:tc>
          <w:tcPr>
            <w:tcW w:w="3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67.7</w:t>
            </w:r>
          </w:p>
        </w:tc>
      </w:tr>
    </w:tbl>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See accompanying notes to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695" w:right="33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4"/>
          <w:szCs w:val="14"/>
          <w:b w:val="1"/>
          <w:bCs w:val="1"/>
          <w:color w:val="auto"/>
        </w:rPr>
        <w:t>Pentair plc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Changes in Equity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000" w:type="dxa"/>
            <w:vAlign w:val="bottom"/>
            <w:tcBorders>
              <w:bottom w:val="single" w:sz="8" w:color="auto"/>
            </w:tcBorders>
            <w:gridSpan w:val="2"/>
          </w:tcPr>
          <w:p>
            <w:pPr>
              <w:jc w:val="right"/>
              <w:ind w:right="356"/>
              <w:spacing w:after="0"/>
              <w:rPr>
                <w:sz w:val="20"/>
                <w:szCs w:val="20"/>
                <w:color w:val="auto"/>
              </w:rPr>
            </w:pPr>
            <w:r>
              <w:rPr>
                <w:rFonts w:ascii="Arial" w:cs="Arial" w:eastAsia="Arial" w:hAnsi="Arial"/>
                <w:sz w:val="13"/>
                <w:szCs w:val="13"/>
                <w:b w:val="1"/>
                <w:bCs w:val="1"/>
                <w:color w:val="auto"/>
              </w:rPr>
              <w:t>Ordinary shares</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ind w:right="17"/>
              <w:spacing w:after="0"/>
              <w:rPr>
                <w:sz w:val="20"/>
                <w:szCs w:val="20"/>
                <w:color w:val="auto"/>
              </w:rPr>
            </w:pPr>
            <w:r>
              <w:rPr>
                <w:rFonts w:ascii="Arial" w:cs="Arial" w:eastAsia="Arial" w:hAnsi="Arial"/>
                <w:sz w:val="13"/>
                <w:szCs w:val="13"/>
                <w:b w:val="1"/>
                <w:bCs w:val="1"/>
                <w:color w:val="auto"/>
                <w:w w:val="88"/>
              </w:rPr>
              <w:t>Accumulated other</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4200" w:type="dxa"/>
            <w:vAlign w:val="bottom"/>
            <w:vMerge w:val="restart"/>
          </w:tcPr>
          <w:p>
            <w:pPr>
              <w:ind w:left="140"/>
              <w:spacing w:after="0"/>
              <w:rPr>
                <w:sz w:val="20"/>
                <w:szCs w:val="20"/>
                <w:color w:val="auto"/>
              </w:rPr>
            </w:pPr>
            <w:r>
              <w:rPr>
                <w:rFonts w:ascii="Arial" w:cs="Arial" w:eastAsia="Arial" w:hAnsi="Arial"/>
                <w:sz w:val="13"/>
                <w:szCs w:val="13"/>
                <w:i w:val="1"/>
                <w:iCs w:val="1"/>
                <w:color w:val="auto"/>
              </w:rPr>
              <w:t>In millions</w:t>
            </w:r>
          </w:p>
        </w:tc>
        <w:tc>
          <w:tcPr>
            <w:tcW w:w="1140" w:type="dxa"/>
            <w:vAlign w:val="bottom"/>
            <w:vMerge w:val="restart"/>
          </w:tcPr>
          <w:p>
            <w:pPr>
              <w:jc w:val="right"/>
              <w:ind w:right="276"/>
              <w:spacing w:after="0"/>
              <w:rPr>
                <w:sz w:val="20"/>
                <w:szCs w:val="20"/>
                <w:color w:val="auto"/>
              </w:rPr>
            </w:pPr>
            <w:r>
              <w:rPr>
                <w:rFonts w:ascii="Arial" w:cs="Arial" w:eastAsia="Arial" w:hAnsi="Arial"/>
                <w:sz w:val="13"/>
                <w:szCs w:val="13"/>
                <w:b w:val="1"/>
                <w:bCs w:val="1"/>
                <w:color w:val="auto"/>
              </w:rPr>
              <w:t>Number</w:t>
            </w: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9"/>
                <w:szCs w:val="9"/>
                <w:color w:val="auto"/>
              </w:rPr>
            </w:pPr>
          </w:p>
        </w:tc>
        <w:tc>
          <w:tcPr>
            <w:tcW w:w="1120" w:type="dxa"/>
            <w:vAlign w:val="bottom"/>
            <w:gridSpan w:val="2"/>
          </w:tcPr>
          <w:p>
            <w:pPr>
              <w:jc w:val="right"/>
              <w:spacing w:after="0" w:line="107" w:lineRule="exact"/>
              <w:rPr>
                <w:sz w:val="20"/>
                <w:szCs w:val="20"/>
                <w:color w:val="auto"/>
              </w:rPr>
            </w:pPr>
            <w:r>
              <w:rPr>
                <w:rFonts w:ascii="Arial" w:cs="Arial" w:eastAsia="Arial" w:hAnsi="Arial"/>
                <w:sz w:val="12"/>
                <w:szCs w:val="12"/>
                <w:b w:val="1"/>
                <w:bCs w:val="1"/>
                <w:color w:val="auto"/>
              </w:rPr>
              <w:t>Additional paid-in</w:t>
            </w:r>
          </w:p>
        </w:tc>
        <w:tc>
          <w:tcPr>
            <w:tcW w:w="11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4"/>
              </w:rPr>
              <w:t>Retained earnings</w:t>
            </w:r>
          </w:p>
        </w:tc>
        <w:tc>
          <w:tcPr>
            <w:tcW w:w="100" w:type="dxa"/>
            <w:vAlign w:val="bottom"/>
          </w:tcPr>
          <w:p>
            <w:pPr>
              <w:spacing w:after="0"/>
              <w:rPr>
                <w:sz w:val="9"/>
                <w:szCs w:val="9"/>
                <w:color w:val="auto"/>
              </w:rPr>
            </w:pPr>
          </w:p>
        </w:tc>
        <w:tc>
          <w:tcPr>
            <w:tcW w:w="1360" w:type="dxa"/>
            <w:vAlign w:val="bottom"/>
          </w:tcPr>
          <w:p>
            <w:pPr>
              <w:jc w:val="center"/>
              <w:ind w:right="17"/>
              <w:spacing w:after="0" w:line="107" w:lineRule="exact"/>
              <w:rPr>
                <w:sz w:val="20"/>
                <w:szCs w:val="20"/>
                <w:color w:val="auto"/>
              </w:rPr>
            </w:pPr>
            <w:r>
              <w:rPr>
                <w:rFonts w:ascii="Arial" w:cs="Arial" w:eastAsia="Arial" w:hAnsi="Arial"/>
                <w:sz w:val="12"/>
                <w:szCs w:val="12"/>
                <w:b w:val="1"/>
                <w:bCs w:val="1"/>
                <w:color w:val="auto"/>
                <w:w w:val="92"/>
              </w:rPr>
              <w:t>comprehensive income</w:t>
            </w:r>
          </w:p>
        </w:tc>
        <w:tc>
          <w:tcPr>
            <w:tcW w:w="260" w:type="dxa"/>
            <w:vAlign w:val="bottom"/>
          </w:tcPr>
          <w:p>
            <w:pPr>
              <w:spacing w:after="0"/>
              <w:rPr>
                <w:sz w:val="9"/>
                <w:szCs w:val="9"/>
                <w:color w:val="auto"/>
              </w:rPr>
            </w:pPr>
          </w:p>
        </w:tc>
        <w:tc>
          <w:tcPr>
            <w:tcW w:w="800" w:type="dxa"/>
            <w:vAlign w:val="bottom"/>
            <w:vMerge w:val="restart"/>
          </w:tcPr>
          <w:p>
            <w:pPr>
              <w:jc w:val="right"/>
              <w:ind w:right="296"/>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420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b w:val="1"/>
                <w:bCs w:val="1"/>
                <w:color w:val="auto"/>
              </w:rPr>
              <w:t>capital</w:t>
            </w:r>
          </w:p>
        </w:tc>
        <w:tc>
          <w:tcPr>
            <w:tcW w:w="11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80"/>
              </w:rPr>
              <w:t>(loss)</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20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Balance - December 31, 2019</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w:t>
            </w:r>
          </w:p>
        </w:tc>
        <w:tc>
          <w:tcPr>
            <w:tcW w:w="860" w:type="dxa"/>
            <w:vAlign w:val="bottom"/>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1,777.7</w:t>
            </w:r>
          </w:p>
        </w:tc>
        <w:tc>
          <w:tcPr>
            <w:tcW w:w="400" w:type="dxa"/>
            <w:vAlign w:val="bottom"/>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(226.5)</w:t>
            </w:r>
          </w:p>
        </w:tc>
        <w:tc>
          <w:tcPr>
            <w:tcW w:w="26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1,953.9</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358.6</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358.6</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Dividends declared</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(128.4)</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(150.2)</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Exercise of options, net of shares tendered for payment</w:t>
            </w:r>
          </w:p>
        </w:tc>
        <w:tc>
          <w:tcPr>
            <w:tcW w:w="1140" w:type="dxa"/>
            <w:vAlign w:val="bottom"/>
          </w:tcPr>
          <w:p>
            <w:pPr>
              <w:jc w:val="right"/>
              <w:spacing w:after="0"/>
              <w:rPr>
                <w:sz w:val="20"/>
                <w:szCs w:val="20"/>
                <w:color w:val="auto"/>
              </w:rPr>
            </w:pPr>
            <w:r>
              <w:rPr>
                <w:rFonts w:ascii="Arial" w:cs="Arial" w:eastAsia="Arial" w:hAnsi="Arial"/>
                <w:sz w:val="13"/>
                <w:szCs w:val="13"/>
                <w:color w:val="auto"/>
              </w:rPr>
              <w:t>1.3</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37.6</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37.6</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Shares surrendered by employees to pay taxes</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4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6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Balance - December 31, 2020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166.1</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1,680.7</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(207.3)</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2,106.3</w:t>
            </w:r>
          </w:p>
        </w:tc>
        <w:tc>
          <w:tcPr>
            <w:tcW w:w="0" w:type="dxa"/>
            <w:vAlign w:val="bottom"/>
          </w:tcPr>
          <w:p>
            <w:pPr>
              <w:spacing w:after="0"/>
              <w:rPr>
                <w:sz w:val="1"/>
                <w:szCs w:val="1"/>
                <w:color w:val="auto"/>
              </w:rPr>
            </w:pPr>
          </w:p>
        </w:tc>
      </w:tr>
      <w:tr>
        <w:trPr>
          <w:trHeight w:val="163"/>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553.0</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553.0</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(6.6)</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Dividends declared</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(132.8)</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Share repurchases</w:t>
            </w:r>
          </w:p>
        </w:tc>
        <w:tc>
          <w:tcPr>
            <w:tcW w:w="1140" w:type="dxa"/>
            <w:vAlign w:val="bottom"/>
          </w:tcPr>
          <w:p>
            <w:pPr>
              <w:jc w:val="right"/>
              <w:spacing w:after="0"/>
              <w:rPr>
                <w:sz w:val="20"/>
                <w:szCs w:val="20"/>
                <w:color w:val="auto"/>
              </w:rPr>
            </w:pPr>
            <w:r>
              <w:rPr>
                <w:rFonts w:ascii="Arial" w:cs="Arial" w:eastAsia="Arial" w:hAnsi="Arial"/>
                <w:sz w:val="13"/>
                <w:szCs w:val="13"/>
                <w:color w:val="auto"/>
              </w:rPr>
              <w:t>(2.1)</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(150.0)</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(150.0)</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Exercise of options, net of shares tendered for payment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Issuance of restricted shares, net of cancellations</w:t>
            </w:r>
          </w:p>
        </w:tc>
        <w:tc>
          <w:tcPr>
            <w:tcW w:w="1140" w:type="dxa"/>
            <w:vAlign w:val="bottom"/>
          </w:tcPr>
          <w:p>
            <w:pPr>
              <w:jc w:val="right"/>
              <w:spacing w:after="0"/>
              <w:rPr>
                <w:sz w:val="20"/>
                <w:szCs w:val="20"/>
                <w:color w:val="auto"/>
              </w:rPr>
            </w:pPr>
            <w:r>
              <w:rPr>
                <w:rFonts w:ascii="Arial" w:cs="Arial" w:eastAsia="Arial" w:hAnsi="Arial"/>
                <w:sz w:val="13"/>
                <w:szCs w:val="13"/>
                <w:color w:val="auto"/>
              </w:rPr>
              <w:t>0.3</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surrendered by employees to pay taxes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8"/>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Share-based compensation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4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0" w:type="dxa"/>
            <w:vAlign w:val="bottom"/>
          </w:tcPr>
          <w:p>
            <w:pPr>
              <w:spacing w:after="0"/>
              <w:rPr>
                <w:sz w:val="1"/>
                <w:szCs w:val="1"/>
                <w:color w:val="auto"/>
              </w:rPr>
            </w:pPr>
          </w:p>
        </w:tc>
      </w:tr>
      <w:tr>
        <w:trPr>
          <w:trHeight w:val="160"/>
        </w:trPr>
        <w:tc>
          <w:tcPr>
            <w:tcW w:w="4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3"/>
                <w:szCs w:val="13"/>
                <w:b w:val="1"/>
                <w:bCs w:val="1"/>
                <w:color w:val="auto"/>
              </w:rPr>
              <w:t>Balance - December 31, 2021</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165.1</w:t>
            </w:r>
          </w:p>
        </w:tc>
        <w:tc>
          <w:tcPr>
            <w:tcW w:w="86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1,582.7</w:t>
            </w:r>
          </w:p>
        </w:tc>
        <w:tc>
          <w:tcPr>
            <w:tcW w:w="4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1,051.4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(213.9)</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2,421.9</w:t>
            </w:r>
          </w:p>
        </w:tc>
        <w:tc>
          <w:tcPr>
            <w:tcW w:w="0" w:type="dxa"/>
            <w:vAlign w:val="bottom"/>
          </w:tcPr>
          <w:p>
            <w:pPr>
              <w:spacing w:after="0"/>
              <w:rPr>
                <w:sz w:val="1"/>
                <w:szCs w:val="1"/>
                <w:color w:val="auto"/>
              </w:rPr>
            </w:pPr>
          </w:p>
        </w:tc>
      </w:tr>
      <w:tr>
        <w:trPr>
          <w:trHeight w:val="160"/>
        </w:trPr>
        <w:tc>
          <w:tcPr>
            <w:tcW w:w="4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480.9</w:t>
            </w:r>
          </w:p>
        </w:tc>
        <w:tc>
          <w:tcPr>
            <w:tcW w:w="10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480.9</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 net of tax</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Dividends declared</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(141.8)</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 repurchases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Exercise of options, net of shares tendered for payment</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2"/>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shares, net of cancellations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4200" w:type="dxa"/>
            <w:vAlign w:val="bottom"/>
          </w:tcPr>
          <w:p>
            <w:pPr>
              <w:ind w:left="20"/>
              <w:spacing w:after="0"/>
              <w:rPr>
                <w:sz w:val="20"/>
                <w:szCs w:val="20"/>
                <w:color w:val="auto"/>
              </w:rPr>
            </w:pPr>
            <w:r>
              <w:rPr>
                <w:rFonts w:ascii="Arial" w:cs="Arial" w:eastAsia="Arial" w:hAnsi="Arial"/>
                <w:sz w:val="13"/>
                <w:szCs w:val="13"/>
                <w:color w:val="auto"/>
              </w:rPr>
              <w:t>Shares surrendered by employees to pay taxes</w:t>
            </w:r>
          </w:p>
        </w:tc>
        <w:tc>
          <w:tcPr>
            <w:tcW w:w="1140" w:type="dxa"/>
            <w:vAlign w:val="bottom"/>
          </w:tcPr>
          <w:p>
            <w:pPr>
              <w:jc w:val="right"/>
              <w:spacing w:after="0"/>
              <w:rPr>
                <w:sz w:val="20"/>
                <w:szCs w:val="20"/>
                <w:color w:val="auto"/>
              </w:rPr>
            </w:pPr>
            <w:r>
              <w:rPr>
                <w:rFonts w:ascii="Arial" w:cs="Arial" w:eastAsia="Arial" w:hAnsi="Arial"/>
                <w:sz w:val="13"/>
                <w:szCs w:val="13"/>
                <w:color w:val="auto"/>
              </w:rPr>
              <w:t>(0.1)</w:t>
            </w:r>
          </w:p>
        </w:tc>
        <w:tc>
          <w:tcPr>
            <w:tcW w:w="8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w:t>
            </w: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0"/>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Share-based compensation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4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60"/>
        </w:trPr>
        <w:tc>
          <w:tcPr>
            <w:tcW w:w="42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Balance - December 31,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164.5</w:t>
            </w:r>
          </w:p>
        </w:tc>
        <w:tc>
          <w:tcPr>
            <w:tcW w:w="860" w:type="dxa"/>
            <w:vAlign w:val="bottom"/>
            <w:tcBorders>
              <w:bottom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1,554.9</w:t>
            </w:r>
          </w:p>
        </w:tc>
        <w:tc>
          <w:tcPr>
            <w:tcW w:w="40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1,390.5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(239.0)</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2,708.1</w:t>
            </w:r>
          </w:p>
        </w:tc>
        <w:tc>
          <w:tcPr>
            <w:tcW w:w="0" w:type="dxa"/>
            <w:vAlign w:val="bottom"/>
          </w:tcPr>
          <w:p>
            <w:pPr>
              <w:spacing w:after="0"/>
              <w:rPr>
                <w:sz w:val="1"/>
                <w:szCs w:val="1"/>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0" w:lineRule="exact"/>
        <w:rPr>
          <w:sz w:val="20"/>
          <w:szCs w:val="20"/>
          <w:color w:val="auto"/>
        </w:rPr>
      </w:pPr>
    </w:p>
    <w:p>
      <w:pPr>
        <w:ind w:right="6540" w:firstLine="5"/>
        <w:spacing w:after="0" w:line="263" w:lineRule="auto"/>
        <w:tabs>
          <w:tab w:leader="none" w:pos="509"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Basis of Presentation and Summary of Significant Accounting Policies </w:t>
      </w:r>
      <w:r>
        <w:rPr>
          <w:rFonts w:ascii="Arial" w:cs="Arial" w:eastAsia="Arial" w:hAnsi="Arial"/>
          <w:sz w:val="14"/>
          <w:szCs w:val="14"/>
          <w:b w:val="1"/>
          <w:bCs w:val="1"/>
          <w:i w:val="1"/>
          <w:iCs w:val="1"/>
          <w:color w:val="auto"/>
        </w:rPr>
        <w:t>Business</w:t>
      </w:r>
    </w:p>
    <w:p>
      <w:pPr>
        <w:spacing w:after="0" w:line="266" w:lineRule="auto"/>
        <w:rPr>
          <w:rFonts w:ascii="Arial" w:cs="Arial" w:eastAsia="Arial" w:hAnsi="Arial"/>
          <w:sz w:val="14"/>
          <w:szCs w:val="14"/>
          <w:b w:val="1"/>
          <w:bCs w:val="1"/>
          <w:color w:val="auto"/>
        </w:rPr>
      </w:pPr>
      <w:r>
        <w:rPr>
          <w:rFonts w:ascii="Arial" w:cs="Arial" w:eastAsia="Arial" w:hAnsi="Arial"/>
          <w:sz w:val="14"/>
          <w:szCs w:val="14"/>
          <w:color w:val="auto"/>
        </w:rPr>
        <w:t>Pentair plc and its consolidated subsidiaries (“we,” “us,” “our,” “Pentair” or the “Company”) is a water industrial manufacturing company comprised of two reporting segments: Consumer Solutions and Industrial &amp; Flow Technologies.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March 2020, the World Health Organization declared the novel coronavirus 2019 (“COVID-19”) a global pandemic. The COVID-19 pandemic has had and may continue to have an unfavorable impact on certain parts of our business. The broader implications of the COVID-19 pandemic on our business, financial condition and results of operations remain uncertain and will depend on certain developments, including the duration and severity of the COVID-19 pandemic, the impact of virus variants, the effectiveness of vaccinations, the COVID-19 pandemic’s impact on our customers and suppliers and the range of governmental and community reactions to the pandemic. We may continue to experience reduced customer demand in certain parts of our business or constrained labor and/or supply that could materially and adversely impact our business, financial condition, results of operations, liquidity and cash flows in future periods.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accompanying consolidated financial statements include the accounts of Pentair plc, its wholly-owned subsidiaries and entities for which the Company has a controlling financial interest.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auto"/>
        </w:rPr>
        <w:t>The consolidated financial statements have been prepared in U.S. dollars (“USD”) and in accordance with accounting principles generally accepted in the United States (“U.S.”) (“U.S. GAAP”).</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Fiscal year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Our fiscal year ends on December 31. We report our interim quarterly periods on a calendar quarter basis.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preparation of our consolidated financial statements in conformity with U.S.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percentage of completion revenue recognition, assets acquired and liabilities assumed in acquisitions, estimated selling proceeds from assets held for sale, contingent liabilities, income taxes and pension and other post-retirement benefits. Actual results could differ from our estimates.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Revenue is recognized when control of the promised goods or services is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obligations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Our performance obligations are satisfied at a point in time or over time as work progresses. Revenue from goods and services transferred to customers at a point in time accounted for 91.7%, 91.9% and 92.2% of our revenue for the years ended December 31, 2022, 2021 and 2020, respectively. Revenue on these contracts is recognized when obligations under the terms of the contract with our customer are satisfied; generally this occurs with the transfer of control upon shipment.</w:t>
      </w:r>
    </w:p>
    <w:p>
      <w:pPr>
        <w:spacing w:after="0" w:line="9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Revenue from products and services transferred to customers over time accounted for 8.3%, 8.1% and 7.8% of our revenue for the years ended December 31, 2022, 2021 and 2020,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9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On December 31, 2022, we had $109.7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returns</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Pricing and sales incentives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0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0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Shipping and handling costs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4"/>
          <w:szCs w:val="14"/>
          <w:i w:val="1"/>
          <w:iCs w:val="1"/>
          <w:color w:val="auto"/>
        </w:rPr>
        <w:t>Net sales</w:t>
      </w:r>
      <w:r>
        <w:rPr>
          <w:rFonts w:ascii="Arial" w:cs="Arial" w:eastAsia="Arial" w:hAnsi="Arial"/>
          <w:sz w:val="14"/>
          <w:szCs w:val="14"/>
          <w:color w:val="auto"/>
        </w:rPr>
        <w:t xml:space="preserve"> in the accompanying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4"/>
          <w:szCs w:val="14"/>
          <w:i w:val="1"/>
          <w:iCs w:val="1"/>
          <w:color w:val="auto"/>
        </w:rPr>
        <w:t>Cost of goods sold</w:t>
      </w:r>
      <w:r>
        <w:rPr>
          <w:rFonts w:ascii="Arial" w:cs="Arial" w:eastAsia="Arial" w:hAnsi="Arial"/>
          <w:sz w:val="14"/>
          <w:szCs w:val="14"/>
          <w:color w:val="auto"/>
        </w:rPr>
        <w:t xml:space="preserve"> in the accompanying Consolidated Statements of Operations and Comprehensive Income.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 assets and liabilities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Contract assets are recorded within </w:t>
      </w:r>
      <w:r>
        <w:rPr>
          <w:rFonts w:ascii="Arial" w:cs="Arial" w:eastAsia="Arial" w:hAnsi="Arial"/>
          <w:sz w:val="14"/>
          <w:szCs w:val="14"/>
          <w:i w:val="1"/>
          <w:iCs w:val="1"/>
          <w:color w:val="auto"/>
        </w:rPr>
        <w:t>Other current assets</w:t>
      </w:r>
      <w:r>
        <w:rPr>
          <w:rFonts w:ascii="Arial" w:cs="Arial" w:eastAsia="Arial" w:hAnsi="Arial"/>
          <w:sz w:val="14"/>
          <w:szCs w:val="14"/>
          <w:color w:val="auto"/>
        </w:rPr>
        <w:t xml:space="preserve">, and contract liabilities are recorded within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in the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20" w:type="dxa"/>
            <w:vAlign w:val="bottom"/>
          </w:tcPr>
          <w:p>
            <w:pPr>
              <w:spacing w:after="0"/>
              <w:rPr>
                <w:sz w:val="20"/>
                <w:szCs w:val="20"/>
                <w:color w:val="auto"/>
              </w:rPr>
            </w:pPr>
            <w:r>
              <w:rPr>
                <w:rFonts w:ascii="Arial" w:cs="Arial" w:eastAsia="Arial" w:hAnsi="Arial"/>
                <w:sz w:val="14"/>
                <w:szCs w:val="14"/>
                <w:color w:val="auto"/>
              </w:rPr>
              <w:t>Contract assets and liabilities consisted of the following: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40"/>
        </w:trPr>
        <w:tc>
          <w:tcPr>
            <w:tcW w:w="5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1"/>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 Change</w:t>
            </w:r>
          </w:p>
        </w:tc>
        <w:tc>
          <w:tcPr>
            <w:tcW w:w="136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 Change</w:t>
            </w:r>
          </w:p>
        </w:tc>
      </w:tr>
      <w:tr>
        <w:trPr>
          <w:trHeight w:val="171"/>
        </w:trPr>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840"/>
              <w:spacing w:after="0"/>
              <w:rPr>
                <w:sz w:val="20"/>
                <w:szCs w:val="20"/>
                <w:color w:val="auto"/>
              </w:rPr>
            </w:pPr>
            <w:r>
              <w:rPr>
                <w:rFonts w:ascii="Arial" w:cs="Arial" w:eastAsia="Arial" w:hAnsi="Arial"/>
                <w:sz w:val="14"/>
                <w:szCs w:val="14"/>
                <w:color w:val="auto"/>
              </w:rPr>
              <w:t>48.4</w:t>
            </w: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3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(0.4)</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18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Contract liabilities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auto"/>
              </w:rPr>
              <w:t>58.1</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w:t>
            </w:r>
          </w:p>
        </w:tc>
        <w:tc>
          <w:tcPr>
            <w:tcW w:w="3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18.7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47.5 %</w:t>
            </w:r>
          </w:p>
        </w:tc>
      </w:tr>
      <w:tr>
        <w:trPr>
          <w:trHeight w:val="196"/>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contract assets (liabilities)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w w:val="97"/>
              </w:rPr>
              <w:t>(9.7)</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3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(19.1)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$19.1 million decrease in net contract assets from December 31, 2021 to December 31, 2022 was primarily the result of timing of milestone payments. Approximately 90% of our contract liabilities at December 31, 2021 were recognized in revenue during the twelve months ended December 31, 2022. There were $1.1 million of impairment losses recognized on our net contract liabilities for the twelve months ended December 31, 2022 as a result of our exit of business activity and sales in Russia. There were no impairment losses recognized on our net contract assets for the twelve months ended December 31, 2021.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Practical expedients and exemptions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4"/>
          <w:szCs w:val="14"/>
          <w:i w:val="1"/>
          <w:iCs w:val="1"/>
          <w:color w:val="auto"/>
        </w:rPr>
        <w:t>Selling, general and administrative expense</w:t>
      </w:r>
      <w:r>
        <w:rPr>
          <w:rFonts w:ascii="Arial" w:cs="Arial" w:eastAsia="Arial" w:hAnsi="Arial"/>
          <w:sz w:val="14"/>
          <w:szCs w:val="14"/>
          <w:color w:val="auto"/>
        </w:rPr>
        <w:t xml:space="preserve"> in the Consolidated Statements of Operations and Comprehensive Income.</w:t>
      </w:r>
    </w:p>
    <w:p>
      <w:pPr>
        <w:spacing w:after="0" w:line="1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by category</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disaggregate our revenue from contracts with customers by segment, geographic location and vertical market, as we believe these best depict how the nature, amount, timing and uncertainty of our revenue and cash flows are affected by economic factors. Refer to Note 14 for revenue disaggregated by segment.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60" w:type="dxa"/>
            <w:vAlign w:val="bottom"/>
          </w:tcPr>
          <w:p>
            <w:pPr>
              <w:spacing w:after="0"/>
              <w:rPr>
                <w:sz w:val="20"/>
                <w:szCs w:val="20"/>
                <w:color w:val="auto"/>
              </w:rPr>
            </w:pPr>
            <w:r>
              <w:rPr>
                <w:rFonts w:ascii="Arial" w:cs="Arial" w:eastAsia="Arial" w:hAnsi="Arial"/>
                <w:sz w:val="14"/>
                <w:szCs w:val="14"/>
                <w:color w:val="auto"/>
              </w:rPr>
              <w:t>Geographic net sales information, based on geographic destination of the sale, was as follows: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76"/>
        </w:trPr>
        <w:tc>
          <w:tcPr>
            <w:tcW w:w="66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Years ended December 31</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171"/>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89"/>
              <w:spacing w:after="0"/>
              <w:rPr>
                <w:sz w:val="20"/>
                <w:szCs w:val="20"/>
                <w:color w:val="auto"/>
              </w:rPr>
            </w:pPr>
            <w:r>
              <w:rPr>
                <w:rFonts w:ascii="Arial" w:cs="Arial" w:eastAsia="Arial" w:hAnsi="Arial"/>
                <w:sz w:val="14"/>
                <w:szCs w:val="14"/>
                <w:b w:val="1"/>
                <w:bCs w:val="1"/>
                <w:color w:val="auto"/>
                <w:w w:val="96"/>
              </w:rPr>
              <w:t>2021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2,913.2</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2,571.2</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2,011.7</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Western Europe</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439.2</w:t>
            </w:r>
          </w:p>
        </w:tc>
        <w:tc>
          <w:tcPr>
            <w:tcW w:w="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460.4</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375.3</w:t>
            </w:r>
          </w:p>
        </w:tc>
      </w:tr>
      <w:tr>
        <w:trPr>
          <w:trHeight w:val="181"/>
        </w:trPr>
        <w:tc>
          <w:tcPr>
            <w:tcW w:w="66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Developing </w:t>
            </w:r>
            <w:r>
              <w:rPr>
                <w:rFonts w:ascii="Arial" w:cs="Arial" w:eastAsia="Arial" w:hAnsi="Arial"/>
                <w:sz w:val="18"/>
                <w:szCs w:val="18"/>
                <w:color w:val="auto"/>
                <w:vertAlign w:val="superscript"/>
              </w:rPr>
              <w:t>(1)</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w:t>
            </w: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487.1</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w:t>
            </w:r>
          </w:p>
        </w:tc>
      </w:tr>
      <w:tr>
        <w:trPr>
          <w:trHeight w:val="180"/>
        </w:trPr>
        <w:tc>
          <w:tcPr>
            <w:tcW w:w="6660" w:type="dxa"/>
            <w:vAlign w:val="bottom"/>
            <w:tcBorders>
              <w:bottom w:val="single" w:sz="8" w:color="auto"/>
            </w:tcBorders>
          </w:tcPr>
          <w:p>
            <w:pPr>
              <w:ind w:left="20"/>
              <w:spacing w:after="0" w:line="181" w:lineRule="exact"/>
              <w:rPr>
                <w:sz w:val="20"/>
                <w:szCs w:val="20"/>
                <w:color w:val="auto"/>
              </w:rPr>
            </w:pPr>
            <w:r>
              <w:rPr>
                <w:rFonts w:ascii="Arial" w:cs="Arial" w:eastAsia="Arial" w:hAnsi="Arial"/>
                <w:sz w:val="14"/>
                <w:szCs w:val="14"/>
                <w:color w:val="auto"/>
              </w:rPr>
              <w:t xml:space="preserve">Other Developed </w:t>
            </w:r>
            <w:r>
              <w:rPr>
                <w:rFonts w:ascii="Arial" w:cs="Arial" w:eastAsia="Arial" w:hAnsi="Arial"/>
                <w:sz w:val="18"/>
                <w:szCs w:val="18"/>
                <w:color w:val="auto"/>
                <w:vertAlign w:val="superscript"/>
              </w:rPr>
              <w:t>(2)</w:t>
            </w: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253.9</w:t>
            </w:r>
          </w:p>
        </w:tc>
        <w:tc>
          <w:tcPr>
            <w:tcW w:w="4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246.1</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203.3</w:t>
            </w:r>
          </w:p>
        </w:tc>
      </w:tr>
      <w:tr>
        <w:trPr>
          <w:trHeight w:val="196"/>
        </w:trPr>
        <w:tc>
          <w:tcPr>
            <w:tcW w:w="6660" w:type="dxa"/>
            <w:vAlign w:val="bottom"/>
            <w:tcBorders>
              <w:bottom w:val="single" w:sz="8" w:color="auto"/>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Consolidated net sales </w:t>
            </w:r>
            <w:r>
              <w:rPr>
                <w:rFonts w:ascii="Arial" w:cs="Arial" w:eastAsia="Arial" w:hAnsi="Arial"/>
                <w:sz w:val="18"/>
                <w:szCs w:val="18"/>
                <w:color w:val="auto"/>
                <w:vertAlign w:val="superscript"/>
              </w:rPr>
              <w:t>(3)</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4,121.8</w:t>
            </w:r>
          </w:p>
        </w:tc>
        <w:tc>
          <w:tcPr>
            <w:tcW w:w="40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3,764.8</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3,017.8</w:t>
            </w:r>
          </w:p>
        </w:tc>
      </w:tr>
      <w:tr>
        <w:trPr>
          <w:trHeight w:val="20"/>
        </w:trPr>
        <w:tc>
          <w:tcPr>
            <w:tcW w:w="6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6660" w:type="dxa"/>
            <w:vAlign w:val="bottom"/>
          </w:tcPr>
          <w:p>
            <w:pPr>
              <w:ind w:left="20"/>
              <w:spacing w:after="0" w:line="117" w:lineRule="exact"/>
              <w:rPr>
                <w:sz w:val="20"/>
                <w:szCs w:val="20"/>
                <w:color w:val="auto"/>
              </w:rPr>
            </w:pPr>
            <w:r>
              <w:rPr>
                <w:rFonts w:ascii="Arial" w:cs="Arial" w:eastAsia="Arial" w:hAnsi="Arial"/>
                <w:sz w:val="13"/>
                <w:szCs w:val="13"/>
                <w:color w:val="auto"/>
                <w:vertAlign w:val="superscript"/>
              </w:rPr>
              <w:t>(1)</w:t>
            </w:r>
            <w:r>
              <w:rPr>
                <w:rFonts w:ascii="Arial" w:cs="Arial" w:eastAsia="Arial" w:hAnsi="Arial"/>
                <w:sz w:val="10"/>
                <w:szCs w:val="10"/>
                <w:color w:val="auto"/>
              </w:rPr>
              <w:t xml:space="preserve"> Developing includes China, Eastern Europe, Latin America, the Middle East and Southeast Asia.</w:t>
            </w: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70"/>
        </w:trPr>
        <w:tc>
          <w:tcPr>
            <w:tcW w:w="6660" w:type="dxa"/>
            <w:vAlign w:val="bottom"/>
          </w:tcPr>
          <w:p>
            <w:pPr>
              <w:ind w:left="20"/>
              <w:spacing w:after="0" w:line="170" w:lineRule="exact"/>
              <w:rPr>
                <w:sz w:val="20"/>
                <w:szCs w:val="20"/>
                <w:color w:val="auto"/>
              </w:rPr>
            </w:pPr>
            <w:r>
              <w:rPr>
                <w:rFonts w:ascii="Arial" w:cs="Arial" w:eastAsia="Arial" w:hAnsi="Arial"/>
                <w:sz w:val="18"/>
                <w:szCs w:val="18"/>
                <w:color w:val="auto"/>
                <w:vertAlign w:val="superscript"/>
              </w:rPr>
              <w:t>(2)</w:t>
            </w:r>
            <w:r>
              <w:rPr>
                <w:rFonts w:ascii="Arial" w:cs="Arial" w:eastAsia="Arial" w:hAnsi="Arial"/>
                <w:sz w:val="13"/>
                <w:szCs w:val="13"/>
                <w:color w:val="auto"/>
              </w:rPr>
              <w:t xml:space="preserve"> Other Developed includes Australia, Canada and Japan.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39"/>
        </w:trPr>
        <w:tc>
          <w:tcPr>
            <w:tcW w:w="6660" w:type="dxa"/>
            <w:vAlign w:val="bottom"/>
          </w:tcPr>
          <w:p>
            <w:pPr>
              <w:ind w:left="20"/>
              <w:spacing w:after="0"/>
              <w:rPr>
                <w:sz w:val="20"/>
                <w:szCs w:val="20"/>
                <w:color w:val="auto"/>
              </w:rPr>
            </w:pPr>
            <w:r>
              <w:rPr>
                <w:rFonts w:ascii="Arial" w:cs="Arial" w:eastAsia="Arial" w:hAnsi="Arial"/>
                <w:sz w:val="18"/>
                <w:szCs w:val="18"/>
                <w:color w:val="auto"/>
                <w:vertAlign w:val="superscript"/>
              </w:rPr>
              <w:t>(3)</w:t>
            </w:r>
            <w:r>
              <w:rPr>
                <w:rFonts w:ascii="Arial" w:cs="Arial" w:eastAsia="Arial" w:hAnsi="Arial"/>
                <w:sz w:val="13"/>
                <w:szCs w:val="13"/>
                <w:color w:val="auto"/>
              </w:rPr>
              <w:t xml:space="preserve"> Net sales in Ireland, for each of the years presented, were not material.</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8"/>
        </w:trPr>
        <w:tc>
          <w:tcPr>
            <w:tcW w:w="6660" w:type="dxa"/>
            <w:vAlign w:val="bottom"/>
          </w:tcPr>
          <w:p>
            <w:pPr>
              <w:spacing w:after="0"/>
              <w:rPr>
                <w:sz w:val="20"/>
                <w:szCs w:val="20"/>
                <w:color w:val="auto"/>
              </w:rPr>
            </w:pPr>
            <w:r>
              <w:rPr>
                <w:rFonts w:ascii="Arial" w:cs="Arial" w:eastAsia="Arial" w:hAnsi="Arial"/>
                <w:sz w:val="14"/>
                <w:szCs w:val="14"/>
                <w:color w:val="auto"/>
              </w:rPr>
              <w:t>Vertical market net sales information was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5"/>
        </w:trPr>
        <w:tc>
          <w:tcPr>
            <w:tcW w:w="66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Years ended December 31</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171"/>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89"/>
              <w:spacing w:after="0"/>
              <w:rPr>
                <w:sz w:val="20"/>
                <w:szCs w:val="20"/>
                <w:color w:val="auto"/>
              </w:rPr>
            </w:pPr>
            <w:r>
              <w:rPr>
                <w:rFonts w:ascii="Arial" w:cs="Arial" w:eastAsia="Arial" w:hAnsi="Arial"/>
                <w:sz w:val="14"/>
                <w:szCs w:val="14"/>
                <w:b w:val="1"/>
                <w:bCs w:val="1"/>
                <w:color w:val="auto"/>
                <w:w w:val="96"/>
              </w:rPr>
              <w:t>2021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2,613.6</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2,437.6</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1,883.4</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Commercial</w:t>
            </w:r>
          </w:p>
        </w:tc>
        <w:tc>
          <w:tcPr>
            <w:tcW w:w="3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809.1</w:t>
            </w:r>
          </w:p>
        </w:tc>
        <w:tc>
          <w:tcPr>
            <w:tcW w:w="4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665.9</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528.6</w:t>
            </w:r>
          </w:p>
        </w:tc>
      </w:tr>
      <w:tr>
        <w:trPr>
          <w:trHeight w:val="180"/>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Industrial</w:t>
            </w: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w:t>
            </w: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661.3</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605.8</w:t>
            </w:r>
          </w:p>
        </w:tc>
      </w:tr>
      <w:tr>
        <w:trPr>
          <w:trHeight w:val="171"/>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 net sales</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4,121.8</w:t>
            </w:r>
          </w:p>
        </w:tc>
        <w:tc>
          <w:tcPr>
            <w:tcW w:w="4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3,764.8</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3,017.8</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Research and development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 conduct research and development (“R&amp;D”) activities primarily in our own facilities, which mostly consist of development of new products, product applications and manufacturing processes.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We expense R&amp;D costs as incurred. R&amp;D expenditures during 2022, 2021 and 2020 were $92.2 million, $85.9 million and $75.7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equivalents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We consider highly liquid investments with original maturities of three months or less at the date of acquisition to be cash equivalents.</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receivables and concentration of credit risk</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generally do not require collateral.</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60" w:type="dxa"/>
            <w:vAlign w:val="bottom"/>
          </w:tcPr>
          <w:p>
            <w:pPr>
              <w:spacing w:after="0"/>
              <w:rPr>
                <w:sz w:val="20"/>
                <w:szCs w:val="20"/>
                <w:color w:val="auto"/>
              </w:rPr>
            </w:pPr>
            <w:r>
              <w:rPr>
                <w:rFonts w:ascii="Arial" w:cs="Arial" w:eastAsia="Arial" w:hAnsi="Arial"/>
                <w:sz w:val="14"/>
                <w:szCs w:val="14"/>
                <w:color w:val="auto"/>
              </w:rPr>
              <w:t>The following table summarizes the activity in the allowance for credit losses:</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76"/>
        </w:trPr>
        <w:tc>
          <w:tcPr>
            <w:tcW w:w="66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Years ended December 31</w:t>
            </w: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171"/>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171"/>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2"/>
              </w:rPr>
              <w:t>8.4</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180"/>
        </w:trPr>
        <w:tc>
          <w:tcPr>
            <w:tcW w:w="666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Bad debt expense (benefit) </w:t>
            </w:r>
            <w:r>
              <w:rPr>
                <w:rFonts w:ascii="Arial" w:cs="Arial" w:eastAsia="Arial" w:hAnsi="Arial"/>
                <w:sz w:val="18"/>
                <w:szCs w:val="18"/>
                <w:color w:val="auto"/>
                <w:vertAlign w:val="superscript"/>
              </w:rPr>
              <w:t>(1)</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w:t>
            </w:r>
          </w:p>
        </w:tc>
        <w:tc>
          <w:tcPr>
            <w:tcW w:w="380" w:type="dxa"/>
            <w:vAlign w:val="bottom"/>
          </w:tcPr>
          <w:p>
            <w:pPr>
              <w:spacing w:after="0"/>
              <w:rPr>
                <w:sz w:val="15"/>
                <w:szCs w:val="15"/>
                <w:color w:val="auto"/>
              </w:rPr>
            </w:pPr>
          </w:p>
        </w:tc>
        <w:tc>
          <w:tcPr>
            <w:tcW w:w="1180" w:type="dxa"/>
            <w:vAlign w:val="bottom"/>
          </w:tcPr>
          <w:p>
            <w:pPr>
              <w:jc w:val="center"/>
              <w:ind w:left="809"/>
              <w:spacing w:after="0"/>
              <w:rPr>
                <w:sz w:val="20"/>
                <w:szCs w:val="20"/>
                <w:color w:val="auto"/>
              </w:rPr>
            </w:pPr>
            <w:r>
              <w:rPr>
                <w:rFonts w:ascii="Arial" w:cs="Arial" w:eastAsia="Arial" w:hAnsi="Arial"/>
                <w:sz w:val="14"/>
                <w:szCs w:val="14"/>
                <w:color w:val="auto"/>
                <w:w w:val="92"/>
              </w:rPr>
              <w:t>1.1</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180"/>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809"/>
              <w:spacing w:after="0"/>
              <w:rPr>
                <w:sz w:val="20"/>
                <w:szCs w:val="20"/>
                <w:color w:val="auto"/>
              </w:rPr>
            </w:pPr>
            <w:r>
              <w:rPr>
                <w:rFonts w:ascii="Arial" w:cs="Arial" w:eastAsia="Arial" w:hAnsi="Arial"/>
                <w:sz w:val="14"/>
                <w:szCs w:val="14"/>
                <w:color w:val="auto"/>
                <w:w w:val="92"/>
              </w:rPr>
              <w:t>1.0</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6660" w:type="dxa"/>
            <w:vAlign w:val="bottom"/>
          </w:tcPr>
          <w:p>
            <w:pPr>
              <w:ind w:left="20"/>
              <w:spacing w:after="0"/>
              <w:rPr>
                <w:sz w:val="20"/>
                <w:szCs w:val="20"/>
                <w:color w:val="auto"/>
              </w:rPr>
            </w:pPr>
            <w:r>
              <w:rPr>
                <w:rFonts w:ascii="Arial" w:cs="Arial" w:eastAsia="Arial" w:hAnsi="Arial"/>
                <w:sz w:val="14"/>
                <w:szCs w:val="14"/>
                <w:color w:val="auto"/>
              </w:rPr>
              <w:t>Write-offs, net of recoveries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380" w:type="dxa"/>
            <w:vAlign w:val="bottom"/>
          </w:tcPr>
          <w:p>
            <w:pPr>
              <w:spacing w:after="0"/>
              <w:rPr>
                <w:sz w:val="15"/>
                <w:szCs w:val="15"/>
                <w:color w:val="auto"/>
              </w:rPr>
            </w:pPr>
          </w:p>
        </w:tc>
        <w:tc>
          <w:tcPr>
            <w:tcW w:w="1180" w:type="dxa"/>
            <w:vAlign w:val="bottom"/>
          </w:tcPr>
          <w:p>
            <w:pPr>
              <w:jc w:val="center"/>
              <w:ind w:left="789"/>
              <w:spacing w:after="0"/>
              <w:rPr>
                <w:sz w:val="20"/>
                <w:szCs w:val="20"/>
                <w:color w:val="auto"/>
              </w:rPr>
            </w:pPr>
            <w:r>
              <w:rPr>
                <w:rFonts w:ascii="Arial" w:cs="Arial" w:eastAsia="Arial" w:hAnsi="Arial"/>
                <w:sz w:val="14"/>
                <w:szCs w:val="14"/>
                <w:color w:val="auto"/>
                <w:w w:val="97"/>
              </w:rPr>
              <w:t>(0.9)</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181"/>
        </w:trPr>
        <w:tc>
          <w:tcPr>
            <w:tcW w:w="6660" w:type="dxa"/>
            <w:vAlign w:val="bottom"/>
            <w:tcBorders>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(2)</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789"/>
              <w:spacing w:after="0"/>
              <w:rPr>
                <w:sz w:val="20"/>
                <w:szCs w:val="20"/>
                <w:color w:val="auto"/>
              </w:rPr>
            </w:pPr>
            <w:r>
              <w:rPr>
                <w:rFonts w:ascii="Arial" w:cs="Arial" w:eastAsia="Arial" w:hAnsi="Arial"/>
                <w:sz w:val="14"/>
                <w:szCs w:val="14"/>
                <w:color w:val="auto"/>
                <w:w w:val="97"/>
              </w:rPr>
              <w:t>(0.5)</w:t>
            </w: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71"/>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center"/>
              <w:ind w:left="809"/>
              <w:spacing w:after="0"/>
              <w:rPr>
                <w:sz w:val="20"/>
                <w:szCs w:val="20"/>
                <w:color w:val="auto"/>
              </w:rPr>
            </w:pPr>
            <w:r>
              <w:rPr>
                <w:rFonts w:ascii="Arial" w:cs="Arial" w:eastAsia="Arial" w:hAnsi="Arial"/>
                <w:sz w:val="14"/>
                <w:szCs w:val="14"/>
                <w:color w:val="auto"/>
                <w:w w:val="92"/>
              </w:rPr>
              <w:t>9.1</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ind w:left="160" w:hanging="141"/>
        <w:spacing w:after="0" w:line="216" w:lineRule="auto"/>
        <w:tabs>
          <w:tab w:leader="none" w:pos="160" w:val="left"/>
        </w:tabs>
        <w:numPr>
          <w:ilvl w:val="0"/>
          <w:numId w:val="41"/>
        </w:numPr>
        <w:rPr>
          <w:rFonts w:ascii="Arial" w:cs="Arial" w:eastAsia="Arial" w:hAnsi="Arial"/>
          <w:sz w:val="17"/>
          <w:szCs w:val="17"/>
          <w:color w:val="auto"/>
          <w:vertAlign w:val="superscript"/>
        </w:rPr>
      </w:pPr>
      <w:r>
        <w:rPr>
          <w:rFonts w:ascii="Arial" w:cs="Arial" w:eastAsia="Arial" w:hAnsi="Arial"/>
          <w:sz w:val="12"/>
          <w:szCs w:val="12"/>
          <w:color w:val="auto"/>
        </w:rPr>
        <w:t>The bad debt benefit for the year-ended December 31, 2020 includes the positive impact related to the adoption of Accounting Standards Update No. 2016-13 “Financial Instruments-Credit Losses.”</w:t>
      </w:r>
    </w:p>
    <w:p>
      <w:pPr>
        <w:spacing w:after="0" w:line="28" w:lineRule="exact"/>
        <w:rPr>
          <w:rFonts w:ascii="Arial" w:cs="Arial" w:eastAsia="Arial" w:hAnsi="Arial"/>
          <w:sz w:val="17"/>
          <w:szCs w:val="17"/>
          <w:color w:val="auto"/>
          <w:vertAlign w:val="superscript"/>
        </w:rPr>
      </w:pPr>
    </w:p>
    <w:p>
      <w:pPr>
        <w:ind w:left="160" w:hanging="141"/>
        <w:spacing w:after="0" w:line="185" w:lineRule="auto"/>
        <w:tabs>
          <w:tab w:leader="none" w:pos="160" w:val="left"/>
        </w:tabs>
        <w:numPr>
          <w:ilvl w:val="0"/>
          <w:numId w:val="41"/>
        </w:numPr>
        <w:rPr>
          <w:rFonts w:ascii="Arial" w:cs="Arial" w:eastAsia="Arial" w:hAnsi="Arial"/>
          <w:sz w:val="17"/>
          <w:szCs w:val="17"/>
          <w:color w:val="auto"/>
          <w:vertAlign w:val="superscript"/>
        </w:rPr>
      </w:pPr>
      <w:r>
        <w:rPr>
          <w:rFonts w:ascii="Arial" w:cs="Arial" w:eastAsia="Arial" w:hAnsi="Arial"/>
          <w:sz w:val="12"/>
          <w:szCs w:val="12"/>
          <w:color w:val="auto"/>
        </w:rPr>
        <w:t>Other amounts are primarily the effects of changes in currency translations and the impact of allowance for credits.</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Inventories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Inventories are stated at the lower of cost or net realizable value with substantially all inventories recorded using the first-in, first-out (“FIFO”) cost method.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Property, plant and equipment, net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Property, plant and equipment is stated at historical cost. We compute depreciation by the straight-line method based on the following estimated useful lives: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tcPr>
          <w:p>
            <w:pPr>
              <w:jc w:val="center"/>
              <w:ind w:left="3649"/>
              <w:spacing w:after="0"/>
              <w:rPr>
                <w:sz w:val="20"/>
                <w:szCs w:val="20"/>
                <w:color w:val="auto"/>
              </w:rPr>
            </w:pPr>
            <w:r>
              <w:rPr>
                <w:rFonts w:ascii="Arial" w:cs="Arial" w:eastAsia="Arial" w:hAnsi="Arial"/>
                <w:sz w:val="14"/>
                <w:szCs w:val="14"/>
                <w:b w:val="1"/>
                <w:bCs w:val="1"/>
                <w:color w:val="auto"/>
                <w:w w:val="89"/>
              </w:rPr>
              <w:t>Years</w:t>
            </w:r>
          </w:p>
        </w:tc>
      </w:tr>
      <w:tr>
        <w:trPr>
          <w:trHeight w:val="171"/>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Land improvements</w:t>
            </w:r>
          </w:p>
        </w:tc>
        <w:tc>
          <w:tcPr>
            <w:tcW w:w="4900" w:type="dxa"/>
            <w:vAlign w:val="bottom"/>
            <w:shd w:val="clear" w:color="auto" w:fill="CCEEFF"/>
          </w:tcPr>
          <w:p>
            <w:pPr>
              <w:jc w:val="center"/>
              <w:ind w:left="3669"/>
              <w:spacing w:after="0"/>
              <w:rPr>
                <w:sz w:val="20"/>
                <w:szCs w:val="20"/>
                <w:color w:val="auto"/>
              </w:rPr>
            </w:pPr>
            <w:r>
              <w:rPr>
                <w:rFonts w:ascii="Arial" w:cs="Arial" w:eastAsia="Arial" w:hAnsi="Arial"/>
                <w:sz w:val="14"/>
                <w:szCs w:val="14"/>
                <w:color w:val="auto"/>
                <w:w w:val="93"/>
              </w:rPr>
              <w:t>5 to 20</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Buildings and leasehold improvements</w:t>
            </w:r>
          </w:p>
        </w:tc>
        <w:tc>
          <w:tcPr>
            <w:tcW w:w="4900" w:type="dxa"/>
            <w:vAlign w:val="bottom"/>
          </w:tcPr>
          <w:p>
            <w:pPr>
              <w:jc w:val="center"/>
              <w:ind w:left="3669"/>
              <w:spacing w:after="0"/>
              <w:rPr>
                <w:sz w:val="20"/>
                <w:szCs w:val="20"/>
                <w:color w:val="auto"/>
              </w:rPr>
            </w:pPr>
            <w:r>
              <w:rPr>
                <w:rFonts w:ascii="Arial" w:cs="Arial" w:eastAsia="Arial" w:hAnsi="Arial"/>
                <w:sz w:val="14"/>
                <w:szCs w:val="14"/>
                <w:color w:val="auto"/>
                <w:w w:val="93"/>
              </w:rPr>
              <w:t>5 to 50</w:t>
            </w:r>
          </w:p>
        </w:tc>
      </w:tr>
      <w:tr>
        <w:trPr>
          <w:trHeight w:val="181"/>
        </w:trPr>
        <w:tc>
          <w:tcPr>
            <w:tcW w:w="6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Machinery and equipment</w:t>
            </w:r>
          </w:p>
        </w:tc>
        <w:tc>
          <w:tcPr>
            <w:tcW w:w="4900" w:type="dxa"/>
            <w:vAlign w:val="bottom"/>
            <w:shd w:val="clear" w:color="auto" w:fill="CCEEFF"/>
          </w:tcPr>
          <w:p>
            <w:pPr>
              <w:jc w:val="center"/>
              <w:ind w:left="3669"/>
              <w:spacing w:after="0"/>
              <w:rPr>
                <w:sz w:val="20"/>
                <w:szCs w:val="20"/>
                <w:color w:val="auto"/>
              </w:rPr>
            </w:pPr>
            <w:r>
              <w:rPr>
                <w:rFonts w:ascii="Arial" w:cs="Arial" w:eastAsia="Arial" w:hAnsi="Arial"/>
                <w:sz w:val="14"/>
                <w:szCs w:val="14"/>
                <w:color w:val="auto"/>
                <w:w w:val="93"/>
              </w:rPr>
              <w:t>3 to 15</w:t>
            </w:r>
          </w:p>
        </w:tc>
      </w:tr>
      <w:tr>
        <w:trPr>
          <w:trHeight w:val="180"/>
        </w:trPr>
        <w:tc>
          <w:tcPr>
            <w:tcW w:w="6360" w:type="dxa"/>
            <w:vAlign w:val="bottom"/>
          </w:tcPr>
          <w:p>
            <w:pPr>
              <w:ind w:left="20"/>
              <w:spacing w:after="0"/>
              <w:rPr>
                <w:sz w:val="20"/>
                <w:szCs w:val="20"/>
                <w:color w:val="auto"/>
              </w:rPr>
            </w:pPr>
            <w:r>
              <w:rPr>
                <w:rFonts w:ascii="Arial" w:cs="Arial" w:eastAsia="Arial" w:hAnsi="Arial"/>
                <w:sz w:val="14"/>
                <w:szCs w:val="14"/>
                <w:color w:val="auto"/>
              </w:rPr>
              <w:t>Capitalized software</w:t>
            </w:r>
          </w:p>
        </w:tc>
        <w:tc>
          <w:tcPr>
            <w:tcW w:w="4900" w:type="dxa"/>
            <w:vAlign w:val="bottom"/>
          </w:tcPr>
          <w:p>
            <w:pPr>
              <w:jc w:val="center"/>
              <w:ind w:left="3669"/>
              <w:spacing w:after="0"/>
              <w:rPr>
                <w:sz w:val="20"/>
                <w:szCs w:val="20"/>
                <w:color w:val="auto"/>
              </w:rPr>
            </w:pPr>
            <w:r>
              <w:rPr>
                <w:rFonts w:ascii="Arial" w:cs="Arial" w:eastAsia="Arial" w:hAnsi="Arial"/>
                <w:sz w:val="14"/>
                <w:szCs w:val="14"/>
                <w:color w:val="auto"/>
                <w:w w:val="93"/>
              </w:rPr>
              <w:t>3 to 10</w:t>
            </w:r>
          </w:p>
        </w:tc>
      </w:tr>
    </w:tbl>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Significant improvements that add to productive capacity or extend the lives of properties are capitalized. Costs for repairs and maintenance are charged to expense as incurred. When property is retired or otherwise disposed of, the recorded cost of the assets and their related accumulated depreciation are removed from the Consolidated Balance Sheets and any related gains or losses are included in income.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geographic </w:t>
      </w:r>
      <w:r>
        <w:rPr>
          <w:rFonts w:ascii="Arial" w:cs="Arial" w:eastAsia="Arial" w:hAnsi="Arial"/>
          <w:sz w:val="14"/>
          <w:szCs w:val="14"/>
          <w:i w:val="1"/>
          <w:iCs w:val="1"/>
          <w:color w:val="auto"/>
        </w:rPr>
        <w:t>Property, plant and equipment, net</w:t>
      </w:r>
      <w:r>
        <w:rPr>
          <w:rFonts w:ascii="Arial" w:cs="Arial" w:eastAsia="Arial" w:hAnsi="Arial"/>
          <w:sz w:val="14"/>
          <w:szCs w:val="14"/>
          <w:color w:val="auto"/>
        </w:rPr>
        <w:t xml:space="preserve"> by region as of December 31:</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4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w:t>
            </w:r>
          </w:p>
        </w:tc>
        <w:tc>
          <w:tcPr>
            <w:tcW w:w="388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r>
      <w:tr>
        <w:trPr>
          <w:trHeight w:val="180"/>
        </w:trPr>
        <w:tc>
          <w:tcPr>
            <w:tcW w:w="4660" w:type="dxa"/>
            <w:vAlign w:val="bottom"/>
          </w:tcPr>
          <w:p>
            <w:pPr>
              <w:ind w:left="20"/>
              <w:spacing w:after="0"/>
              <w:rPr>
                <w:sz w:val="20"/>
                <w:szCs w:val="20"/>
                <w:color w:val="auto"/>
              </w:rPr>
            </w:pPr>
            <w:r>
              <w:rPr>
                <w:rFonts w:ascii="Arial" w:cs="Arial" w:eastAsia="Arial" w:hAnsi="Arial"/>
                <w:sz w:val="14"/>
                <w:szCs w:val="14"/>
                <w:color w:val="auto"/>
              </w:rPr>
              <w:t>Western Europe</w:t>
            </w:r>
          </w:p>
        </w:tc>
        <w:tc>
          <w:tcPr>
            <w:tcW w:w="38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74.4</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71.5</w:t>
            </w:r>
          </w:p>
        </w:tc>
      </w:tr>
      <w:tr>
        <w:trPr>
          <w:trHeight w:val="181"/>
        </w:trPr>
        <w:tc>
          <w:tcPr>
            <w:tcW w:w="46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Developing </w:t>
            </w:r>
            <w:r>
              <w:rPr>
                <w:rFonts w:ascii="Arial" w:cs="Arial" w:eastAsia="Arial" w:hAnsi="Arial"/>
                <w:sz w:val="18"/>
                <w:szCs w:val="18"/>
                <w:color w:val="auto"/>
                <w:vertAlign w:val="superscript"/>
              </w:rPr>
              <w:t>(1)</w:t>
            </w:r>
          </w:p>
        </w:tc>
        <w:tc>
          <w:tcPr>
            <w:tcW w:w="38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r>
      <w:tr>
        <w:trPr>
          <w:trHeight w:val="180"/>
        </w:trPr>
        <w:tc>
          <w:tcPr>
            <w:tcW w:w="4660" w:type="dxa"/>
            <w:vAlign w:val="bottom"/>
            <w:tcBorders>
              <w:bottom w:val="single" w:sz="8" w:color="auto"/>
            </w:tcBorders>
          </w:tcPr>
          <w:p>
            <w:pPr>
              <w:ind w:left="20"/>
              <w:spacing w:after="0" w:line="181" w:lineRule="exact"/>
              <w:rPr>
                <w:sz w:val="20"/>
                <w:szCs w:val="20"/>
                <w:color w:val="auto"/>
              </w:rPr>
            </w:pPr>
            <w:r>
              <w:rPr>
                <w:rFonts w:ascii="Arial" w:cs="Arial" w:eastAsia="Arial" w:hAnsi="Arial"/>
                <w:sz w:val="14"/>
                <w:szCs w:val="14"/>
                <w:color w:val="auto"/>
              </w:rPr>
              <w:t xml:space="preserve">Other Developed </w:t>
            </w:r>
            <w:r>
              <w:rPr>
                <w:rFonts w:ascii="Arial" w:cs="Arial" w:eastAsia="Arial" w:hAnsi="Arial"/>
                <w:sz w:val="18"/>
                <w:szCs w:val="18"/>
                <w:color w:val="auto"/>
                <w:vertAlign w:val="superscript"/>
              </w:rPr>
              <w:t>(2)</w:t>
            </w:r>
          </w:p>
        </w:tc>
        <w:tc>
          <w:tcPr>
            <w:tcW w:w="38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4660" w:type="dxa"/>
            <w:vAlign w:val="bottom"/>
            <w:tcBorders>
              <w:bottom w:val="single" w:sz="8" w:color="auto"/>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Consolidated </w:t>
            </w:r>
            <w:r>
              <w:rPr>
                <w:rFonts w:ascii="Arial" w:cs="Arial" w:eastAsia="Arial" w:hAnsi="Arial"/>
                <w:sz w:val="18"/>
                <w:szCs w:val="18"/>
                <w:color w:val="auto"/>
                <w:vertAlign w:val="superscript"/>
              </w:rPr>
              <w:t>(3)</w:t>
            </w:r>
          </w:p>
        </w:tc>
        <w:tc>
          <w:tcPr>
            <w:tcW w:w="388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38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160" w:hanging="120"/>
        <w:spacing w:after="0"/>
        <w:tabs>
          <w:tab w:leader="none" w:pos="160" w:val="left"/>
        </w:tabs>
        <w:numPr>
          <w:ilvl w:val="0"/>
          <w:numId w:val="42"/>
        </w:numPr>
        <w:rPr>
          <w:rFonts w:ascii="Arial" w:cs="Arial" w:eastAsia="Arial" w:hAnsi="Arial"/>
          <w:sz w:val="14"/>
          <w:szCs w:val="14"/>
          <w:color w:val="auto"/>
          <w:vertAlign w:val="superscript"/>
        </w:rPr>
      </w:pPr>
      <w:r>
        <w:rPr>
          <w:rFonts w:ascii="Arial" w:cs="Arial" w:eastAsia="Arial" w:hAnsi="Arial"/>
          <w:sz w:val="10"/>
          <w:szCs w:val="10"/>
          <w:color w:val="auto"/>
        </w:rPr>
        <w:t>Developing includes China, Eastern Europe, Latin America, the Middle East and Southeast Asia.</w:t>
      </w:r>
    </w:p>
    <w:p>
      <w:pPr>
        <w:spacing w:after="0" w:line="18" w:lineRule="exact"/>
        <w:rPr>
          <w:rFonts w:ascii="Arial" w:cs="Arial" w:eastAsia="Arial" w:hAnsi="Arial"/>
          <w:sz w:val="14"/>
          <w:szCs w:val="14"/>
          <w:color w:val="auto"/>
          <w:vertAlign w:val="superscript"/>
        </w:rPr>
      </w:pPr>
    </w:p>
    <w:p>
      <w:pPr>
        <w:ind w:left="180" w:hanging="140"/>
        <w:spacing w:after="0" w:line="185" w:lineRule="auto"/>
        <w:tabs>
          <w:tab w:leader="none" w:pos="180" w:val="left"/>
        </w:tabs>
        <w:numPr>
          <w:ilvl w:val="0"/>
          <w:numId w:val="42"/>
        </w:numPr>
        <w:rPr>
          <w:rFonts w:ascii="Arial" w:cs="Arial" w:eastAsia="Arial" w:hAnsi="Arial"/>
          <w:sz w:val="17"/>
          <w:szCs w:val="17"/>
          <w:color w:val="auto"/>
          <w:vertAlign w:val="superscript"/>
        </w:rPr>
      </w:pPr>
      <w:r>
        <w:rPr>
          <w:rFonts w:ascii="Arial" w:cs="Arial" w:eastAsia="Arial" w:hAnsi="Arial"/>
          <w:sz w:val="12"/>
          <w:szCs w:val="12"/>
          <w:color w:val="auto"/>
        </w:rPr>
        <w:t>Other Developed includes Australia, Canada and Japan.</w:t>
      </w:r>
    </w:p>
    <w:p>
      <w:pPr>
        <w:spacing w:after="0" w:line="19" w:lineRule="exact"/>
        <w:rPr>
          <w:rFonts w:ascii="Arial" w:cs="Arial" w:eastAsia="Arial" w:hAnsi="Arial"/>
          <w:sz w:val="17"/>
          <w:szCs w:val="17"/>
          <w:color w:val="auto"/>
          <w:vertAlign w:val="superscript"/>
        </w:rPr>
      </w:pPr>
    </w:p>
    <w:p>
      <w:pPr>
        <w:ind w:left="180" w:hanging="140"/>
        <w:spacing w:after="0" w:line="185" w:lineRule="auto"/>
        <w:tabs>
          <w:tab w:leader="none" w:pos="180" w:val="left"/>
        </w:tabs>
        <w:numPr>
          <w:ilvl w:val="0"/>
          <w:numId w:val="42"/>
        </w:numPr>
        <w:rPr>
          <w:rFonts w:ascii="Arial" w:cs="Arial" w:eastAsia="Arial" w:hAnsi="Arial"/>
          <w:sz w:val="17"/>
          <w:szCs w:val="17"/>
          <w:color w:val="auto"/>
          <w:vertAlign w:val="superscript"/>
        </w:rPr>
      </w:pPr>
      <w:r>
        <w:rPr>
          <w:rFonts w:ascii="Arial" w:cs="Arial" w:eastAsia="Arial" w:hAnsi="Arial"/>
          <w:sz w:val="12"/>
          <w:szCs w:val="12"/>
          <w:i w:val="1"/>
          <w:iCs w:val="1"/>
          <w:color w:val="auto"/>
        </w:rPr>
        <w:t xml:space="preserve">Property, plant and equipment, net </w:t>
      </w:r>
      <w:r>
        <w:rPr>
          <w:rFonts w:ascii="Arial" w:cs="Arial" w:eastAsia="Arial" w:hAnsi="Arial"/>
          <w:sz w:val="12"/>
          <w:szCs w:val="12"/>
          <w:color w:val="auto"/>
        </w:rPr>
        <w:t>in Ireland, for each of the years presented, were not material.</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We recorded $9.2 million of long-lived asset impairment charges in 2022 comprised of long-lived assets which were primarily written off as a result of restructuring actions and certain business exits announced in the fourth quarter of 2022. No material long-lived asset impairment charges were recorded in 2021 or 2020.</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identifiable intangible assets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Goodwill represents the excess of the cost of acquired businesses over the net of the fair value of identifiable tangible net assets and identifiable intangible assets purchased and liabilities assumed.</w:t>
      </w:r>
    </w:p>
    <w:p>
      <w:pPr>
        <w:spacing w:after="0" w:line="149"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w:t>
      </w:r>
    </w:p>
    <w:p>
      <w:pPr>
        <w:spacing w:after="0" w:line="8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spacing w:after="0" w:line="9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a result of the qualitative assessment performed during 2022 and 2021, it was determined that it was more likely than not that the fair value of the reporting units exceeded their respective carrying values. Factors considered in the analysis included the 2020 discounted cash flow fair value assessment of the reporting units and the calculated excess fair value over carrying</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 The non-recurring fair value measurement is a “Level 3” measurement under the fair value hierarchy described in Note 9.</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Identifiable intangible assets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We complete our annual impairment test the first day of the fourth quarter each year for those identifiable assets not subject to amortization.</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described in Note 9.</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An impairment charge of $2.7 million was recorded in 2022 related to the write-off of a proprietary technology intangible asset as a result of a business exit announced in the fourth quarter of 2022. The impairment charge was recorded in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in our Consolidated Statements of Operations and Comprehensive Income. No additional impairment charges were recognized for identifiable intangible assets in 2022.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No impairment charges were recorded for identifiable intangible assets in 2021 or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Pension and other post-retirement plans</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w:t>
      </w:r>
    </w:p>
    <w:p>
      <w:pPr>
        <w:spacing w:after="0" w:line="7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 xml:space="preserve">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 The service costs are recorded within </w:t>
      </w:r>
      <w:r>
        <w:rPr>
          <w:rFonts w:ascii="Arial" w:cs="Arial" w:eastAsia="Arial" w:hAnsi="Arial"/>
          <w:sz w:val="13"/>
          <w:szCs w:val="13"/>
          <w:i w:val="1"/>
          <w:iCs w:val="1"/>
          <w:color w:val="auto"/>
        </w:rPr>
        <w:t>Operating income</w:t>
      </w:r>
      <w:r>
        <w:rPr>
          <w:rFonts w:ascii="Arial" w:cs="Arial" w:eastAsia="Arial" w:hAnsi="Arial"/>
          <w:sz w:val="13"/>
          <w:szCs w:val="13"/>
          <w:color w:val="auto"/>
        </w:rPr>
        <w:t xml:space="preserve"> and the interest costs, expected return on plan assets and net actuarial gain/loss components of net periodic pension and other post-retirement benefit costs are recorded within </w:t>
      </w:r>
      <w:r>
        <w:rPr>
          <w:rFonts w:ascii="Arial" w:cs="Arial" w:eastAsia="Arial" w:hAnsi="Arial"/>
          <w:sz w:val="13"/>
          <w:szCs w:val="13"/>
          <w:i w:val="1"/>
          <w:iCs w:val="1"/>
          <w:color w:val="auto"/>
        </w:rPr>
        <w:t>Other (income) expense .</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Insurance subsidiary</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A portion of our property and casualty insurance program is insured through our regulated wholly-owned captive insurance subsidiary, Penwald Insurance Company (“Penwald”). Reserves for policy claims are established based on actuarial projections of ultimate losses. As of December 31, 2022 and 2021, reserves for policy claims were $65.1 million, of which $13.0 million was included in </w:t>
      </w:r>
      <w:r>
        <w:rPr>
          <w:rFonts w:ascii="Arial" w:cs="Arial" w:eastAsia="Arial" w:hAnsi="Arial"/>
          <w:sz w:val="14"/>
          <w:szCs w:val="14"/>
          <w:i w:val="1"/>
          <w:iCs w:val="1"/>
          <w:color w:val="auto"/>
        </w:rPr>
        <w:t xml:space="preserve">Other current liabilities </w:t>
      </w:r>
      <w:r>
        <w:rPr>
          <w:rFonts w:ascii="Arial" w:cs="Arial" w:eastAsia="Arial" w:hAnsi="Arial"/>
          <w:sz w:val="14"/>
          <w:szCs w:val="14"/>
          <w:color w:val="auto"/>
        </w:rPr>
        <w:t>and $52.1 million was included in</w:t>
      </w:r>
      <w:r>
        <w:rPr>
          <w:rFonts w:ascii="Arial" w:cs="Arial" w:eastAsia="Arial" w:hAnsi="Arial"/>
          <w:sz w:val="14"/>
          <w:szCs w:val="14"/>
          <w:i w:val="1"/>
          <w:iCs w:val="1"/>
          <w:color w:val="auto"/>
        </w:rPr>
        <w:t xml:space="preserve"> Other non-current liabilities</w:t>
      </w:r>
      <w:r>
        <w:rPr>
          <w:rFonts w:ascii="Arial" w:cs="Arial" w:eastAsia="Arial" w:hAnsi="Arial"/>
          <w:sz w:val="14"/>
          <w:szCs w:val="14"/>
          <w:color w:val="auto"/>
        </w:rPr>
        <w:t>, and $55.6 million, of which $13.0 million was included in</w:t>
      </w:r>
      <w:r>
        <w:rPr>
          <w:rFonts w:ascii="Arial" w:cs="Arial" w:eastAsia="Arial" w:hAnsi="Arial"/>
          <w:sz w:val="14"/>
          <w:szCs w:val="14"/>
          <w:i w:val="1"/>
          <w:iCs w:val="1"/>
          <w:color w:val="auto"/>
        </w:rPr>
        <w:t xml:space="preserve"> Other current liabilities </w:t>
      </w:r>
      <w:r>
        <w:rPr>
          <w:rFonts w:ascii="Arial" w:cs="Arial" w:eastAsia="Arial" w:hAnsi="Arial"/>
          <w:sz w:val="14"/>
          <w:szCs w:val="14"/>
          <w:color w:val="auto"/>
        </w:rPr>
        <w:t>and $42.6 million was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included in </w:t>
      </w:r>
      <w:r>
        <w:rPr>
          <w:rFonts w:ascii="Arial" w:cs="Arial" w:eastAsia="Arial" w:hAnsi="Arial"/>
          <w:sz w:val="14"/>
          <w:szCs w:val="14"/>
          <w:i w:val="1"/>
          <w:iCs w:val="1"/>
          <w:color w:val="auto"/>
        </w:rPr>
        <w:t>Other non-current liabilities</w:t>
      </w:r>
      <w:r>
        <w:rPr>
          <w:rFonts w:ascii="Arial" w:cs="Arial" w:eastAsia="Arial" w:hAnsi="Arial"/>
          <w:sz w:val="14"/>
          <w:szCs w:val="14"/>
          <w:color w:val="auto"/>
        </w:rPr>
        <w:t>,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Restricted share awards and units (“RSUs”) are recorded as compensation cost over the requisite service periods based on the market value on the date of grant.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Performance share units (“PSUs”) are stock awards where the ultimate number of shares issued will be contingent on the Company’s performance against certain performance goals. The Compensation Committee has the ability to adjust performance goals or modify the manner of measuring or evaluating a performance goal using its discretion. The fair value of each PSU is based on the market value on the date of grant. We recognize expense related to the estimated vesting of our PSUs granted. The estimated vesting of the PSUs is based on the probability of achieving certain performance metrics over the specified performance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Earnings per ordinary share</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We recognize all derivatives, including those embedded in other contracts, as either assets or liabilities at fair value in our Consolidated Balance Sheets. If the derivative is designated and is effective as a cash-flow hedge, the effective portion of changes in the fair value of the derivative is recorded in </w:t>
      </w:r>
      <w:r>
        <w:rPr>
          <w:rFonts w:ascii="Arial" w:cs="Arial" w:eastAsia="Arial" w:hAnsi="Arial"/>
          <w:sz w:val="14"/>
          <w:szCs w:val="14"/>
          <w:i w:val="1"/>
          <w:iCs w:val="1"/>
          <w:color w:val="auto"/>
        </w:rPr>
        <w:t>Accumulated other comprehensive income (loss)</w:t>
      </w:r>
      <w:r>
        <w:rPr>
          <w:rFonts w:ascii="Arial" w:cs="Arial" w:eastAsia="Arial" w:hAnsi="Arial"/>
          <w:sz w:val="14"/>
          <w:szCs w:val="14"/>
          <w:color w:val="auto"/>
        </w:rPr>
        <w:t xml:space="preserve"> (“AOCI”) as a separate component of equity in the Consolidated Balance Sheets and is recognized in the Consolidated 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Gains and losses on net investment hedges are included in AOCI as a separate component of equity in the Consolidated Balance Sheets.</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financial statements of the Company’s non-U.S. dollar functional currency international subsidiaries are measured using the local currency as the functional currency.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spacing w:after="0" w:line="165"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2.</w:t>
      </w:r>
      <w:r>
        <w:rPr>
          <w:sz w:val="20"/>
          <w:szCs w:val="20"/>
          <w:color w:val="auto"/>
        </w:rPr>
        <w:tab/>
      </w:r>
      <w:r>
        <w:rPr>
          <w:rFonts w:ascii="Arial" w:cs="Arial" w:eastAsia="Arial" w:hAnsi="Arial"/>
          <w:sz w:val="12"/>
          <w:szCs w:val="12"/>
          <w:b w:val="1"/>
          <w:bCs w:val="1"/>
          <w:color w:val="auto"/>
        </w:rPr>
        <w:t>Acquisitions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On July 28, 2022, as part of our Consumer Solutions reporting segment, we acquired the issued and outstanding equity securities of certain subsidiaries of Welbilt, Inc. (“Welbilt”) and certain other assets, rights, and properties, and assumed certain liabilities, comprising Welbilt’s Manitowoc Ice business (“Manitowoc Ice”), for approximately $1.6 billion in cash.</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Manitowoc Ice is a designer, manufacturer and distributor of commercial ice machines. The acquisition of Manitowoc Ice allows us to enhance and deliver our total water management offerings to an expanded network of channel partners and customers.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purchase price has been preliminarily allocated based on the estimated fair value of assets acquired and liabilities assumed at the date of the Manitowoc Ice acquisition. The preliminary purchase price allocation is subject to further refinement and may require significant adjustments to arrive at the final purchase price allocation. These changes will primarily relate to income tax-related items. We expect the final purchase price allocation to be completed by the third quarter of 2023. There can be no assurance that such finalization will not result in material changes from the preliminary purchase price allocation.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our preliminary estimates of the fair values of the assets acquired and liabilities assumed in the Manitowoc Ice acquisition as previously reported and revised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3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As Originally Reported</w:t>
            </w:r>
          </w:p>
        </w:tc>
        <w:tc>
          <w:tcPr>
            <w:tcW w:w="5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right"/>
              <w:ind w:right="1009"/>
              <w:spacing w:after="0"/>
              <w:rPr>
                <w:sz w:val="20"/>
                <w:szCs w:val="20"/>
                <w:color w:val="auto"/>
              </w:rPr>
            </w:pPr>
            <w:r>
              <w:rPr>
                <w:rFonts w:ascii="Arial" w:cs="Arial" w:eastAsia="Arial" w:hAnsi="Arial"/>
                <w:sz w:val="14"/>
                <w:szCs w:val="14"/>
                <w:b w:val="1"/>
                <w:bCs w:val="1"/>
                <w:color w:val="auto"/>
              </w:rPr>
              <w:t>As Revised</w:t>
            </w: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23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Accounts receivable</w:t>
            </w:r>
          </w:p>
        </w:tc>
        <w:tc>
          <w:tcPr>
            <w:tcW w:w="236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39.7</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36.7</w:t>
            </w:r>
          </w:p>
        </w:tc>
      </w:tr>
      <w:tr>
        <w:trPr>
          <w:trHeight w:val="18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Inventories</w:t>
            </w:r>
          </w:p>
        </w:tc>
        <w:tc>
          <w:tcPr>
            <w:tcW w:w="236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236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3.9</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8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plant and equipment</w:t>
            </w:r>
          </w:p>
        </w:tc>
        <w:tc>
          <w:tcPr>
            <w:tcW w:w="236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Identifiable intangible assets</w:t>
            </w:r>
          </w:p>
        </w:tc>
        <w:tc>
          <w:tcPr>
            <w:tcW w:w="236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728.3</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728.3</w:t>
            </w:r>
          </w:p>
        </w:tc>
      </w:tr>
      <w:tr>
        <w:trPr>
          <w:trHeight w:val="18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36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796.7</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790.5</w:t>
            </w:r>
          </w:p>
        </w:tc>
      </w:tr>
      <w:tr>
        <w:trPr>
          <w:trHeight w:val="180"/>
        </w:trPr>
        <w:tc>
          <w:tcPr>
            <w:tcW w:w="36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360" w:type="dxa"/>
            <w:vAlign w:val="bottom"/>
          </w:tcPr>
          <w:p>
            <w:pPr>
              <w:spacing w:after="0"/>
              <w:rPr>
                <w:sz w:val="15"/>
                <w:szCs w:val="15"/>
                <w:color w:val="auto"/>
              </w:rPr>
            </w:pPr>
          </w:p>
        </w:tc>
        <w:tc>
          <w:tcPr>
            <w:tcW w:w="2420" w:type="dxa"/>
            <w:vAlign w:val="bottom"/>
          </w:tcPr>
          <w:p>
            <w:pPr>
              <w:jc w:val="right"/>
              <w:spacing w:after="0"/>
              <w:rPr>
                <w:sz w:val="20"/>
                <w:szCs w:val="20"/>
                <w:color w:val="auto"/>
              </w:rPr>
            </w:pPr>
            <w:r>
              <w:rPr>
                <w:rFonts w:ascii="Arial" w:cs="Arial" w:eastAsia="Arial" w:hAnsi="Arial"/>
                <w:sz w:val="14"/>
                <w:szCs w:val="14"/>
                <w:color w:val="auto"/>
              </w:rPr>
              <w:t>1.8</w:t>
            </w:r>
          </w:p>
        </w:tc>
        <w:tc>
          <w:tcPr>
            <w:tcW w:w="580" w:type="dxa"/>
            <w:vAlign w:val="bottom"/>
          </w:tcPr>
          <w:p>
            <w:pPr>
              <w:spacing w:after="0"/>
              <w:rPr>
                <w:sz w:val="15"/>
                <w:szCs w:val="15"/>
                <w:color w:val="auto"/>
              </w:rPr>
            </w:pPr>
          </w:p>
        </w:tc>
        <w:tc>
          <w:tcPr>
            <w:tcW w:w="2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18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360" w:type="dxa"/>
            <w:vAlign w:val="bottom"/>
            <w:shd w:val="clear" w:color="auto" w:fill="CCEEFF"/>
          </w:tcPr>
          <w:p>
            <w:pPr>
              <w:spacing w:after="0"/>
              <w:rPr>
                <w:sz w:val="15"/>
                <w:szCs w:val="15"/>
                <w:color w:val="auto"/>
              </w:rPr>
            </w:pPr>
          </w:p>
        </w:tc>
        <w:tc>
          <w:tcPr>
            <w:tcW w:w="2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w:t>
            </w:r>
          </w:p>
        </w:tc>
        <w:tc>
          <w:tcPr>
            <w:tcW w:w="580" w:type="dxa"/>
            <w:vAlign w:val="bottom"/>
            <w:shd w:val="clear" w:color="auto" w:fill="CCEEFF"/>
          </w:tcPr>
          <w:p>
            <w:pPr>
              <w:spacing w:after="0"/>
              <w:rPr>
                <w:sz w:val="15"/>
                <w:szCs w:val="15"/>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r>
      <w:tr>
        <w:trPr>
          <w:trHeight w:val="18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23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5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r>
      <w:tr>
        <w:trPr>
          <w:trHeight w:val="196"/>
        </w:trPr>
        <w:tc>
          <w:tcPr>
            <w:tcW w:w="3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2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1,625.3</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1,613.3</w:t>
            </w:r>
          </w:p>
        </w:tc>
      </w:tr>
      <w:tr>
        <w:trPr>
          <w:trHeight w:val="20"/>
        </w:trPr>
        <w:tc>
          <w:tcPr>
            <w:tcW w:w="36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excess of purchase price over tangible net assets and identified intangible assets acquired has been preliminarily allocated to goodwill in the amount of $790.5 million, all of which is expected to be deductible for income tax purposes. Goodwill recognized from the Manitowoc Ice acquisition primarily reflects the future economic benefit resulting from synergies of our combined operations.</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Identifiable intangible assets acquired as part of the Manitowoc Ice acquisition include $78.4 million of indefinite-lived trade name intangible assets, $588.4 million of definite-lived customer relationships with a weighted-average estimated useful life of 20 years, $47.1 million of definite-lived proprietary technology intangible assets with a weighted-average estimated useful life of 10 years and $14.4 million of other definite-lived intangible assets with a weighted-average estimated useful life of four months. The fair values of trade names and proprietary technology acquired in the acquisition were determined using a relief-from-royalty method, and customer relationships and other definite-lived intangible assets acquired were determined using a multi-period excess earnings method. These methods utilize unobservable inputs that are significant to these fair value measurements and thus classified as Level 3 of the fair value hierarchy described in Note 9.</w:t>
      </w:r>
    </w:p>
    <w:p>
      <w:pPr>
        <w:spacing w:after="0" w:line="92" w:lineRule="exact"/>
        <w:rPr>
          <w:sz w:val="20"/>
          <w:szCs w:val="20"/>
          <w:color w:val="auto"/>
        </w:rPr>
      </w:pPr>
    </w:p>
    <w:p>
      <w:pPr>
        <w:jc w:val="both"/>
        <w:spacing w:after="0" w:line="319" w:lineRule="auto"/>
        <w:rPr>
          <w:sz w:val="20"/>
          <w:szCs w:val="20"/>
          <w:color w:val="auto"/>
        </w:rPr>
      </w:pPr>
      <w:r>
        <w:rPr>
          <w:rFonts w:ascii="Arial" w:cs="Arial" w:eastAsia="Arial" w:hAnsi="Arial"/>
          <w:sz w:val="12"/>
          <w:szCs w:val="12"/>
          <w:color w:val="auto"/>
        </w:rPr>
        <w:t xml:space="preserve">For the year ended December 31, 2022, non-recurring expense related to the fair value adjustment to acquisition-date inventory of $5.8 million, transaction-related charges of $19.9 million, and acquisition-related bridge financing costs of $9.0 million are reflected in </w:t>
      </w:r>
      <w:r>
        <w:rPr>
          <w:rFonts w:ascii="Arial" w:cs="Arial" w:eastAsia="Arial" w:hAnsi="Arial"/>
          <w:sz w:val="12"/>
          <w:szCs w:val="12"/>
          <w:i w:val="1"/>
          <w:iCs w:val="1"/>
          <w:color w:val="auto"/>
        </w:rPr>
        <w:t>Cost of goods sold</w:t>
      </w:r>
      <w:r>
        <w:rPr>
          <w:rFonts w:ascii="Arial" w:cs="Arial" w:eastAsia="Arial" w:hAnsi="Arial"/>
          <w:sz w:val="12"/>
          <w:szCs w:val="12"/>
          <w:color w:val="auto"/>
        </w:rPr>
        <w:t xml:space="preserve">, </w:t>
      </w:r>
      <w:r>
        <w:rPr>
          <w:rFonts w:ascii="Arial" w:cs="Arial" w:eastAsia="Arial" w:hAnsi="Arial"/>
          <w:sz w:val="12"/>
          <w:szCs w:val="12"/>
          <w:i w:val="1"/>
          <w:iCs w:val="1"/>
          <w:color w:val="auto"/>
        </w:rPr>
        <w:t>Selling, general and administrative</w:t>
      </w:r>
      <w:r>
        <w:rPr>
          <w:rFonts w:ascii="Arial" w:cs="Arial" w:eastAsia="Arial" w:hAnsi="Arial"/>
          <w:sz w:val="12"/>
          <w:szCs w:val="12"/>
          <w:color w:val="auto"/>
        </w:rPr>
        <w:t xml:space="preserve"> and </w:t>
      </w:r>
      <w:r>
        <w:rPr>
          <w:rFonts w:ascii="Arial" w:cs="Arial" w:eastAsia="Arial" w:hAnsi="Arial"/>
          <w:sz w:val="12"/>
          <w:szCs w:val="12"/>
          <w:i w:val="1"/>
          <w:iCs w:val="1"/>
          <w:color w:val="auto"/>
        </w:rPr>
        <w:t>Net interest expense</w:t>
      </w:r>
      <w:r>
        <w:rPr>
          <w:rFonts w:ascii="Arial" w:cs="Arial" w:eastAsia="Arial" w:hAnsi="Arial"/>
          <w:sz w:val="12"/>
          <w:szCs w:val="12"/>
          <w:color w:val="auto"/>
        </w:rPr>
        <w:t>, respectively, in the Consolidated Statements of Operations and Comprehensive Income. Manitowoc Ice’s net sales and operating income for the period from the acquisition date to December 31, 2022 were $156.3 million and $12.2 million, respectively. Manitowoc’s operating income includes $28.6 million of identifiable intangible asset amortization expense and $5.8 million of amortization of inventory fair market value step-up.</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240" w:type="dxa"/>
            <w:vAlign w:val="bottom"/>
            <w:gridSpan w:val="2"/>
          </w:tcPr>
          <w:p>
            <w:pPr>
              <w:spacing w:after="0"/>
              <w:rPr>
                <w:sz w:val="20"/>
                <w:szCs w:val="20"/>
                <w:color w:val="auto"/>
              </w:rPr>
            </w:pPr>
            <w:r>
              <w:rPr>
                <w:rFonts w:ascii="Arial" w:cs="Arial" w:eastAsia="Arial" w:hAnsi="Arial"/>
                <w:sz w:val="14"/>
                <w:szCs w:val="14"/>
                <w:color w:val="auto"/>
                <w:w w:val="95"/>
              </w:rPr>
              <w:t>The following table presents unaudited pro forma financial information as if the Manitowoc Ice acquisition had occurred on January 1, 2021:</w:t>
            </w: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29"/>
        </w:trPr>
        <w:tc>
          <w:tcPr>
            <w:tcW w:w="69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3"/>
              </w:rPr>
              <w:t>Years Ended December 31</w:t>
            </w:r>
          </w:p>
        </w:tc>
        <w:tc>
          <w:tcPr>
            <w:tcW w:w="1300" w:type="dxa"/>
            <w:vAlign w:val="bottom"/>
            <w:tcBorders>
              <w:bottom w:val="single" w:sz="8" w:color="auto"/>
            </w:tcBorders>
          </w:tcPr>
          <w:p>
            <w:pPr>
              <w:spacing w:after="0"/>
              <w:rPr>
                <w:sz w:val="24"/>
                <w:szCs w:val="24"/>
                <w:color w:val="auto"/>
              </w:rPr>
            </w:pPr>
          </w:p>
        </w:tc>
      </w:tr>
      <w:tr>
        <w:trPr>
          <w:trHeight w:val="171"/>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3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2021</w:t>
            </w:r>
          </w:p>
        </w:tc>
      </w:tr>
      <w:tr>
        <w:trPr>
          <w:trHeight w:val="17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 forma net sales</w:t>
            </w:r>
          </w:p>
        </w:tc>
        <w:tc>
          <w:tcPr>
            <w:tcW w:w="1300" w:type="dxa"/>
            <w:vAlign w:val="bottom"/>
            <w:shd w:val="clear" w:color="auto" w:fill="CCEEFF"/>
          </w:tcPr>
          <w:p>
            <w:pPr>
              <w:jc w:val="right"/>
              <w:ind w:right="1149"/>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4,328.6</w:t>
            </w:r>
          </w:p>
        </w:tc>
        <w:tc>
          <w:tcPr>
            <w:tcW w:w="90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4,072.1</w:t>
            </w:r>
          </w:p>
        </w:tc>
      </w:tr>
      <w:tr>
        <w:trPr>
          <w:trHeight w:val="180"/>
        </w:trPr>
        <w:tc>
          <w:tcPr>
            <w:tcW w:w="6940" w:type="dxa"/>
            <w:vAlign w:val="bottom"/>
          </w:tcPr>
          <w:p>
            <w:pPr>
              <w:ind w:left="20"/>
              <w:spacing w:after="0"/>
              <w:rPr>
                <w:sz w:val="20"/>
                <w:szCs w:val="20"/>
                <w:color w:val="auto"/>
              </w:rPr>
            </w:pPr>
            <w:r>
              <w:rPr>
                <w:rFonts w:ascii="Arial" w:cs="Arial" w:eastAsia="Arial" w:hAnsi="Arial"/>
                <w:sz w:val="14"/>
                <w:szCs w:val="14"/>
                <w:color w:val="auto"/>
              </w:rPr>
              <w:t>Pro forma net income from continuing operations</w:t>
            </w:r>
          </w:p>
        </w:tc>
        <w:tc>
          <w:tcPr>
            <w:tcW w:w="1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486.3</w:t>
            </w:r>
          </w:p>
        </w:tc>
        <w:tc>
          <w:tcPr>
            <w:tcW w:w="9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523.3</w:t>
            </w:r>
          </w:p>
        </w:tc>
      </w:tr>
      <w:tr>
        <w:trPr>
          <w:trHeight w:val="18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 forma earnings per ordinary share - continuing operations</w:t>
            </w:r>
          </w:p>
        </w:tc>
        <w:tc>
          <w:tcPr>
            <w:tcW w:w="13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180"/>
        </w:trPr>
        <w:tc>
          <w:tcPr>
            <w:tcW w:w="6940" w:type="dxa"/>
            <w:vAlign w:val="bottom"/>
          </w:tcPr>
          <w:p>
            <w:pPr>
              <w:ind w:left="20"/>
              <w:spacing w:after="0"/>
              <w:rPr>
                <w:sz w:val="20"/>
                <w:szCs w:val="20"/>
                <w:color w:val="auto"/>
              </w:rPr>
            </w:pPr>
            <w:r>
              <w:rPr>
                <w:rFonts w:ascii="Arial" w:cs="Arial" w:eastAsia="Arial" w:hAnsi="Arial"/>
                <w:sz w:val="14"/>
                <w:szCs w:val="14"/>
                <w:color w:val="auto"/>
              </w:rPr>
              <w:t>Basic</w:t>
            </w:r>
          </w:p>
        </w:tc>
        <w:tc>
          <w:tcPr>
            <w:tcW w:w="1300" w:type="dxa"/>
            <w:vAlign w:val="bottom"/>
          </w:tcPr>
          <w:p>
            <w:pPr>
              <w:jc w:val="right"/>
              <w:ind w:right="1149"/>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2.95</w:t>
            </w:r>
          </w:p>
        </w:tc>
        <w:tc>
          <w:tcPr>
            <w:tcW w:w="90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181"/>
        </w:trPr>
        <w:tc>
          <w:tcPr>
            <w:tcW w:w="6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3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9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r>
    </w:tbl>
    <w:p>
      <w:pPr>
        <w:spacing w:after="0" w:line="2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unaudited pro forma net income from continuing operations includes Manitowoc Ice’s identifiable intangible asset amortization expense of $34.1 million and $48.5 million for the years ended December 31, 2022 and 2021, respectively. The unaudited pro forma net income from continuing operations for the year ended December 31, 2022 excludes the impact of $34.7 million of transaction-related charges, acquisition-related bridge financing costs and non-recurring expense related to the fair value adjustment to acquisition-date inventory. The year ended December 31, 2021 was adjusted to include transaction-related charges and non-recurring expense related to the fair value adjustment to acquisition-date inventory.</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pro forma condensed consolidated financial information has been prepared for comparative purposes only and includes certain adjustments, as noted above. The adjustments are estimates based on currently available information and actual amounts may differ materially from these estimates. They do not reflect the effect of costs or synergies that would have been expected to result from the integration of the Manitowoc Ice acquisition. The pro forma information does not purport to be indicative of the results of operations that actually would have resulted had the Manitowoc Ice acquisition occurred on January 1, 2021.</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October 2021, as part of both of our Consumer Solutions and Industrial &amp; Flow Technologies reporting segments, we completed the acquisition of Pleatco Holdings, LLC and related entities for $256.9 million in cash, net of cash acquired and working capital true-ups. The excess of purchase price over tangible net assets acquired has been allocated to goodwill in the amount of $140.6 million, $136.4 million of which is expected to be deductible for income tax purposes. Identifiable intangible assets acquired consisted of $97.9 million of definite-lived customer relationships with an estimated useful life of 17 years. The pro forma impact of this acquisition is not material.</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May 2021, as part of our Consumer Solutions reporting segment, we completed the acquisition of Ken’s Beverage, Inc. for $82.2 million in cash, net of cash acquired and working capital true-ups. The excess of purchase price over tangible net assets acquired has been allocated to goodwill in the amount of $28.3 million, all of which is expected to be deductible for income tax purposes. Identifiable intangible assets acquired consisted of $38.0 million of definite-lived customer relationships with an estimated useful life of 22 years. The pro forma impact of this acquisition is not material.</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In 2020, our Consumer Solutions reporting segment completed acquisitions with purchase prices totaling $58.0 million in cash,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0"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3.</w:t>
      </w:r>
      <w:r>
        <w:rPr>
          <w:sz w:val="20"/>
          <w:szCs w:val="20"/>
          <w:color w:val="auto"/>
        </w:rPr>
        <w:tab/>
      </w:r>
      <w:r>
        <w:rPr>
          <w:rFonts w:ascii="Arial" w:cs="Arial" w:eastAsia="Arial" w:hAnsi="Arial"/>
          <w:sz w:val="12"/>
          <w:szCs w:val="12"/>
          <w:b w:val="1"/>
          <w:bCs w:val="1"/>
          <w:color w:val="auto"/>
        </w:rPr>
        <w:t>Earnings Per Share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Basic and diluted earnings per share were calculated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171"/>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r>
      <w:tr>
        <w:trPr>
          <w:trHeight w:val="196"/>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480.9</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553.0</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358.6</w:t>
            </w:r>
          </w:p>
        </w:tc>
      </w:tr>
      <w:tr>
        <w:trPr>
          <w:trHeight w:val="20"/>
        </w:trPr>
        <w:tc>
          <w:tcPr>
            <w:tcW w:w="7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24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rPr>
              <w:t>Net income from continuing operations</w:t>
            </w:r>
          </w:p>
        </w:tc>
        <w:tc>
          <w:tcPr>
            <w:tcW w:w="300" w:type="dxa"/>
            <w:vAlign w:val="bottom"/>
            <w:tcBorders>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483.2</w:t>
            </w:r>
          </w:p>
        </w:tc>
        <w:tc>
          <w:tcPr>
            <w:tcW w:w="320" w:type="dxa"/>
            <w:vAlign w:val="bottom"/>
            <w:tcBorders>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556.0</w:t>
            </w:r>
          </w:p>
        </w:tc>
        <w:tc>
          <w:tcPr>
            <w:tcW w:w="320" w:type="dxa"/>
            <w:vAlign w:val="bottom"/>
            <w:tcBorders>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357.1</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Weighted average ordinary shares outstanding</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7240" w:type="dxa"/>
            <w:vAlign w:val="bottom"/>
          </w:tcPr>
          <w:p>
            <w:pPr>
              <w:ind w:left="20"/>
              <w:spacing w:after="0"/>
              <w:rPr>
                <w:sz w:val="20"/>
                <w:szCs w:val="20"/>
                <w:color w:val="auto"/>
              </w:rPr>
            </w:pPr>
            <w:r>
              <w:rPr>
                <w:rFonts w:ascii="Arial" w:cs="Arial" w:eastAsia="Arial" w:hAnsi="Arial"/>
                <w:sz w:val="14"/>
                <w:szCs w:val="14"/>
                <w:color w:val="auto"/>
              </w:rPr>
              <w:t>Basic</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164.8</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165.8</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166.5</w:t>
            </w:r>
          </w:p>
        </w:tc>
      </w:tr>
      <w:tr>
        <w:trPr>
          <w:trHeight w:val="180"/>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Dilutive impact of stock options and restricted stock awards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71"/>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165.6</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167.5</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3"/>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(loss) per ordinary share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80"/>
        </w:trPr>
        <w:tc>
          <w:tcPr>
            <w:tcW w:w="72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Basic</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Discontinued operations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Basic earnings per ordinary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r>
      <w:tr>
        <w:trPr>
          <w:trHeight w:val="20"/>
        </w:trPr>
        <w:tc>
          <w:tcPr>
            <w:tcW w:w="7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240" w:type="dxa"/>
            <w:vAlign w:val="bottom"/>
          </w:tcPr>
          <w:p>
            <w:pPr>
              <w:ind w:left="20"/>
              <w:spacing w:after="0" w:line="143" w:lineRule="exact"/>
              <w:rPr>
                <w:sz w:val="20"/>
                <w:szCs w:val="20"/>
                <w:color w:val="auto"/>
              </w:rPr>
            </w:pPr>
            <w:r>
              <w:rPr>
                <w:rFonts w:ascii="Arial" w:cs="Arial" w:eastAsia="Arial" w:hAnsi="Arial"/>
                <w:sz w:val="14"/>
                <w:szCs w:val="14"/>
                <w:b w:val="1"/>
                <w:bCs w:val="1"/>
                <w:i w:val="1"/>
                <w:iCs w:val="1"/>
                <w:color w:val="auto"/>
              </w:rPr>
              <w:t>Diluted</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1"/>
        </w:trPr>
        <w:tc>
          <w:tcPr>
            <w:tcW w:w="7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Continuing operations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w:t>
            </w:r>
          </w:p>
        </w:tc>
      </w:tr>
      <w:tr>
        <w:trPr>
          <w:trHeight w:val="180"/>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Discontinued operations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0.01</w:t>
            </w:r>
          </w:p>
        </w:tc>
      </w:tr>
      <w:tr>
        <w:trPr>
          <w:trHeight w:val="196"/>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ordinary share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7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7240" w:type="dxa"/>
            <w:vAlign w:val="bottom"/>
            <w:tcBorders>
              <w:bottom w:val="single" w:sz="8" w:color="auto"/>
            </w:tcBorders>
          </w:tcPr>
          <w:p>
            <w:pPr>
              <w:ind w:left="20"/>
              <w:spacing w:after="0" w:line="143" w:lineRule="exact"/>
              <w:rPr>
                <w:sz w:val="20"/>
                <w:szCs w:val="20"/>
                <w:color w:val="auto"/>
              </w:rPr>
            </w:pPr>
            <w:r>
              <w:rPr>
                <w:rFonts w:ascii="Arial" w:cs="Arial" w:eastAsia="Arial" w:hAnsi="Arial"/>
                <w:sz w:val="14"/>
                <w:szCs w:val="14"/>
                <w:b w:val="1"/>
                <w:bCs w:val="1"/>
                <w:color w:val="auto"/>
              </w:rPr>
              <w:t>Anti-dilutive stock options excluded from the calculation of diluted earnings per share</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0.9</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tabs>
          <w:tab w:leader="none" w:pos="240" w:val="left"/>
        </w:tabs>
        <w:rPr>
          <w:sz w:val="20"/>
          <w:szCs w:val="20"/>
          <w:color w:val="auto"/>
        </w:rPr>
      </w:pPr>
      <w:r>
        <w:rPr>
          <w:rFonts w:ascii="Arial" w:cs="Arial" w:eastAsia="Arial" w:hAnsi="Arial"/>
          <w:sz w:val="14"/>
          <w:szCs w:val="14"/>
          <w:b w:val="1"/>
          <w:bCs w:val="1"/>
          <w:color w:val="auto"/>
        </w:rPr>
        <w:t>4.</w:t>
      </w:r>
      <w:r>
        <w:rPr>
          <w:sz w:val="20"/>
          <w:szCs w:val="20"/>
          <w:color w:val="auto"/>
        </w:rPr>
        <w:tab/>
      </w:r>
      <w:r>
        <w:rPr>
          <w:rFonts w:ascii="Arial" w:cs="Arial" w:eastAsia="Arial" w:hAnsi="Arial"/>
          <w:sz w:val="12"/>
          <w:szCs w:val="12"/>
          <w:b w:val="1"/>
          <w:bCs w:val="1"/>
          <w:color w:val="auto"/>
        </w:rPr>
        <w:t>Restructuring and Transformation Program</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2022, we initiated and continued execution of certain business restructuring initiatives aimed at reducing our fixed cost structure and realigning our business, including the announcement of certain business exits within the residential business of our Consumer Solutions segment. In addition, we executed certain initiatives in 2022 and 2021 associated with the Transformation Program. Initiatives during the years ended December 31, 2022, 2021 and 2020 included a reduction in hourly and salaried headcount of approximately 625 employees, 75 employees and 175 employees, respectively.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 xml:space="preserve">Restructuring and transformation-related costs included in </w:t>
      </w:r>
      <w:r>
        <w:rPr>
          <w:rFonts w:ascii="Arial" w:cs="Arial" w:eastAsia="Arial" w:hAnsi="Arial"/>
          <w:sz w:val="14"/>
          <w:szCs w:val="14"/>
          <w:i w:val="1"/>
          <w:iCs w:val="1"/>
          <w:color w:val="auto"/>
        </w:rPr>
        <w:t>Cost of goods sold</w:t>
      </w:r>
      <w:r>
        <w:rPr>
          <w:rFonts w:ascii="Arial" w:cs="Arial" w:eastAsia="Arial" w:hAnsi="Arial"/>
          <w:sz w:val="14"/>
          <w:szCs w:val="14"/>
          <w:color w:val="auto"/>
        </w:rPr>
        <w:t xml:space="preserve"> and </w:t>
      </w:r>
      <w:r>
        <w:rPr>
          <w:rFonts w:ascii="Arial" w:cs="Arial" w:eastAsia="Arial" w:hAnsi="Arial"/>
          <w:sz w:val="14"/>
          <w:szCs w:val="14"/>
          <w:i w:val="1"/>
          <w:iCs w:val="1"/>
          <w:color w:val="auto"/>
        </w:rPr>
        <w:t>Selling, general and administrative</w:t>
      </w:r>
      <w:r>
        <w:rPr>
          <w:rFonts w:ascii="Arial" w:cs="Arial" w:eastAsia="Arial" w:hAnsi="Arial"/>
          <w:sz w:val="14"/>
          <w:szCs w:val="14"/>
          <w:color w:val="auto"/>
        </w:rPr>
        <w:t xml:space="preserve"> expenses in the Consolidated Statements of Operations and Comprehensive Income included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Restructuring Initiatives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Severance and related costs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3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181"/>
        </w:trPr>
        <w:tc>
          <w:tcPr>
            <w:tcW w:w="69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Asset impairment and write-offs </w:t>
            </w:r>
            <w:r>
              <w:rPr>
                <w:rFonts w:ascii="Arial" w:cs="Arial" w:eastAsia="Arial" w:hAnsi="Arial"/>
                <w:sz w:val="18"/>
                <w:szCs w:val="18"/>
                <w:color w:val="auto"/>
                <w:vertAlign w:val="superscript"/>
              </w:rPr>
              <w:t>(1)</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0"/>
        </w:trPr>
        <w:tc>
          <w:tcPr>
            <w:tcW w:w="6980" w:type="dxa"/>
            <w:vAlign w:val="bottom"/>
            <w:tcBorders>
              <w:bottom w:val="single" w:sz="8" w:color="auto"/>
            </w:tcBorders>
          </w:tcPr>
          <w:p>
            <w:pPr>
              <w:ind w:left="20"/>
              <w:spacing w:after="0" w:line="181" w:lineRule="exact"/>
              <w:rPr>
                <w:sz w:val="20"/>
                <w:szCs w:val="20"/>
                <w:color w:val="auto"/>
              </w:rPr>
            </w:pPr>
            <w:r>
              <w:rPr>
                <w:rFonts w:ascii="Arial" w:cs="Arial" w:eastAsia="Arial" w:hAnsi="Arial"/>
                <w:sz w:val="14"/>
                <w:szCs w:val="14"/>
                <w:color w:val="auto"/>
              </w:rPr>
              <w:t xml:space="preserve">Other restructuring costs </w:t>
            </w:r>
            <w:r>
              <w:rPr>
                <w:rFonts w:ascii="Arial" w:cs="Arial" w:eastAsia="Arial" w:hAnsi="Arial"/>
                <w:sz w:val="18"/>
                <w:szCs w:val="18"/>
                <w:color w:val="auto"/>
                <w:vertAlign w:val="superscript"/>
              </w:rPr>
              <w:t>(2)</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restructuring costs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3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b w:val="1"/>
                <w:bCs w:val="1"/>
                <w:color w:val="auto"/>
              </w:rPr>
              <w:t>Transformation Program</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Severance and related costs</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80" w:type="dxa"/>
            <w:vAlign w:val="bottom"/>
            <w:tcBorders>
              <w:bottom w:val="single" w:sz="8" w:color="auto"/>
            </w:tcBorders>
          </w:tcPr>
          <w:p>
            <w:pPr>
              <w:ind w:left="20"/>
              <w:spacing w:after="0" w:line="181" w:lineRule="exact"/>
              <w:rPr>
                <w:sz w:val="20"/>
                <w:szCs w:val="20"/>
                <w:color w:val="auto"/>
              </w:rPr>
            </w:pPr>
            <w:r>
              <w:rPr>
                <w:rFonts w:ascii="Arial" w:cs="Arial" w:eastAsia="Arial" w:hAnsi="Arial"/>
                <w:sz w:val="14"/>
                <w:szCs w:val="14"/>
                <w:color w:val="auto"/>
              </w:rPr>
              <w:t xml:space="preserve">Other transformation costs </w:t>
            </w:r>
            <w:r>
              <w:rPr>
                <w:rFonts w:ascii="Arial" w:cs="Arial" w:eastAsia="Arial" w:hAnsi="Arial"/>
                <w:sz w:val="18"/>
                <w:szCs w:val="18"/>
                <w:color w:val="auto"/>
                <w:vertAlign w:val="superscript"/>
              </w:rPr>
              <w:t>(3)</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transformation costs</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restructuring and transformation costs</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3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200" w:hanging="195"/>
        <w:spacing w:after="0" w:line="243" w:lineRule="auto"/>
        <w:tabs>
          <w:tab w:leader="none" w:pos="150" w:val="left"/>
        </w:tabs>
        <w:numPr>
          <w:ilvl w:val="0"/>
          <w:numId w:val="43"/>
        </w:numPr>
        <w:rPr>
          <w:rFonts w:ascii="Arial" w:cs="Arial" w:eastAsia="Arial" w:hAnsi="Arial"/>
          <w:sz w:val="17"/>
          <w:szCs w:val="17"/>
          <w:color w:val="auto"/>
          <w:vertAlign w:val="superscript"/>
        </w:rPr>
      </w:pPr>
      <w:r>
        <w:rPr>
          <w:rFonts w:ascii="Arial" w:cs="Arial" w:eastAsia="Arial" w:hAnsi="Arial"/>
          <w:sz w:val="13"/>
          <w:szCs w:val="13"/>
          <w:color w:val="auto"/>
        </w:rPr>
        <w:t>Asset impairment and write-offs consist of inventory, long-lived assets and an identifiable intangible asset, which were impaired as a result of restructuring actions and certain business exits announced in the fourth quarter of 2022.</w:t>
      </w:r>
    </w:p>
    <w:p>
      <w:pPr>
        <w:ind w:left="140" w:hanging="135"/>
        <w:spacing w:after="0" w:line="221"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Other restructuring costs primarily consist of certain accruals and various contract termination costs associated with business exits.</w:t>
      </w:r>
    </w:p>
    <w:p>
      <w:pPr>
        <w:spacing w:after="0" w:line="2" w:lineRule="exact"/>
        <w:rPr>
          <w:rFonts w:ascii="Arial" w:cs="Arial" w:eastAsia="Arial" w:hAnsi="Arial"/>
          <w:sz w:val="16"/>
          <w:szCs w:val="16"/>
          <w:color w:val="auto"/>
          <w:vertAlign w:val="superscript"/>
        </w:rPr>
      </w:pPr>
    </w:p>
    <w:p>
      <w:pPr>
        <w:ind w:left="140" w:hanging="135"/>
        <w:spacing w:after="0" w:line="219" w:lineRule="auto"/>
        <w:tabs>
          <w:tab w:leader="none" w:pos="140" w:val="left"/>
        </w:tabs>
        <w:numPr>
          <w:ilvl w:val="0"/>
          <w:numId w:val="43"/>
        </w:numPr>
        <w:rPr>
          <w:rFonts w:ascii="Arial" w:cs="Arial" w:eastAsia="Arial" w:hAnsi="Arial"/>
          <w:sz w:val="16"/>
          <w:szCs w:val="16"/>
          <w:color w:val="auto"/>
          <w:vertAlign w:val="superscript"/>
        </w:rPr>
      </w:pPr>
      <w:r>
        <w:rPr>
          <w:rFonts w:ascii="Arial" w:cs="Arial" w:eastAsia="Arial" w:hAnsi="Arial"/>
          <w:sz w:val="13"/>
          <w:szCs w:val="13"/>
          <w:color w:val="auto"/>
        </w:rPr>
        <w:t>Other transformation costs primarily consist of professional services and project management related costs.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Restructuring and transformation costs by reportable segment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769"/>
              <w:spacing w:after="0"/>
              <w:rPr>
                <w:sz w:val="20"/>
                <w:szCs w:val="20"/>
                <w:color w:val="auto"/>
              </w:rPr>
            </w:pPr>
            <w:r>
              <w:rPr>
                <w:rFonts w:ascii="Arial" w:cs="Arial" w:eastAsia="Arial" w:hAnsi="Arial"/>
                <w:sz w:val="14"/>
                <w:szCs w:val="14"/>
                <w:b w:val="1"/>
                <w:bCs w:val="1"/>
                <w:color w:val="auto"/>
                <w:w w:val="91"/>
              </w:rPr>
              <w:t>Years ended December 31</w:t>
            </w:r>
          </w:p>
        </w:tc>
        <w:tc>
          <w:tcPr>
            <w:tcW w:w="4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929"/>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5"/>
              </w:rPr>
              <w:t>55.4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Arial" w:cs="Arial" w:eastAsia="Arial" w:hAnsi="Arial"/>
                <w:sz w:val="14"/>
                <w:szCs w:val="14"/>
                <w:color w:val="auto"/>
              </w:rPr>
              <w:t>Industrial &amp; Flow Technologies</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5"/>
              </w:rPr>
              <w:t>25.9</w:t>
            </w: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right"/>
              <w:ind w:right="929"/>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83.5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19.1</w:t>
            </w: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gridSpan w:val="7"/>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8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9580" w:type="dxa"/>
            <w:vAlign w:val="bottom"/>
            <w:gridSpan w:val="12"/>
          </w:tcPr>
          <w:p>
            <w:pPr>
              <w:spacing w:after="0"/>
              <w:rPr>
                <w:sz w:val="20"/>
                <w:szCs w:val="20"/>
                <w:color w:val="auto"/>
              </w:rPr>
            </w:pPr>
            <w:r>
              <w:rPr>
                <w:rFonts w:ascii="Arial" w:cs="Arial" w:eastAsia="Arial" w:hAnsi="Arial"/>
                <w:sz w:val="14"/>
                <w:szCs w:val="14"/>
                <w:color w:val="auto"/>
              </w:rPr>
              <w:t xml:space="preserve">Activity related to accrued severance and related costs recorded 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in the Consolidated Balance Sheets is summarized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99"/>
              </w:rPr>
              <w:t>Years ended December 31</w:t>
            </w:r>
          </w:p>
        </w:tc>
        <w:tc>
          <w:tcPr>
            <w:tcW w:w="48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960"/>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20" w:type="dxa"/>
            <w:vAlign w:val="bottom"/>
          </w:tcPr>
          <w:p>
            <w:pPr>
              <w:ind w:left="20"/>
              <w:spacing w:after="0"/>
              <w:rPr>
                <w:sz w:val="20"/>
                <w:szCs w:val="20"/>
                <w:color w:val="auto"/>
              </w:rPr>
            </w:pPr>
            <w:r>
              <w:rPr>
                <w:rFonts w:ascii="Arial" w:cs="Arial" w:eastAsia="Arial" w:hAnsi="Arial"/>
                <w:sz w:val="14"/>
                <w:szCs w:val="14"/>
                <w:color w:val="auto"/>
              </w:rPr>
              <w:t>Costs incurred</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96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payments and other</w:t>
            </w:r>
          </w:p>
        </w:tc>
        <w:tc>
          <w:tcPr>
            <w:tcW w:w="2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4"/>
                <w:szCs w:val="14"/>
                <w:color w:val="auto"/>
                <w:w w:val="90"/>
              </w:rPr>
              <w:t>(8.6)</w:t>
            </w: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2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color w:val="auto"/>
              </w:rPr>
              <w:t>23.2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3320" w:type="dxa"/>
            <w:vAlign w:val="bottom"/>
          </w:tcPr>
          <w:p>
            <w:pPr>
              <w:spacing w:after="0"/>
              <w:rPr>
                <w:sz w:val="20"/>
                <w:szCs w:val="20"/>
                <w:color w:val="auto"/>
              </w:rPr>
            </w:pPr>
            <w:r>
              <w:rPr>
                <w:rFonts w:ascii="Arial" w:cs="Arial" w:eastAsia="Arial" w:hAnsi="Arial"/>
                <w:sz w:val="14"/>
                <w:szCs w:val="14"/>
                <w:b w:val="1"/>
                <w:bCs w:val="1"/>
                <w:color w:val="auto"/>
                <w:w w:val="95"/>
              </w:rPr>
              <w:t>5.  Goodwill and Other Identifiable Intangible Assets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080" w:type="dxa"/>
            <w:vAlign w:val="bottom"/>
            <w:gridSpan w:val="8"/>
          </w:tcPr>
          <w:p>
            <w:pPr>
              <w:spacing w:after="0"/>
              <w:rPr>
                <w:sz w:val="20"/>
                <w:szCs w:val="20"/>
                <w:color w:val="auto"/>
              </w:rPr>
            </w:pPr>
            <w:r>
              <w:rPr>
                <w:rFonts w:ascii="Arial" w:cs="Arial" w:eastAsia="Arial" w:hAnsi="Arial"/>
                <w:sz w:val="14"/>
                <w:szCs w:val="14"/>
                <w:color w:val="auto"/>
                <w:w w:val="94"/>
              </w:rPr>
              <w:t>The changes in the carrying amount of goodwill for the years ended December 31, 2022 and 2021 by reportable segment were as follows: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vMerge w:val="restart"/>
          </w:tcPr>
          <w:p>
            <w:pPr>
              <w:jc w:val="right"/>
              <w:ind w:right="29"/>
              <w:spacing w:after="0"/>
              <w:rPr>
                <w:sz w:val="20"/>
                <w:szCs w:val="20"/>
                <w:color w:val="auto"/>
              </w:rPr>
            </w:pPr>
            <w:r>
              <w:rPr>
                <w:rFonts w:ascii="Arial" w:cs="Arial" w:eastAsia="Arial" w:hAnsi="Arial"/>
                <w:sz w:val="14"/>
                <w:szCs w:val="14"/>
                <w:b w:val="1"/>
                <w:bCs w:val="1"/>
                <w:color w:val="auto"/>
                <w:w w:val="88"/>
              </w:rPr>
              <w:t>Purchase accounting</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center"/>
              <w:ind w:right="349"/>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3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309"/>
              <w:spacing w:after="0" w:line="138"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w w:val="96"/>
              </w:rPr>
              <w:t>December 31, 2021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b w:val="1"/>
                <w:bCs w:val="1"/>
                <w:color w:val="auto"/>
                <w:w w:val="92"/>
              </w:rPr>
              <w:t>translation</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71"/>
        </w:trPr>
        <w:tc>
          <w:tcPr>
            <w:tcW w:w="3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1,722.5</w:t>
            </w: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2,505.0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Industrial &amp; Flow Technologies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782.0</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747.6</w:t>
            </w: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goodwill</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2,504.5</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3,252.6</w:t>
            </w:r>
          </w:p>
        </w:tc>
        <w:tc>
          <w:tcPr>
            <w:tcW w:w="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789"/>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87"/>
              </w:rPr>
              <w:t>Purchase accounting</w:t>
            </w:r>
          </w:p>
        </w:tc>
        <w:tc>
          <w:tcPr>
            <w:tcW w:w="260" w:type="dxa"/>
            <w:vAlign w:val="bottom"/>
          </w:tcPr>
          <w:p>
            <w:pPr>
              <w:spacing w:after="0"/>
              <w:rPr>
                <w:sz w:val="14"/>
                <w:szCs w:val="14"/>
                <w:color w:val="auto"/>
              </w:rPr>
            </w:pPr>
          </w:p>
        </w:tc>
        <w:tc>
          <w:tcPr>
            <w:tcW w:w="1220" w:type="dxa"/>
            <w:vAlign w:val="bottom"/>
          </w:tcPr>
          <w:p>
            <w:pPr>
              <w:jc w:val="center"/>
              <w:ind w:right="189"/>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960" w:type="dxa"/>
            <w:vAlign w:val="bottom"/>
          </w:tcPr>
          <w:p>
            <w:pPr>
              <w:spacing w:after="0"/>
              <w:rPr>
                <w:sz w:val="12"/>
                <w:szCs w:val="12"/>
                <w:color w:val="auto"/>
              </w:rPr>
            </w:pPr>
          </w:p>
        </w:tc>
        <w:tc>
          <w:tcPr>
            <w:tcW w:w="1500" w:type="dxa"/>
            <w:vAlign w:val="bottom"/>
            <w:vMerge w:val="restart"/>
          </w:tcPr>
          <w:p>
            <w:pPr>
              <w:jc w:val="right"/>
              <w:ind w:right="189"/>
              <w:spacing w:after="0"/>
              <w:rPr>
                <w:sz w:val="20"/>
                <w:szCs w:val="20"/>
                <w:color w:val="auto"/>
              </w:rPr>
            </w:pPr>
            <w:r>
              <w:rPr>
                <w:rFonts w:ascii="Arial" w:cs="Arial" w:eastAsia="Arial" w:hAnsi="Arial"/>
                <w:sz w:val="14"/>
                <w:szCs w:val="14"/>
                <w:b w:val="1"/>
                <w:bCs w:val="1"/>
                <w:color w:val="auto"/>
                <w:w w:val="96"/>
              </w:rPr>
              <w:t>December 31, 2020</w:t>
            </w:r>
          </w:p>
        </w:tc>
        <w:tc>
          <w:tcPr>
            <w:tcW w:w="260" w:type="dxa"/>
            <w:vAlign w:val="bottom"/>
          </w:tcPr>
          <w:p>
            <w:pPr>
              <w:spacing w:after="0"/>
              <w:rPr>
                <w:sz w:val="12"/>
                <w:szCs w:val="12"/>
                <w:color w:val="auto"/>
              </w:rPr>
            </w:pPr>
          </w:p>
        </w:tc>
        <w:tc>
          <w:tcPr>
            <w:tcW w:w="1280" w:type="dxa"/>
            <w:vAlign w:val="bottom"/>
            <w:vMerge w:val="restart"/>
          </w:tcPr>
          <w:p>
            <w:pPr>
              <w:jc w:val="right"/>
              <w:ind w:right="309"/>
              <w:spacing w:after="0"/>
              <w:rPr>
                <w:sz w:val="20"/>
                <w:szCs w:val="20"/>
                <w:color w:val="auto"/>
              </w:rPr>
            </w:pPr>
            <w:r>
              <w:rPr>
                <w:rFonts w:ascii="Arial" w:cs="Arial" w:eastAsia="Arial" w:hAnsi="Arial"/>
                <w:sz w:val="14"/>
                <w:szCs w:val="14"/>
                <w:b w:val="1"/>
                <w:bCs w:val="1"/>
                <w:color w:val="auto"/>
              </w:rPr>
              <w:t>Acquisitions</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69"/>
              <w:spacing w:after="0" w:line="142"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520" w:type="dxa"/>
            <w:vAlign w:val="bottom"/>
            <w:vMerge w:val="restart"/>
          </w:tcPr>
          <w:p>
            <w:pPr>
              <w:jc w:val="right"/>
              <w:ind w:right="209"/>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80"/>
        </w:trPr>
        <w:tc>
          <w:tcPr>
            <w:tcW w:w="26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2"/>
              </w:rPr>
              <w:t>translation</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1,580.5</w:t>
            </w: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1,722.5</w:t>
            </w:r>
          </w:p>
        </w:tc>
        <w:tc>
          <w:tcPr>
            <w:tcW w:w="0" w:type="dxa"/>
            <w:vAlign w:val="bottom"/>
          </w:tcPr>
          <w:p>
            <w:pPr>
              <w:spacing w:after="0"/>
              <w:rPr>
                <w:sz w:val="1"/>
                <w:szCs w:val="1"/>
                <w:color w:val="auto"/>
              </w:rPr>
            </w:pPr>
          </w:p>
        </w:tc>
      </w:tr>
      <w:tr>
        <w:trPr>
          <w:trHeight w:val="18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Industrial &amp; Flow Technologies</w:t>
            </w:r>
          </w:p>
        </w:tc>
        <w:tc>
          <w:tcPr>
            <w:tcW w:w="9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811.7</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782.0</w:t>
            </w:r>
          </w:p>
        </w:tc>
        <w:tc>
          <w:tcPr>
            <w:tcW w:w="0" w:type="dxa"/>
            <w:vAlign w:val="bottom"/>
          </w:tcPr>
          <w:p>
            <w:pPr>
              <w:spacing w:after="0"/>
              <w:rPr>
                <w:sz w:val="1"/>
                <w:szCs w:val="1"/>
                <w:color w:val="auto"/>
              </w:rPr>
            </w:pPr>
          </w:p>
        </w:tc>
      </w:tr>
      <w:tr>
        <w:trPr>
          <w:trHeight w:val="196"/>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goodwill</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2,392.2</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There has been no impairment of goodwill for any of the years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Identifiable intangible assets consisted of the following at December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2022</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89"/>
              </w:rPr>
              <w:t>2021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29"/>
        </w:trPr>
        <w:tc>
          <w:tcPr>
            <w:tcW w:w="2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jc w:val="center"/>
              <w:ind w:right="129"/>
              <w:spacing w:after="0" w:line="129" w:lineRule="exact"/>
              <w:rPr>
                <w:sz w:val="20"/>
                <w:szCs w:val="20"/>
                <w:color w:val="auto"/>
              </w:rPr>
            </w:pPr>
            <w:r>
              <w:rPr>
                <w:rFonts w:ascii="Arial" w:cs="Arial" w:eastAsia="Arial" w:hAnsi="Arial"/>
                <w:sz w:val="14"/>
                <w:szCs w:val="14"/>
                <w:b w:val="1"/>
                <w:bCs w:val="1"/>
                <w:color w:val="auto"/>
                <w:w w:val="90"/>
              </w:rPr>
              <w:t>Accumulated</w:t>
            </w: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jc w:val="center"/>
              <w:ind w:right="109"/>
              <w:spacing w:after="0" w:line="129" w:lineRule="exact"/>
              <w:rPr>
                <w:sz w:val="20"/>
                <w:szCs w:val="20"/>
                <w:color w:val="auto"/>
              </w:rPr>
            </w:pPr>
            <w:r>
              <w:rPr>
                <w:rFonts w:ascii="Arial" w:cs="Arial" w:eastAsia="Arial" w:hAnsi="Arial"/>
                <w:sz w:val="14"/>
                <w:szCs w:val="14"/>
                <w:b w:val="1"/>
                <w:bCs w:val="1"/>
                <w:color w:val="auto"/>
                <w:w w:val="90"/>
              </w:rPr>
              <w:t>Accumulated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9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3"/>
              </w:rPr>
              <w:t>amortization</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Net</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93"/>
              </w:rPr>
              <w:t>amortization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Net</w:t>
            </w: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260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1,100.9</w:t>
            </w:r>
          </w:p>
        </w:tc>
        <w:tc>
          <w:tcPr>
            <w:tcW w:w="2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(308.9)</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792.0</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558.8</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(320.1)</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238.7</w:t>
            </w:r>
          </w:p>
        </w:tc>
      </w:tr>
      <w:tr>
        <w:trPr>
          <w:trHeight w:val="18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Proprietary technology and patents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r>
      <w:tr>
        <w:trPr>
          <w:trHeight w:val="180"/>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finite-life intangibles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1,204.6</w:t>
            </w:r>
          </w:p>
        </w:tc>
        <w:tc>
          <w:tcPr>
            <w:tcW w:w="2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(358.9)</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605.1</w:t>
            </w: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252.9</w:t>
            </w:r>
          </w:p>
        </w:tc>
      </w:tr>
      <w:tr>
        <w:trPr>
          <w:trHeight w:val="180"/>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2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2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248.9</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r>
      <w:tr>
        <w:trPr>
          <w:trHeight w:val="171"/>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intangibles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1,453.5</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(358.9)</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1,094.6</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780.2</w:t>
            </w: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(352.2)</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428.0</w:t>
            </w:r>
          </w:p>
        </w:tc>
      </w:tr>
      <w:tr>
        <w:trPr>
          <w:trHeight w:val="20"/>
        </w:trPr>
        <w:tc>
          <w:tcPr>
            <w:tcW w:w="2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Identifiable intangible asset amortization expense in 2022, 2021 and 2020 was $52.5 million, $26.3 million and $28.4 million,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An impairment charge of $2.7 million was recorded in 2022 related to the write-off of a proprietary technology intangible asset as a result of a business exit announced in the fourth quarter of 2022.</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No impairment charges were recorded for identifiable intangible assets in 2021 or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Estimated future amortization expense for identifiable intangible assets during the next five years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2027</w:t>
            </w:r>
          </w:p>
        </w:tc>
        <w:tc>
          <w:tcPr>
            <w:tcW w:w="20" w:type="dxa"/>
            <w:vAlign w:val="bottom"/>
          </w:tcPr>
          <w:p>
            <w:pPr>
              <w:spacing w:after="0"/>
              <w:rPr>
                <w:sz w:val="16"/>
                <w:szCs w:val="16"/>
                <w:color w:val="auto"/>
              </w:rPr>
            </w:pPr>
          </w:p>
        </w:tc>
      </w:tr>
      <w:tr>
        <w:trPr>
          <w:trHeight w:val="171"/>
        </w:trPr>
        <w:tc>
          <w:tcPr>
            <w:tcW w:w="2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amortization expense</w:t>
            </w:r>
          </w:p>
        </w:tc>
        <w:tc>
          <w:tcPr>
            <w:tcW w:w="104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40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20" w:type="dxa"/>
            <w:vAlign w:val="bottom"/>
          </w:tcPr>
          <w:p>
            <w:pPr>
              <w:spacing w:after="0"/>
              <w:rPr>
                <w:sz w:val="14"/>
                <w:szCs w:val="14"/>
                <w:color w:val="auto"/>
              </w:rPr>
            </w:pPr>
          </w:p>
        </w:tc>
      </w:tr>
      <w:tr>
        <w:trPr>
          <w:trHeight w:val="668"/>
        </w:trPr>
        <w:tc>
          <w:tcPr>
            <w:tcW w:w="2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ind w:right="609"/>
              <w:spacing w:after="0"/>
              <w:rPr>
                <w:sz w:val="20"/>
                <w:szCs w:val="20"/>
                <w:color w:val="auto"/>
              </w:rPr>
            </w:pPr>
            <w:r>
              <w:rPr>
                <w:rFonts w:ascii="Arial" w:cs="Arial" w:eastAsia="Arial" w:hAnsi="Arial"/>
                <w:sz w:val="14"/>
                <w:szCs w:val="14"/>
                <w:color w:val="auto"/>
              </w:rPr>
              <w:t>58</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5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20"/>
                <w:szCs w:val="20"/>
                <w:color w:val="auto"/>
              </w:rPr>
            </w:pPr>
            <w:r>
              <w:rPr>
                <w:rFonts w:ascii="Arial" w:cs="Arial" w:eastAsia="Arial" w:hAnsi="Arial"/>
                <w:sz w:val="14"/>
                <w:szCs w:val="14"/>
                <w:b w:val="1"/>
                <w:bCs w:val="1"/>
                <w:color w:val="auto"/>
              </w:rPr>
              <w:t>6.  Supplemental Balance Sheet Information</w:t>
            </w:r>
          </w:p>
        </w:tc>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41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1"/>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Inventories</w:t>
            </w:r>
          </w:p>
        </w:tc>
        <w:tc>
          <w:tcPr>
            <w:tcW w:w="4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Raw materials and supplies</w:t>
            </w:r>
          </w:p>
        </w:tc>
        <w:tc>
          <w:tcPr>
            <w:tcW w:w="4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404.1</w:t>
            </w:r>
          </w:p>
        </w:tc>
        <w:tc>
          <w:tcPr>
            <w:tcW w:w="5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290.3</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Work-in-process</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w:t>
            </w:r>
          </w:p>
        </w:tc>
        <w:tc>
          <w:tcPr>
            <w:tcW w:w="20" w:type="dxa"/>
            <w:vAlign w:val="bottom"/>
          </w:tcPr>
          <w:p>
            <w:pPr>
              <w:spacing w:after="0"/>
              <w:rPr>
                <w:sz w:val="15"/>
                <w:szCs w:val="15"/>
                <w:color w:val="auto"/>
              </w:rPr>
            </w:pPr>
          </w:p>
        </w:tc>
      </w:tr>
      <w:tr>
        <w:trPr>
          <w:trHeight w:val="18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Finished goods</w:t>
            </w:r>
          </w:p>
        </w:tc>
        <w:tc>
          <w:tcPr>
            <w:tcW w:w="4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195.2</w:t>
            </w:r>
          </w:p>
        </w:tc>
        <w:tc>
          <w:tcPr>
            <w:tcW w:w="20" w:type="dxa"/>
            <w:vAlign w:val="bottom"/>
          </w:tcPr>
          <w:p>
            <w:pPr>
              <w:spacing w:after="0"/>
              <w:rPr>
                <w:sz w:val="15"/>
                <w:szCs w:val="15"/>
                <w:color w:val="auto"/>
              </w:rPr>
            </w:pPr>
          </w:p>
        </w:tc>
      </w:tr>
      <w:tr>
        <w:trPr>
          <w:trHeight w:val="19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inventories</w:t>
            </w:r>
          </w:p>
        </w:tc>
        <w:tc>
          <w:tcPr>
            <w:tcW w:w="45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790.0</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562.9</w:t>
            </w:r>
          </w:p>
        </w:tc>
        <w:tc>
          <w:tcPr>
            <w:tcW w:w="20" w:type="dxa"/>
            <w:vAlign w:val="bottom"/>
          </w:tcPr>
          <w:p>
            <w:pPr>
              <w:spacing w:after="0"/>
              <w:rPr>
                <w:sz w:val="16"/>
                <w:szCs w:val="16"/>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Other current assets</w:t>
            </w:r>
          </w:p>
        </w:tc>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in excess of billings</w:t>
            </w:r>
          </w:p>
        </w:tc>
        <w:tc>
          <w:tcPr>
            <w:tcW w:w="4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w:t>
            </w:r>
          </w:p>
        </w:tc>
        <w:tc>
          <w:tcPr>
            <w:tcW w:w="5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74.8</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57.1</w:t>
            </w:r>
          </w:p>
        </w:tc>
        <w:tc>
          <w:tcPr>
            <w:tcW w:w="20" w:type="dxa"/>
            <w:vAlign w:val="bottom"/>
          </w:tcPr>
          <w:p>
            <w:pPr>
              <w:spacing w:after="0"/>
              <w:rPr>
                <w:sz w:val="15"/>
                <w:szCs w:val="15"/>
                <w:color w:val="auto"/>
              </w:rPr>
            </w:pPr>
          </w:p>
        </w:tc>
      </w:tr>
      <w:tr>
        <w:trPr>
          <w:trHeight w:val="180"/>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424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5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 w:type="dxa"/>
            <w:vAlign w:val="bottom"/>
          </w:tcPr>
          <w:p>
            <w:pPr>
              <w:spacing w:after="0"/>
              <w:rPr>
                <w:sz w:val="15"/>
                <w:szCs w:val="15"/>
                <w:color w:val="auto"/>
              </w:rPr>
            </w:pPr>
          </w:p>
        </w:tc>
      </w:tr>
      <w:tr>
        <w:trPr>
          <w:trHeight w:val="171"/>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other current assets</w:t>
            </w:r>
          </w:p>
        </w:tc>
        <w:tc>
          <w:tcPr>
            <w:tcW w:w="45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128.1</w:t>
            </w:r>
          </w:p>
        </w:tc>
        <w:tc>
          <w:tcPr>
            <w:tcW w:w="5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w:t>
            </w:r>
          </w:p>
        </w:tc>
        <w:tc>
          <w:tcPr>
            <w:tcW w:w="20" w:type="dxa"/>
            <w:vAlign w:val="bottom"/>
          </w:tcPr>
          <w:p>
            <w:pPr>
              <w:spacing w:after="0"/>
              <w:rPr>
                <w:sz w:val="14"/>
                <w:szCs w:val="14"/>
                <w:color w:val="auto"/>
              </w:rPr>
            </w:pPr>
          </w:p>
        </w:tc>
      </w:tr>
      <w:tr>
        <w:trPr>
          <w:trHeight w:val="20"/>
        </w:trPr>
        <w:tc>
          <w:tcPr>
            <w:tcW w:w="416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4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Land and land improvements</w:t>
            </w:r>
          </w:p>
        </w:tc>
        <w:tc>
          <w:tcPr>
            <w:tcW w:w="45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32.3</w:t>
            </w:r>
          </w:p>
        </w:tc>
        <w:tc>
          <w:tcPr>
            <w:tcW w:w="5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34.8</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leasehold improvements</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Machinery and equipment</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639.2</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607.3</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software</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20" w:type="dxa"/>
            <w:vAlign w:val="bottom"/>
          </w:tcPr>
          <w:p>
            <w:pPr>
              <w:spacing w:after="0"/>
              <w:rPr>
                <w:sz w:val="15"/>
                <w:szCs w:val="15"/>
                <w:color w:val="auto"/>
              </w:rPr>
            </w:pPr>
          </w:p>
        </w:tc>
      </w:tr>
      <w:tr>
        <w:trPr>
          <w:trHeight w:val="18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Construction in progress</w:t>
            </w:r>
          </w:p>
        </w:tc>
        <w:tc>
          <w:tcPr>
            <w:tcW w:w="4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w:t>
            </w:r>
          </w:p>
        </w:tc>
        <w:tc>
          <w:tcPr>
            <w:tcW w:w="20" w:type="dxa"/>
            <w:vAlign w:val="bottom"/>
          </w:tcPr>
          <w:p>
            <w:pPr>
              <w:spacing w:after="0"/>
              <w:rPr>
                <w:sz w:val="15"/>
                <w:szCs w:val="15"/>
                <w:color w:val="auto"/>
              </w:rPr>
            </w:pPr>
          </w:p>
        </w:tc>
      </w:tr>
      <w:tr>
        <w:trPr>
          <w:trHeight w:val="17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w:t>
            </w:r>
          </w:p>
        </w:tc>
        <w:tc>
          <w:tcPr>
            <w:tcW w:w="4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1,001.6</w:t>
            </w: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965.9</w:t>
            </w:r>
          </w:p>
        </w:tc>
        <w:tc>
          <w:tcPr>
            <w:tcW w:w="20" w:type="dxa"/>
            <w:vAlign w:val="bottom"/>
          </w:tcPr>
          <w:p>
            <w:pPr>
              <w:spacing w:after="0"/>
              <w:rPr>
                <w:sz w:val="14"/>
                <w:szCs w:val="14"/>
                <w:color w:val="auto"/>
              </w:rPr>
            </w:pPr>
          </w:p>
        </w:tc>
      </w:tr>
      <w:tr>
        <w:trPr>
          <w:trHeight w:val="18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Accumulated depreciation and amortization</w:t>
            </w:r>
          </w:p>
        </w:tc>
        <w:tc>
          <w:tcPr>
            <w:tcW w:w="4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657.1</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655.9</w:t>
            </w:r>
          </w:p>
        </w:tc>
        <w:tc>
          <w:tcPr>
            <w:tcW w:w="20" w:type="dxa"/>
            <w:vAlign w:val="bottom"/>
          </w:tcPr>
          <w:p>
            <w:pPr>
              <w:spacing w:after="0"/>
              <w:rPr>
                <w:sz w:val="15"/>
                <w:szCs w:val="15"/>
                <w:color w:val="auto"/>
              </w:rPr>
            </w:pPr>
          </w:p>
        </w:tc>
      </w:tr>
      <w:tr>
        <w:trPr>
          <w:trHeight w:val="19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property, plant and equipment, net</w:t>
            </w:r>
          </w:p>
        </w:tc>
        <w:tc>
          <w:tcPr>
            <w:tcW w:w="45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344.5</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20" w:type="dxa"/>
            <w:vAlign w:val="bottom"/>
          </w:tcPr>
          <w:p>
            <w:pPr>
              <w:spacing w:after="0"/>
              <w:rPr>
                <w:sz w:val="16"/>
                <w:szCs w:val="16"/>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Other non-current assets</w:t>
            </w:r>
          </w:p>
        </w:tc>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Right-of-use lease assets</w:t>
            </w:r>
          </w:p>
        </w:tc>
        <w:tc>
          <w:tcPr>
            <w:tcW w:w="4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5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26.0</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compensation plan assets</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r>
        <w:trPr>
          <w:trHeight w:val="18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4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73.9</w:t>
            </w:r>
          </w:p>
        </w:tc>
        <w:tc>
          <w:tcPr>
            <w:tcW w:w="20" w:type="dxa"/>
            <w:vAlign w:val="bottom"/>
          </w:tcPr>
          <w:p>
            <w:pPr>
              <w:spacing w:after="0"/>
              <w:rPr>
                <w:sz w:val="15"/>
                <w:szCs w:val="15"/>
                <w:color w:val="auto"/>
              </w:rPr>
            </w:pPr>
          </w:p>
        </w:tc>
      </w:tr>
      <w:tr>
        <w:trPr>
          <w:trHeight w:val="19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other non-current assets</w:t>
            </w:r>
          </w:p>
        </w:tc>
        <w:tc>
          <w:tcPr>
            <w:tcW w:w="45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197.3</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207.1</w:t>
            </w:r>
          </w:p>
        </w:tc>
        <w:tc>
          <w:tcPr>
            <w:tcW w:w="20" w:type="dxa"/>
            <w:vAlign w:val="bottom"/>
          </w:tcPr>
          <w:p>
            <w:pPr>
              <w:spacing w:after="0"/>
              <w:rPr>
                <w:sz w:val="16"/>
                <w:szCs w:val="16"/>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Other current liabilities</w:t>
            </w:r>
          </w:p>
        </w:tc>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payable</w:t>
            </w:r>
          </w:p>
        </w:tc>
        <w:tc>
          <w:tcPr>
            <w:tcW w:w="4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5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Accrued warranty</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63.1</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40.5</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rebates and incentives</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Accrued freight</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39.4</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36.5</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Billings in excess of cost</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Current lease liability</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29.3</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 payable</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Accrued restructuring</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payable</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5"/>
                <w:szCs w:val="15"/>
                <w:color w:val="auto"/>
              </w:rPr>
            </w:pPr>
          </w:p>
        </w:tc>
      </w:tr>
      <w:tr>
        <w:trPr>
          <w:trHeight w:val="18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current liabilities</w:t>
            </w:r>
          </w:p>
        </w:tc>
        <w:tc>
          <w:tcPr>
            <w:tcW w:w="4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112.3</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w:t>
            </w:r>
          </w:p>
        </w:tc>
        <w:tc>
          <w:tcPr>
            <w:tcW w:w="20" w:type="dxa"/>
            <w:vAlign w:val="bottom"/>
          </w:tcPr>
          <w:p>
            <w:pPr>
              <w:spacing w:after="0"/>
              <w:rPr>
                <w:sz w:val="15"/>
                <w:szCs w:val="15"/>
                <w:color w:val="auto"/>
              </w:rPr>
            </w:pPr>
          </w:p>
        </w:tc>
      </w:tr>
      <w:tr>
        <w:trPr>
          <w:trHeight w:val="19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other current liabilities</w:t>
            </w:r>
          </w:p>
        </w:tc>
        <w:tc>
          <w:tcPr>
            <w:tcW w:w="45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602.1</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525.9</w:t>
            </w:r>
          </w:p>
        </w:tc>
        <w:tc>
          <w:tcPr>
            <w:tcW w:w="20" w:type="dxa"/>
            <w:vAlign w:val="bottom"/>
          </w:tcPr>
          <w:p>
            <w:pPr>
              <w:spacing w:after="0"/>
              <w:rPr>
                <w:sz w:val="16"/>
                <w:szCs w:val="16"/>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416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Other non-current liabilities</w:t>
            </w:r>
          </w:p>
        </w:tc>
        <w:tc>
          <w:tcPr>
            <w:tcW w:w="4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0"/>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lease liability</w:t>
            </w:r>
          </w:p>
        </w:tc>
        <w:tc>
          <w:tcPr>
            <w:tcW w:w="45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5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35.1</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Self-insurance liabilities</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20" w:type="dxa"/>
            <w:vAlign w:val="bottom"/>
          </w:tcPr>
          <w:p>
            <w:pPr>
              <w:spacing w:after="0"/>
              <w:rPr>
                <w:sz w:val="15"/>
                <w:szCs w:val="15"/>
                <w:color w:val="auto"/>
              </w:rPr>
            </w:pPr>
          </w:p>
        </w:tc>
      </w:tr>
      <w:tr>
        <w:trPr>
          <w:trHeight w:val="180"/>
        </w:trPr>
        <w:tc>
          <w:tcPr>
            <w:tcW w:w="4160" w:type="dxa"/>
            <w:vAlign w:val="bottom"/>
          </w:tcPr>
          <w:p>
            <w:pPr>
              <w:ind w:left="20"/>
              <w:spacing w:after="0"/>
              <w:rPr>
                <w:sz w:val="20"/>
                <w:szCs w:val="20"/>
                <w:color w:val="auto"/>
              </w:rPr>
            </w:pPr>
            <w:r>
              <w:rPr>
                <w:rFonts w:ascii="Arial" w:cs="Arial" w:eastAsia="Arial" w:hAnsi="Arial"/>
                <w:sz w:val="14"/>
                <w:szCs w:val="14"/>
                <w:color w:val="auto"/>
              </w:rPr>
              <w:t>Deferred compensation plan liabilities</w:t>
            </w:r>
          </w:p>
        </w:tc>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r>
        <w:trPr>
          <w:trHeight w:val="181"/>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 liabilities</w:t>
            </w:r>
          </w:p>
        </w:tc>
        <w:tc>
          <w:tcPr>
            <w:tcW w:w="4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r>
      <w:tr>
        <w:trPr>
          <w:trHeight w:val="180"/>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4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20" w:type="dxa"/>
            <w:vAlign w:val="bottom"/>
          </w:tcPr>
          <w:p>
            <w:pPr>
              <w:spacing w:after="0"/>
              <w:rPr>
                <w:sz w:val="15"/>
                <w:szCs w:val="15"/>
                <w:color w:val="auto"/>
              </w:rPr>
            </w:pPr>
          </w:p>
        </w:tc>
      </w:tr>
      <w:tr>
        <w:trPr>
          <w:trHeight w:val="196"/>
        </w:trPr>
        <w:tc>
          <w:tcPr>
            <w:tcW w:w="4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other non-current liabilities</w:t>
            </w:r>
          </w:p>
        </w:tc>
        <w:tc>
          <w:tcPr>
            <w:tcW w:w="45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244.9</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6"/>
                <w:szCs w:val="16"/>
                <w:color w:val="auto"/>
              </w:rPr>
            </w:pPr>
          </w:p>
        </w:tc>
      </w:tr>
      <w:tr>
        <w:trPr>
          <w:trHeight w:val="20"/>
        </w:trPr>
        <w:tc>
          <w:tcPr>
            <w:tcW w:w="416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1"/>
        </w:trPr>
        <w:tc>
          <w:tcPr>
            <w:tcW w:w="4160" w:type="dxa"/>
            <w:vAlign w:val="bottom"/>
          </w:tcPr>
          <w:p>
            <w:pPr>
              <w:spacing w:after="0"/>
              <w:rPr>
                <w:sz w:val="24"/>
                <w:szCs w:val="24"/>
                <w:color w:val="auto"/>
              </w:rPr>
            </w:pPr>
          </w:p>
        </w:tc>
        <w:tc>
          <w:tcPr>
            <w:tcW w:w="4240" w:type="dxa"/>
            <w:vAlign w:val="bottom"/>
          </w:tcPr>
          <w:p>
            <w:pPr>
              <w:jc w:val="right"/>
              <w:ind w:right="2609"/>
              <w:spacing w:after="0"/>
              <w:rPr>
                <w:sz w:val="20"/>
                <w:szCs w:val="20"/>
                <w:color w:val="auto"/>
              </w:rPr>
            </w:pPr>
            <w:r>
              <w:rPr>
                <w:rFonts w:ascii="Arial" w:cs="Arial" w:eastAsia="Arial" w:hAnsi="Arial"/>
                <w:sz w:val="14"/>
                <w:szCs w:val="14"/>
                <w:color w:val="auto"/>
              </w:rPr>
              <w:t>59</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16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0" w:lineRule="exact"/>
        <w:rPr>
          <w:sz w:val="20"/>
          <w:szCs w:val="20"/>
          <w:color w:val="auto"/>
        </w:rPr>
      </w:pPr>
    </w:p>
    <w:p>
      <w:pPr>
        <w:spacing w:after="0"/>
        <w:tabs>
          <w:tab w:leader="none" w:pos="220" w:val="left"/>
        </w:tabs>
        <w:rPr>
          <w:sz w:val="20"/>
          <w:szCs w:val="20"/>
          <w:color w:val="auto"/>
        </w:rPr>
      </w:pPr>
      <w:r>
        <w:rPr>
          <w:rFonts w:ascii="Arial" w:cs="Arial" w:eastAsia="Arial" w:hAnsi="Arial"/>
          <w:sz w:val="14"/>
          <w:szCs w:val="14"/>
          <w:b w:val="1"/>
          <w:bCs w:val="1"/>
          <w:color w:val="auto"/>
        </w:rPr>
        <w:t>7.</w:t>
      </w:r>
      <w:r>
        <w:rPr>
          <w:sz w:val="20"/>
          <w:szCs w:val="20"/>
          <w:color w:val="auto"/>
        </w:rPr>
        <w:tab/>
      </w:r>
      <w:r>
        <w:rPr>
          <w:rFonts w:ascii="Arial" w:cs="Arial" w:eastAsia="Arial" w:hAnsi="Arial"/>
          <w:sz w:val="12"/>
          <w:szCs w:val="12"/>
          <w:b w:val="1"/>
          <w:bCs w:val="1"/>
          <w:color w:val="auto"/>
        </w:rPr>
        <w:t>Accumulated Other Comprehensive Loss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Components of </w:t>
      </w:r>
      <w:r>
        <w:rPr>
          <w:rFonts w:ascii="Arial" w:cs="Arial" w:eastAsia="Arial" w:hAnsi="Arial"/>
          <w:sz w:val="14"/>
          <w:szCs w:val="14"/>
          <w:i w:val="1"/>
          <w:iCs w:val="1"/>
          <w:color w:val="auto"/>
        </w:rPr>
        <w:t>Accumulated Other Comprehensive Loss</w:t>
      </w:r>
      <w:r>
        <w:rPr>
          <w:rFonts w:ascii="Arial" w:cs="Arial" w:eastAsia="Arial" w:hAnsi="Arial"/>
          <w:sz w:val="14"/>
          <w:szCs w:val="14"/>
          <w:color w:val="auto"/>
        </w:rPr>
        <w:t xml:space="preserve"> consist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1"/>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translation adjustments</w:t>
            </w:r>
          </w:p>
        </w:tc>
        <w:tc>
          <w:tcPr>
            <w:tcW w:w="2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(280.5)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40" w:type="dxa"/>
            <w:vAlign w:val="bottom"/>
          </w:tcPr>
          <w:p>
            <w:pPr>
              <w:spacing w:after="0"/>
              <w:rPr>
                <w:sz w:val="14"/>
                <w:szCs w:val="14"/>
                <w:color w:val="auto"/>
              </w:rPr>
            </w:pPr>
          </w:p>
        </w:tc>
      </w:tr>
      <w:tr>
        <w:trPr>
          <w:trHeight w:val="18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Market value of derivative financial instruments, net of tax</w:t>
            </w:r>
          </w:p>
        </w:tc>
        <w:tc>
          <w:tcPr>
            <w:tcW w:w="2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5"/>
                <w:szCs w:val="15"/>
                <w:color w:val="auto"/>
              </w:rPr>
            </w:pPr>
          </w:p>
        </w:tc>
      </w:tr>
      <w:tr>
        <w:trPr>
          <w:trHeight w:val="196"/>
        </w:trPr>
        <w:tc>
          <w:tcPr>
            <w:tcW w:w="4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Accumulated other comprehensive loss</w:t>
            </w:r>
          </w:p>
        </w:tc>
        <w:tc>
          <w:tcPr>
            <w:tcW w:w="21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(239.0)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(213.9)</w:t>
            </w:r>
          </w:p>
        </w:tc>
        <w:tc>
          <w:tcPr>
            <w:tcW w:w="40" w:type="dxa"/>
            <w:vAlign w:val="bottom"/>
          </w:tcPr>
          <w:p>
            <w:pPr>
              <w:spacing w:after="0"/>
              <w:rPr>
                <w:sz w:val="16"/>
                <w:szCs w:val="16"/>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67"/>
        </w:trPr>
        <w:tc>
          <w:tcPr>
            <w:tcW w:w="4440" w:type="dxa"/>
            <w:vAlign w:val="bottom"/>
          </w:tcPr>
          <w:p>
            <w:pPr>
              <w:spacing w:after="0"/>
              <w:rPr>
                <w:sz w:val="20"/>
                <w:szCs w:val="20"/>
                <w:color w:val="auto"/>
              </w:rPr>
            </w:pPr>
            <w:r>
              <w:rPr>
                <w:rFonts w:ascii="Arial" w:cs="Arial" w:eastAsia="Arial" w:hAnsi="Arial"/>
                <w:sz w:val="14"/>
                <w:szCs w:val="14"/>
                <w:b w:val="1"/>
                <w:bCs w:val="1"/>
                <w:color w:val="auto"/>
              </w:rPr>
              <w:t>8.  Debt</w:t>
            </w:r>
          </w:p>
        </w:tc>
        <w:tc>
          <w:tcPr>
            <w:tcW w:w="2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0"/>
        </w:trPr>
        <w:tc>
          <w:tcPr>
            <w:tcW w:w="4440" w:type="dxa"/>
            <w:vAlign w:val="bottom"/>
          </w:tcPr>
          <w:p>
            <w:pPr>
              <w:spacing w:after="0"/>
              <w:rPr>
                <w:sz w:val="20"/>
                <w:szCs w:val="20"/>
                <w:color w:val="auto"/>
              </w:rPr>
            </w:pPr>
            <w:r>
              <w:rPr>
                <w:rFonts w:ascii="Arial" w:cs="Arial" w:eastAsia="Arial" w:hAnsi="Arial"/>
                <w:sz w:val="14"/>
                <w:szCs w:val="14"/>
                <w:color w:val="auto"/>
                <w:w w:val="98"/>
              </w:rPr>
              <w:t>Debt and the average interest rates on debt outstanding were as follows:</w:t>
            </w:r>
          </w:p>
        </w:tc>
        <w:tc>
          <w:tcPr>
            <w:tcW w:w="2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40"/>
        </w:trPr>
        <w:tc>
          <w:tcPr>
            <w:tcW w:w="4440" w:type="dxa"/>
            <w:vAlign w:val="bottom"/>
          </w:tcPr>
          <w:p>
            <w:pPr>
              <w:spacing w:after="0"/>
              <w:rPr>
                <w:sz w:val="20"/>
                <w:szCs w:val="20"/>
                <w:color w:val="auto"/>
              </w:rPr>
            </w:pPr>
          </w:p>
        </w:tc>
        <w:tc>
          <w:tcPr>
            <w:tcW w:w="2120" w:type="dxa"/>
            <w:vAlign w:val="bottom"/>
          </w:tcPr>
          <w:p>
            <w:pPr>
              <w:jc w:val="center"/>
              <w:ind w:right="149"/>
              <w:spacing w:after="0"/>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2"/>
        </w:trPr>
        <w:tc>
          <w:tcPr>
            <w:tcW w:w="4440" w:type="dxa"/>
            <w:vAlign w:val="bottom"/>
          </w:tcPr>
          <w:p>
            <w:pPr>
              <w:spacing w:after="0"/>
              <w:rPr>
                <w:sz w:val="16"/>
                <w:szCs w:val="16"/>
                <w:color w:val="auto"/>
              </w:rPr>
            </w:pPr>
          </w:p>
        </w:tc>
        <w:tc>
          <w:tcPr>
            <w:tcW w:w="2120" w:type="dxa"/>
            <w:vAlign w:val="bottom"/>
          </w:tcPr>
          <w:p>
            <w:pPr>
              <w:jc w:val="center"/>
              <w:ind w:right="129"/>
              <w:spacing w:after="0"/>
              <w:rPr>
                <w:sz w:val="20"/>
                <w:szCs w:val="20"/>
                <w:color w:val="auto"/>
              </w:rPr>
            </w:pPr>
            <w:r>
              <w:rPr>
                <w:rFonts w:ascii="Arial" w:cs="Arial" w:eastAsia="Arial" w:hAnsi="Arial"/>
                <w:sz w:val="14"/>
                <w:szCs w:val="14"/>
                <w:b w:val="1"/>
                <w:bCs w:val="1"/>
                <w:color w:val="auto"/>
                <w:w w:val="91"/>
              </w:rPr>
              <w:t>interest rate at</w:t>
            </w:r>
          </w:p>
        </w:tc>
        <w:tc>
          <w:tcPr>
            <w:tcW w:w="1520" w:type="dxa"/>
            <w:vAlign w:val="bottom"/>
            <w:gridSpan w:val="2"/>
          </w:tcPr>
          <w:p>
            <w:pPr>
              <w:jc w:val="center"/>
              <w:ind w:left="309"/>
              <w:spacing w:after="0"/>
              <w:rPr>
                <w:sz w:val="20"/>
                <w:szCs w:val="20"/>
                <w:color w:val="auto"/>
              </w:rPr>
            </w:pPr>
            <w:r>
              <w:rPr>
                <w:rFonts w:ascii="Arial" w:cs="Arial" w:eastAsia="Arial" w:hAnsi="Arial"/>
                <w:sz w:val="14"/>
                <w:szCs w:val="14"/>
                <w:b w:val="1"/>
                <w:bCs w:val="1"/>
                <w:color w:val="auto"/>
                <w:w w:val="99"/>
              </w:rPr>
              <w:t>Maturity</w:t>
            </w:r>
          </w:p>
        </w:tc>
        <w:tc>
          <w:tcPr>
            <w:tcW w:w="6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r>
      <w:tr>
        <w:trPr>
          <w:trHeight w:val="184"/>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1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0"/>
              </w:rPr>
              <w:t>December 31, 2022</w:t>
            </w:r>
          </w:p>
        </w:tc>
        <w:tc>
          <w:tcPr>
            <w:tcW w:w="1520" w:type="dxa"/>
            <w:vAlign w:val="bottom"/>
            <w:tcBorders>
              <w:bottom w:val="single" w:sz="8" w:color="auto"/>
            </w:tcBorders>
            <w:gridSpan w:val="2"/>
          </w:tcPr>
          <w:p>
            <w:pPr>
              <w:jc w:val="center"/>
              <w:ind w:left="309"/>
              <w:spacing w:after="0"/>
              <w:rPr>
                <w:sz w:val="20"/>
                <w:szCs w:val="20"/>
                <w:color w:val="auto"/>
              </w:rPr>
            </w:pPr>
            <w:r>
              <w:rPr>
                <w:rFonts w:ascii="Arial" w:cs="Arial" w:eastAsia="Arial" w:hAnsi="Arial"/>
                <w:sz w:val="14"/>
                <w:szCs w:val="14"/>
                <w:b w:val="1"/>
                <w:bCs w:val="1"/>
                <w:color w:val="auto"/>
                <w:w w:val="90"/>
              </w:rPr>
              <w:t>year</w:t>
            </w: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96"/>
              </w:rPr>
              <w:t>2021</w:t>
            </w:r>
          </w:p>
        </w:tc>
        <w:tc>
          <w:tcPr>
            <w:tcW w:w="40" w:type="dxa"/>
            <w:vAlign w:val="bottom"/>
            <w:tcBorders>
              <w:bottom w:val="single" w:sz="8" w:color="auto"/>
            </w:tcBorders>
          </w:tcPr>
          <w:p>
            <w:pPr>
              <w:spacing w:after="0"/>
              <w:rPr>
                <w:sz w:val="16"/>
                <w:szCs w:val="16"/>
                <w:color w:val="auto"/>
              </w:rPr>
            </w:pPr>
          </w:p>
        </w:tc>
      </w:tr>
      <w:tr>
        <w:trPr>
          <w:trHeight w:val="17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 (Senior Credit Facility)</w:t>
            </w:r>
          </w:p>
        </w:tc>
        <w:tc>
          <w:tcPr>
            <w:tcW w:w="212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2"/>
              </w:rPr>
              <w:t>6.053%</w:t>
            </w:r>
          </w:p>
        </w:tc>
        <w:tc>
          <w:tcPr>
            <w:tcW w:w="1520" w:type="dxa"/>
            <w:vAlign w:val="bottom"/>
            <w:gridSpan w:val="2"/>
            <w:shd w:val="clear" w:color="auto" w:fill="CCEEFF"/>
          </w:tcPr>
          <w:p>
            <w:pPr>
              <w:jc w:val="center"/>
              <w:ind w:left="329"/>
              <w:spacing w:after="0"/>
              <w:rPr>
                <w:sz w:val="20"/>
                <w:szCs w:val="20"/>
                <w:color w:val="auto"/>
              </w:rPr>
            </w:pPr>
            <w:r>
              <w:rPr>
                <w:rFonts w:ascii="Arial" w:cs="Arial" w:eastAsia="Arial" w:hAnsi="Arial"/>
                <w:sz w:val="14"/>
                <w:szCs w:val="14"/>
                <w:color w:val="auto"/>
                <w:w w:val="89"/>
              </w:rPr>
              <w:t>2026</w:t>
            </w:r>
          </w:p>
        </w:tc>
        <w:tc>
          <w:tcPr>
            <w:tcW w:w="1280" w:type="dxa"/>
            <w:vAlign w:val="bottom"/>
            <w:gridSpan w:val="2"/>
            <w:shd w:val="clear" w:color="auto" w:fill="CCEEFF"/>
          </w:tcPr>
          <w:p>
            <w:pPr>
              <w:jc w:val="right"/>
              <w:ind w:right="5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w:t>
            </w: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40" w:type="dxa"/>
            <w:vAlign w:val="bottom"/>
            <w:shd w:val="clear" w:color="auto" w:fill="CCEEFF"/>
          </w:tcPr>
          <w:p>
            <w:pPr>
              <w:spacing w:after="0"/>
              <w:rPr>
                <w:sz w:val="14"/>
                <w:szCs w:val="14"/>
                <w:color w:val="auto"/>
              </w:rPr>
            </w:pPr>
          </w:p>
        </w:tc>
      </w:tr>
      <w:tr>
        <w:trPr>
          <w:trHeight w:val="180"/>
        </w:trPr>
        <w:tc>
          <w:tcPr>
            <w:tcW w:w="4440" w:type="dxa"/>
            <w:vAlign w:val="bottom"/>
          </w:tcPr>
          <w:p>
            <w:pPr>
              <w:ind w:left="20"/>
              <w:spacing w:after="0"/>
              <w:rPr>
                <w:sz w:val="20"/>
                <w:szCs w:val="20"/>
                <w:color w:val="auto"/>
              </w:rPr>
            </w:pPr>
            <w:r>
              <w:rPr>
                <w:rFonts w:ascii="Arial" w:cs="Arial" w:eastAsia="Arial" w:hAnsi="Arial"/>
                <w:sz w:val="14"/>
                <w:szCs w:val="14"/>
                <w:color w:val="auto"/>
              </w:rPr>
              <w:t>Term Loan Facility</w:t>
            </w:r>
          </w:p>
        </w:tc>
        <w:tc>
          <w:tcPr>
            <w:tcW w:w="2120" w:type="dxa"/>
            <w:vAlign w:val="bottom"/>
          </w:tcPr>
          <w:p>
            <w:pPr>
              <w:jc w:val="center"/>
              <w:ind w:right="129"/>
              <w:spacing w:after="0"/>
              <w:rPr>
                <w:sz w:val="20"/>
                <w:szCs w:val="20"/>
                <w:color w:val="auto"/>
              </w:rPr>
            </w:pPr>
            <w:r>
              <w:rPr>
                <w:rFonts w:ascii="Arial" w:cs="Arial" w:eastAsia="Arial" w:hAnsi="Arial"/>
                <w:sz w:val="14"/>
                <w:szCs w:val="14"/>
                <w:color w:val="auto"/>
                <w:w w:val="92"/>
              </w:rPr>
              <w:t>5.463%</w:t>
            </w:r>
          </w:p>
        </w:tc>
        <w:tc>
          <w:tcPr>
            <w:tcW w:w="1520" w:type="dxa"/>
            <w:vAlign w:val="bottom"/>
            <w:gridSpan w:val="2"/>
          </w:tcPr>
          <w:p>
            <w:pPr>
              <w:jc w:val="center"/>
              <w:ind w:left="309"/>
              <w:spacing w:after="0"/>
              <w:rPr>
                <w:sz w:val="20"/>
                <w:szCs w:val="20"/>
                <w:color w:val="auto"/>
              </w:rPr>
            </w:pPr>
            <w:r>
              <w:rPr>
                <w:rFonts w:ascii="Arial" w:cs="Arial" w:eastAsia="Arial" w:hAnsi="Arial"/>
                <w:sz w:val="14"/>
                <w:szCs w:val="14"/>
                <w:color w:val="auto"/>
                <w:w w:val="93"/>
              </w:rPr>
              <w:t>2023 - 2027</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89"/>
              </w:rPr>
              <w:t>1,000.0</w:t>
            </w:r>
          </w:p>
        </w:tc>
        <w:tc>
          <w:tcPr>
            <w:tcW w:w="48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1"/>
        </w:trPr>
        <w:tc>
          <w:tcPr>
            <w:tcW w:w="4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loans (Senior Credit Facility)</w:t>
            </w:r>
          </w:p>
        </w:tc>
        <w:tc>
          <w:tcPr>
            <w:tcW w:w="212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2"/>
              </w:rPr>
              <w:t>5.861%</w:t>
            </w:r>
          </w:p>
        </w:tc>
        <w:tc>
          <w:tcPr>
            <w:tcW w:w="1520" w:type="dxa"/>
            <w:vAlign w:val="bottom"/>
            <w:gridSpan w:val="2"/>
            <w:shd w:val="clear" w:color="auto" w:fill="CCEEFF"/>
          </w:tcPr>
          <w:p>
            <w:pPr>
              <w:jc w:val="center"/>
              <w:ind w:left="329"/>
              <w:spacing w:after="0"/>
              <w:rPr>
                <w:sz w:val="20"/>
                <w:szCs w:val="20"/>
                <w:color w:val="auto"/>
              </w:rPr>
            </w:pPr>
            <w:r>
              <w:rPr>
                <w:rFonts w:ascii="Arial" w:cs="Arial" w:eastAsia="Arial" w:hAnsi="Arial"/>
                <w:sz w:val="14"/>
                <w:szCs w:val="14"/>
                <w:color w:val="auto"/>
                <w:w w:val="89"/>
              </w:rPr>
              <w:t>2024</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40" w:type="dxa"/>
            <w:vAlign w:val="bottom"/>
            <w:shd w:val="clear" w:color="auto" w:fill="CCEEFF"/>
          </w:tcPr>
          <w:p>
            <w:pPr>
              <w:spacing w:after="0"/>
              <w:rPr>
                <w:sz w:val="15"/>
                <w:szCs w:val="15"/>
                <w:color w:val="auto"/>
              </w:rPr>
            </w:pPr>
          </w:p>
        </w:tc>
      </w:tr>
      <w:tr>
        <w:trPr>
          <w:trHeight w:val="180"/>
        </w:trPr>
        <w:tc>
          <w:tcPr>
            <w:tcW w:w="44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Senior notes - fixed rate </w:t>
            </w:r>
            <w:r>
              <w:rPr>
                <w:rFonts w:ascii="Arial" w:cs="Arial" w:eastAsia="Arial" w:hAnsi="Arial"/>
                <w:sz w:val="18"/>
                <w:szCs w:val="18"/>
                <w:color w:val="auto"/>
                <w:vertAlign w:val="superscript"/>
              </w:rPr>
              <w:t>(1)</w:t>
            </w:r>
          </w:p>
        </w:tc>
        <w:tc>
          <w:tcPr>
            <w:tcW w:w="2120" w:type="dxa"/>
            <w:vAlign w:val="bottom"/>
          </w:tcPr>
          <w:p>
            <w:pPr>
              <w:jc w:val="center"/>
              <w:ind w:right="129"/>
              <w:spacing w:after="0"/>
              <w:rPr>
                <w:sz w:val="20"/>
                <w:szCs w:val="20"/>
                <w:color w:val="auto"/>
              </w:rPr>
            </w:pPr>
            <w:r>
              <w:rPr>
                <w:rFonts w:ascii="Arial" w:cs="Arial" w:eastAsia="Arial" w:hAnsi="Arial"/>
                <w:sz w:val="14"/>
                <w:szCs w:val="14"/>
                <w:color w:val="auto"/>
                <w:w w:val="92"/>
              </w:rPr>
              <w:t>3.150%</w:t>
            </w:r>
          </w:p>
        </w:tc>
        <w:tc>
          <w:tcPr>
            <w:tcW w:w="1520" w:type="dxa"/>
            <w:vAlign w:val="bottom"/>
            <w:gridSpan w:val="2"/>
          </w:tcPr>
          <w:p>
            <w:pPr>
              <w:jc w:val="center"/>
              <w:ind w:left="329"/>
              <w:spacing w:after="0"/>
              <w:rPr>
                <w:sz w:val="20"/>
                <w:szCs w:val="20"/>
                <w:color w:val="auto"/>
              </w:rPr>
            </w:pPr>
            <w:r>
              <w:rPr>
                <w:rFonts w:ascii="Arial" w:cs="Arial" w:eastAsia="Arial" w:hAnsi="Arial"/>
                <w:sz w:val="14"/>
                <w:szCs w:val="14"/>
                <w:color w:val="auto"/>
                <w:w w:val="89"/>
              </w:rPr>
              <w:t>2022</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88.3</w:t>
            </w:r>
          </w:p>
        </w:tc>
        <w:tc>
          <w:tcPr>
            <w:tcW w:w="40" w:type="dxa"/>
            <w:vAlign w:val="bottom"/>
          </w:tcPr>
          <w:p>
            <w:pPr>
              <w:spacing w:after="0"/>
              <w:rPr>
                <w:sz w:val="15"/>
                <w:szCs w:val="15"/>
                <w:color w:val="auto"/>
              </w:rPr>
            </w:pPr>
          </w:p>
        </w:tc>
      </w:tr>
      <w:tr>
        <w:trPr>
          <w:trHeight w:val="180"/>
        </w:trPr>
        <w:tc>
          <w:tcPr>
            <w:tcW w:w="44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Senior notes - fixed rate </w:t>
            </w:r>
            <w:r>
              <w:rPr>
                <w:rFonts w:ascii="Arial" w:cs="Arial" w:eastAsia="Arial" w:hAnsi="Arial"/>
                <w:sz w:val="18"/>
                <w:szCs w:val="18"/>
                <w:color w:val="auto"/>
                <w:vertAlign w:val="superscript"/>
              </w:rPr>
              <w:t>(1)</w:t>
            </w:r>
          </w:p>
        </w:tc>
        <w:tc>
          <w:tcPr>
            <w:tcW w:w="212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2"/>
              </w:rPr>
              <w:t>4.650%</w:t>
            </w:r>
          </w:p>
        </w:tc>
        <w:tc>
          <w:tcPr>
            <w:tcW w:w="1520" w:type="dxa"/>
            <w:vAlign w:val="bottom"/>
            <w:gridSpan w:val="2"/>
            <w:shd w:val="clear" w:color="auto" w:fill="CCEEFF"/>
          </w:tcPr>
          <w:p>
            <w:pPr>
              <w:jc w:val="center"/>
              <w:ind w:left="329"/>
              <w:spacing w:after="0"/>
              <w:rPr>
                <w:sz w:val="20"/>
                <w:szCs w:val="20"/>
                <w:color w:val="auto"/>
              </w:rPr>
            </w:pPr>
            <w:r>
              <w:rPr>
                <w:rFonts w:ascii="Arial" w:cs="Arial" w:eastAsia="Arial" w:hAnsi="Arial"/>
                <w:sz w:val="14"/>
                <w:szCs w:val="14"/>
                <w:color w:val="auto"/>
                <w:w w:val="89"/>
              </w:rPr>
              <w:t>2025</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40" w:type="dxa"/>
            <w:vAlign w:val="bottom"/>
            <w:shd w:val="clear" w:color="auto" w:fill="CCEEFF"/>
          </w:tcPr>
          <w:p>
            <w:pPr>
              <w:spacing w:after="0"/>
              <w:rPr>
                <w:sz w:val="15"/>
                <w:szCs w:val="15"/>
                <w:color w:val="auto"/>
              </w:rPr>
            </w:pPr>
          </w:p>
        </w:tc>
      </w:tr>
      <w:tr>
        <w:trPr>
          <w:trHeight w:val="180"/>
        </w:trPr>
        <w:tc>
          <w:tcPr>
            <w:tcW w:w="44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Senior notes - fixed rate </w:t>
            </w:r>
            <w:r>
              <w:rPr>
                <w:rFonts w:ascii="Arial" w:cs="Arial" w:eastAsia="Arial" w:hAnsi="Arial"/>
                <w:sz w:val="18"/>
                <w:szCs w:val="18"/>
                <w:color w:val="auto"/>
                <w:vertAlign w:val="superscript"/>
              </w:rPr>
              <w:t>(1)</w:t>
            </w:r>
          </w:p>
        </w:tc>
        <w:tc>
          <w:tcPr>
            <w:tcW w:w="2120" w:type="dxa"/>
            <w:vAlign w:val="bottom"/>
          </w:tcPr>
          <w:p>
            <w:pPr>
              <w:jc w:val="center"/>
              <w:ind w:right="129"/>
              <w:spacing w:after="0"/>
              <w:rPr>
                <w:sz w:val="20"/>
                <w:szCs w:val="20"/>
                <w:color w:val="auto"/>
              </w:rPr>
            </w:pPr>
            <w:r>
              <w:rPr>
                <w:rFonts w:ascii="Arial" w:cs="Arial" w:eastAsia="Arial" w:hAnsi="Arial"/>
                <w:sz w:val="14"/>
                <w:szCs w:val="14"/>
                <w:color w:val="auto"/>
                <w:w w:val="92"/>
              </w:rPr>
              <w:t>4.500%</w:t>
            </w:r>
          </w:p>
        </w:tc>
        <w:tc>
          <w:tcPr>
            <w:tcW w:w="1520" w:type="dxa"/>
            <w:vAlign w:val="bottom"/>
            <w:gridSpan w:val="2"/>
          </w:tcPr>
          <w:p>
            <w:pPr>
              <w:jc w:val="center"/>
              <w:ind w:left="329"/>
              <w:spacing w:after="0"/>
              <w:rPr>
                <w:sz w:val="20"/>
                <w:szCs w:val="20"/>
                <w:color w:val="auto"/>
              </w:rPr>
            </w:pPr>
            <w:r>
              <w:rPr>
                <w:rFonts w:ascii="Arial" w:cs="Arial" w:eastAsia="Arial" w:hAnsi="Arial"/>
                <w:sz w:val="14"/>
                <w:szCs w:val="14"/>
                <w:color w:val="auto"/>
                <w:w w:val="89"/>
              </w:rPr>
              <w:t>2029</w:t>
            </w:r>
          </w:p>
        </w:tc>
        <w:tc>
          <w:tcPr>
            <w:tcW w:w="6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400.0</w:t>
            </w:r>
          </w:p>
        </w:tc>
        <w:tc>
          <w:tcPr>
            <w:tcW w:w="4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400.0</w:t>
            </w:r>
          </w:p>
        </w:tc>
        <w:tc>
          <w:tcPr>
            <w:tcW w:w="40" w:type="dxa"/>
            <w:vAlign w:val="bottom"/>
          </w:tcPr>
          <w:p>
            <w:pPr>
              <w:spacing w:after="0"/>
              <w:rPr>
                <w:sz w:val="15"/>
                <w:szCs w:val="15"/>
                <w:color w:val="auto"/>
              </w:rPr>
            </w:pPr>
          </w:p>
        </w:tc>
      </w:tr>
      <w:tr>
        <w:trPr>
          <w:trHeight w:val="180"/>
        </w:trPr>
        <w:tc>
          <w:tcPr>
            <w:tcW w:w="44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Senior notes - fixed rate </w:t>
            </w:r>
            <w:r>
              <w:rPr>
                <w:rFonts w:ascii="Arial" w:cs="Arial" w:eastAsia="Arial" w:hAnsi="Arial"/>
                <w:sz w:val="18"/>
                <w:szCs w:val="18"/>
                <w:color w:val="auto"/>
                <w:vertAlign w:val="superscript"/>
              </w:rPr>
              <w:t>(1)</w:t>
            </w:r>
          </w:p>
        </w:tc>
        <w:tc>
          <w:tcPr>
            <w:tcW w:w="212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2"/>
              </w:rPr>
              <w:t>5.900%</w:t>
            </w:r>
          </w:p>
        </w:tc>
        <w:tc>
          <w:tcPr>
            <w:tcW w:w="1520" w:type="dxa"/>
            <w:vAlign w:val="bottom"/>
            <w:gridSpan w:val="2"/>
            <w:shd w:val="clear" w:color="auto" w:fill="CCEEFF"/>
          </w:tcPr>
          <w:p>
            <w:pPr>
              <w:jc w:val="center"/>
              <w:ind w:left="329"/>
              <w:spacing w:after="0"/>
              <w:rPr>
                <w:sz w:val="20"/>
                <w:szCs w:val="20"/>
                <w:color w:val="auto"/>
              </w:rPr>
            </w:pPr>
            <w:r>
              <w:rPr>
                <w:rFonts w:ascii="Arial" w:cs="Arial" w:eastAsia="Arial" w:hAnsi="Arial"/>
                <w:sz w:val="14"/>
                <w:szCs w:val="14"/>
                <w:color w:val="auto"/>
                <w:w w:val="89"/>
              </w:rPr>
              <w:t>2032</w:t>
            </w:r>
          </w:p>
        </w:tc>
        <w:tc>
          <w:tcPr>
            <w:tcW w:w="6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4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Unamortized issuance costs and discounts</w:t>
            </w:r>
          </w:p>
        </w:tc>
        <w:tc>
          <w:tcPr>
            <w:tcW w:w="212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color w:val="auto"/>
              </w:rPr>
              <w:t>N/A</w:t>
            </w:r>
          </w:p>
        </w:tc>
        <w:tc>
          <w:tcPr>
            <w:tcW w:w="1520" w:type="dxa"/>
            <w:vAlign w:val="bottom"/>
            <w:tcBorders>
              <w:bottom w:val="single" w:sz="8" w:color="auto"/>
            </w:tcBorders>
            <w:gridSpan w:val="2"/>
          </w:tcPr>
          <w:p>
            <w:pPr>
              <w:jc w:val="center"/>
              <w:ind w:left="309"/>
              <w:spacing w:after="0"/>
              <w:rPr>
                <w:sz w:val="20"/>
                <w:szCs w:val="20"/>
                <w:color w:val="auto"/>
              </w:rPr>
            </w:pPr>
            <w:r>
              <w:rPr>
                <w:rFonts w:ascii="Arial" w:cs="Arial" w:eastAsia="Arial" w:hAnsi="Arial"/>
                <w:sz w:val="14"/>
                <w:szCs w:val="14"/>
                <w:color w:val="auto"/>
              </w:rPr>
              <w:t>N/A</w:t>
            </w:r>
          </w:p>
        </w:tc>
        <w:tc>
          <w:tcPr>
            <w:tcW w:w="6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4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(8.5)</w:t>
            </w:r>
          </w:p>
        </w:tc>
      </w:tr>
      <w:tr>
        <w:trPr>
          <w:trHeight w:val="175"/>
        </w:trPr>
        <w:tc>
          <w:tcPr>
            <w:tcW w:w="4440" w:type="dxa"/>
            <w:vAlign w:val="bottom"/>
            <w:tcBorders>
              <w:bottom w:val="single" w:sz="8" w:color="auto"/>
            </w:tcBorders>
            <w:shd w:val="clear" w:color="auto" w:fill="CCEEFF"/>
          </w:tcPr>
          <w:p>
            <w:pPr>
              <w:ind w:left="20"/>
              <w:spacing w:after="0" w:line="150" w:lineRule="exact"/>
              <w:rPr>
                <w:sz w:val="20"/>
                <w:szCs w:val="20"/>
                <w:color w:val="auto"/>
              </w:rPr>
            </w:pPr>
            <w:r>
              <w:rPr>
                <w:rFonts w:ascii="Arial" w:cs="Arial" w:eastAsia="Arial" w:hAnsi="Arial"/>
                <w:sz w:val="14"/>
                <w:szCs w:val="14"/>
                <w:color w:val="auto"/>
              </w:rPr>
              <w:t>Total debt</w:t>
            </w:r>
          </w:p>
        </w:tc>
        <w:tc>
          <w:tcPr>
            <w:tcW w:w="212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gridSpan w:val="2"/>
            <w:shd w:val="clear" w:color="auto" w:fill="CCEEFF"/>
          </w:tcPr>
          <w:p>
            <w:pPr>
              <w:jc w:val="right"/>
              <w:ind w:right="529"/>
              <w:spacing w:after="0" w:line="150"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w w:val="89"/>
              </w:rPr>
              <w:t>2,317.3</w:t>
            </w:r>
          </w:p>
        </w:tc>
        <w:tc>
          <w:tcPr>
            <w:tcW w:w="480" w:type="dxa"/>
            <w:vAlign w:val="bottom"/>
            <w:tcBorders>
              <w:bottom w:val="single" w:sz="8" w:color="auto"/>
            </w:tcBorders>
            <w:shd w:val="clear" w:color="auto" w:fill="CCEEFF"/>
          </w:tcPr>
          <w:p>
            <w:pPr>
              <w:jc w:val="right"/>
              <w:ind w:right="329"/>
              <w:spacing w:after="0" w:line="150"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50" w:lineRule="exact"/>
              <w:rPr>
                <w:sz w:val="20"/>
                <w:szCs w:val="20"/>
                <w:color w:val="auto"/>
              </w:rPr>
            </w:pPr>
            <w:r>
              <w:rPr>
                <w:rFonts w:ascii="Arial" w:cs="Arial" w:eastAsia="Arial" w:hAnsi="Arial"/>
                <w:sz w:val="14"/>
                <w:szCs w:val="14"/>
                <w:color w:val="auto"/>
              </w:rPr>
              <w:t>894.1</w:t>
            </w:r>
          </w:p>
        </w:tc>
        <w:tc>
          <w:tcPr>
            <w:tcW w:w="40" w:type="dxa"/>
            <w:vAlign w:val="bottom"/>
            <w:tcBorders>
              <w:bottom w:val="single" w:sz="8" w:color="auto"/>
            </w:tcBorders>
            <w:shd w:val="clear" w:color="auto" w:fill="CCEEFF"/>
          </w:tcPr>
          <w:p>
            <w:pPr>
              <w:spacing w:after="0"/>
              <w:rPr>
                <w:sz w:val="14"/>
                <w:szCs w:val="14"/>
                <w:color w:val="auto"/>
              </w:rPr>
            </w:pPr>
          </w:p>
        </w:tc>
      </w:tr>
      <w:tr>
        <w:trPr>
          <w:trHeight w:val="20"/>
        </w:trPr>
        <w:tc>
          <w:tcPr>
            <w:tcW w:w="444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ind w:left="20"/>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Senior notes are guaranteed as to payment by Pentair plc.</w:t>
      </w:r>
    </w:p>
    <w:p>
      <w:pPr>
        <w:spacing w:after="0" w:line="84"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Pentair, Pentair Finance S.à r.l (“PFSA“) and Pentair, Inc. are parties to a credit agreement (the “Senior Credit Facility”), with Pentair as guarantor and PFSA and Pentair, Inc. as borrowers, which was amended and restated in December 2021 and further amended in December 2022, providing for a $900.0 million senior unsecured revolving credit facility and a $200.0 million senior unsecured term loan facility. The revolving credit facility has a maturity date of December 16, 2026 and the term loan facility has a maturity date of December 16, 2024.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spacing w:after="0" w:line="11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As of December 31, 2022, total availability under the Senior Credit Facility was $580.0 million. In addition, PFSA has the option to request to increase the revolving credit facility and/or to enter into one or more additional tranches of term loans in an aggregate amount of up to $300.0 million, subject to customary conditions, including the commitment of the participating lenders.</w:t>
      </w:r>
    </w:p>
    <w:p>
      <w:pPr>
        <w:spacing w:after="0" w:line="78" w:lineRule="exact"/>
        <w:rPr>
          <w:sz w:val="20"/>
          <w:szCs w:val="20"/>
          <w:color w:val="auto"/>
        </w:rPr>
      </w:pPr>
    </w:p>
    <w:p>
      <w:pPr>
        <w:ind w:right="160"/>
        <w:spacing w:after="0" w:line="280" w:lineRule="auto"/>
        <w:rPr>
          <w:sz w:val="20"/>
          <w:szCs w:val="20"/>
          <w:color w:val="auto"/>
        </w:rPr>
      </w:pPr>
      <w:r>
        <w:rPr>
          <w:rFonts w:ascii="Arial" w:cs="Arial" w:eastAsia="Arial" w:hAnsi="Arial"/>
          <w:sz w:val="13"/>
          <w:szCs w:val="13"/>
          <w:color w:val="auto"/>
        </w:rPr>
        <w:t>In March 2022, in contemplation of the acquisition of Manitowoc Ice, Pentair and PFSA entered into a Loan Agreement among PFSA, as borrower, Pentair, as guarantor, and the lenders and agents party thereto, providing for a $600.0 million senior unsecured term loan facility (the “Term Loan Facility”). In June 2022, the Term Loan Facility was amended to increase the facility by</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$400.0 million to an aggregate principal amount of $1.0 billion. The Term Loan Facility has a maturity date of July 28, 2027, with required quarterly installment payments of $6.3 million beginning on the last day of the third quarter of 2023 and increasing to $12.5 million beginning with the last day of the third quarter of 2024. The Term Loan Facility bears interest at a rate equal to an alternate base rate, adjusted term secured overnight financing rate, or adjusted daily simple secured overnight financing rate, plus, in each case, an applicable margin. The applicable margin is based on, at PFSA’s election, Pentair’s leverage level or PFSA’s public credit rating.</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July 2022, in contemplation of the acquisition of Manitowoc Ice, Pentair, as guarantor, and PFSA, as issuer, completed a public offering of $400.0 million aggregate principal amount of 5.900% Senior Notes due 2032 (“2032 Senior Notes”).</w:t>
      </w:r>
    </w:p>
    <w:p>
      <w:pPr>
        <w:spacing w:after="0" w:line="11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We used the net proceeds from the Term Loan Facility and the issuance of the 2032 Senior Notes to finance a portion of the Manitowoc Ice acquisition purchase price and to pay related fees and expenses.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00" w:lineRule="exact"/>
        <w:rPr>
          <w:sz w:val="20"/>
          <w:szCs w:val="20"/>
          <w:color w:val="auto"/>
        </w:rPr>
      </w:pPr>
    </w:p>
    <w:p>
      <w:pPr>
        <w:spacing w:after="0" w:line="20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w:t>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addition to the Senior Credit Facility and the Term Loan Facility, we have various other credit facilities with an aggregate availability of $21.0 million, of which there were no outstanding borrowings at December 31, 2022. Borrowings under these credit facilities bear interest at variable rates.</w:t>
      </w:r>
    </w:p>
    <w:p>
      <w:pPr>
        <w:spacing w:after="0" w:line="10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have $12.5 million of Term Loan Facility payments due in the next twelve months. We classified this debt as long-term as of December 31, 2022 as we have the intent and ability to refinance such obligation on a long-term basis under the revolving credit facility under the Senior Credit Facility.</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Debt outstanding, excluding unamortized issuance costs and discounts</w:t>
      </w:r>
      <w:r>
        <w:rPr>
          <w:rFonts w:ascii="Arial" w:cs="Arial" w:eastAsia="Arial" w:hAnsi="Arial"/>
          <w:sz w:val="16"/>
          <w:szCs w:val="16"/>
          <w:color w:val="auto"/>
        </w:rPr>
        <w:t>,</w:t>
      </w:r>
      <w:r>
        <w:rPr>
          <w:rFonts w:ascii="Arial" w:cs="Arial" w:eastAsia="Arial" w:hAnsi="Arial"/>
          <w:sz w:val="14"/>
          <w:szCs w:val="14"/>
          <w:color w:val="auto"/>
        </w:rPr>
        <w:t xml:space="preserve"> at December 31, 2022 matures on a calendar year basis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Thereafter</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Total</w:t>
            </w:r>
          </w:p>
        </w:tc>
      </w:tr>
      <w:tr>
        <w:trPr>
          <w:trHeight w:val="171"/>
        </w:trPr>
        <w:tc>
          <w:tcPr>
            <w:tcW w:w="2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debt obligation maturities</w:t>
            </w:r>
          </w:p>
        </w:tc>
        <w:tc>
          <w:tcPr>
            <w:tcW w:w="134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760" w:type="dxa"/>
            <w:vAlign w:val="bottom"/>
            <w:shd w:val="clear" w:color="auto" w:fill="CCEEFF"/>
          </w:tcPr>
          <w:p>
            <w:pPr>
              <w:jc w:val="right"/>
              <w:ind w:right="589"/>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237.5</w:t>
            </w:r>
          </w:p>
        </w:tc>
        <w:tc>
          <w:tcPr>
            <w:tcW w:w="78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w:t>
            </w:r>
          </w:p>
        </w:tc>
        <w:tc>
          <w:tcPr>
            <w:tcW w:w="2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2,339.3</w:t>
            </w:r>
          </w:p>
        </w:tc>
      </w:tr>
    </w:tbl>
    <w:p>
      <w:pPr>
        <w:spacing w:after="0" w:line="200" w:lineRule="exact"/>
        <w:rPr>
          <w:sz w:val="20"/>
          <w:szCs w:val="20"/>
          <w:color w:val="auto"/>
        </w:rPr>
      </w:pPr>
    </w:p>
    <w:p>
      <w:pPr>
        <w:spacing w:after="0" w:line="231" w:lineRule="exact"/>
        <w:rPr>
          <w:sz w:val="20"/>
          <w:szCs w:val="20"/>
          <w:color w:val="auto"/>
        </w:rPr>
      </w:pPr>
    </w:p>
    <w:p>
      <w:pPr>
        <w:ind w:right="8700" w:firstLine="5"/>
        <w:spacing w:after="0" w:line="307" w:lineRule="auto"/>
        <w:tabs>
          <w:tab w:leader="none" w:pos="248"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Derivatives and Financial Instruments </w:t>
      </w:r>
      <w:r>
        <w:rPr>
          <w:rFonts w:ascii="Arial" w:cs="Arial" w:eastAsia="Arial" w:hAnsi="Arial"/>
          <w:sz w:val="12"/>
          <w:szCs w:val="12"/>
          <w:b w:val="1"/>
          <w:bCs w:val="1"/>
          <w:i w:val="1"/>
          <w:iCs w:val="1"/>
          <w:color w:val="auto"/>
        </w:rPr>
        <w:t>Derivative financial instruments</w:t>
      </w:r>
    </w:p>
    <w:p>
      <w:pPr>
        <w:ind w:right="180"/>
        <w:spacing w:after="0" w:line="283" w:lineRule="auto"/>
        <w:rPr>
          <w:rFonts w:ascii="Arial" w:cs="Arial" w:eastAsia="Arial" w:hAnsi="Arial"/>
          <w:sz w:val="12"/>
          <w:szCs w:val="12"/>
          <w:b w:val="1"/>
          <w:bCs w:val="1"/>
          <w:color w:val="auto"/>
        </w:rPr>
      </w:pPr>
      <w:r>
        <w:rPr>
          <w:rFonts w:ascii="Arial" w:cs="Arial" w:eastAsia="Arial" w:hAnsi="Arial"/>
          <w:sz w:val="13"/>
          <w:szCs w:val="13"/>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contracts</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4"/>
          <w:szCs w:val="14"/>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07" w:lineRule="exact"/>
        <w:rPr>
          <w:sz w:val="20"/>
          <w:szCs w:val="20"/>
          <w:color w:val="auto"/>
        </w:rPr>
      </w:pPr>
    </w:p>
    <w:p>
      <w:pPr>
        <w:ind w:right="280"/>
        <w:spacing w:after="0" w:line="281" w:lineRule="auto"/>
        <w:rPr>
          <w:sz w:val="20"/>
          <w:szCs w:val="20"/>
          <w:color w:val="auto"/>
        </w:rPr>
      </w:pPr>
      <w:r>
        <w:rPr>
          <w:rFonts w:ascii="Arial" w:cs="Arial" w:eastAsia="Arial" w:hAnsi="Arial"/>
          <w:sz w:val="14"/>
          <w:szCs w:val="14"/>
          <w:color w:val="auto"/>
        </w:rPr>
        <w:t>At December 31, 2022 and 2021, we had outstanding foreign currency derivative contracts with gross notional U.S. dollar equivalent amounts of $9.4 million and $14.7 million, respectively. The impact of these contracts on the Consolidated Statements of Operations and Comprehensive Income was not material for any period presented.</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Cross currency swaps</w:t>
      </w:r>
    </w:p>
    <w:p>
      <w:pPr>
        <w:spacing w:after="0" w:line="19" w:lineRule="exact"/>
        <w:rPr>
          <w:sz w:val="20"/>
          <w:szCs w:val="20"/>
          <w:color w:val="auto"/>
        </w:rPr>
      </w:pPr>
    </w:p>
    <w:p>
      <w:pPr>
        <w:ind w:right="220"/>
        <w:spacing w:after="0" w:line="309" w:lineRule="auto"/>
        <w:rPr>
          <w:sz w:val="20"/>
          <w:szCs w:val="20"/>
          <w:color w:val="auto"/>
        </w:rPr>
      </w:pPr>
      <w:r>
        <w:rPr>
          <w:rFonts w:ascii="Arial" w:cs="Arial" w:eastAsia="Arial" w:hAnsi="Arial"/>
          <w:sz w:val="12"/>
          <w:szCs w:val="12"/>
          <w:color w:val="auto"/>
        </w:rPr>
        <w:t xml:space="preserve">At December 31, 2022 and 2021, we had outstanding cross currency swap agreements with a combined notional amount of $746.3 million and $794.4 million, respectively. The agreements are accounted for as either cash flow hedges, to hedge foreign currency fluctuations on certain intercompany debt, or as net investment hedges to manage our exposure to fluctuations in the Euro-U.S. Dollar exchange rate. As of December 31, 2022 and 2021, we had a deferred foreign currency loss of $40.3 million and a deferred foreign currency gain of $7.3 million, respectively, recorded in </w:t>
      </w:r>
      <w:r>
        <w:rPr>
          <w:rFonts w:ascii="Arial" w:cs="Arial" w:eastAsia="Arial" w:hAnsi="Arial"/>
          <w:sz w:val="12"/>
          <w:szCs w:val="12"/>
          <w:i w:val="1"/>
          <w:iCs w:val="1"/>
          <w:color w:val="auto"/>
        </w:rPr>
        <w:t xml:space="preserve">Accumulated other comprehensive loss </w:t>
      </w:r>
      <w:r>
        <w:rPr>
          <w:rFonts w:ascii="Arial" w:cs="Arial" w:eastAsia="Arial" w:hAnsi="Arial"/>
          <w:sz w:val="12"/>
          <w:szCs w:val="12"/>
          <w:color w:val="auto"/>
        </w:rPr>
        <w:t>associated with our cross currency swap activity. The periodic interest settlements related to our cross currency swap agreements are classified as operating</w:t>
      </w:r>
      <w:r>
        <w:rPr>
          <w:rFonts w:ascii="Arial" w:cs="Arial" w:eastAsia="Arial" w:hAnsi="Arial"/>
          <w:sz w:val="12"/>
          <w:szCs w:val="12"/>
          <w:i w:val="1"/>
          <w:iCs w:val="1"/>
          <w:color w:val="auto"/>
        </w:rPr>
        <w:t xml:space="preserve"> </w:t>
      </w:r>
      <w:r>
        <w:rPr>
          <w:rFonts w:ascii="Arial" w:cs="Arial" w:eastAsia="Arial" w:hAnsi="Arial"/>
          <w:sz w:val="12"/>
          <w:szCs w:val="12"/>
          <w:color w:val="auto"/>
        </w:rPr>
        <w:t>activities. The cash flows that relate to principal balances are classified as financing activities for the cash flow hedges on intercompany debt and investing activities for the net investment hedges.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October 2022, we entered into transactions to early terminate and cash settle €700 million of our cross currency swap agreements due to favorable market conditions. The termination of the cross currency swap agreements resulted in net cash receipts of $84.3 million, of which $2.1 million, $70.1 million and $12.1 million are included within operating activities, investing activities and financing activities, respectively, on the Consolidated Statements of Cash Flows. Subsequent to the termination, we entered into new cross currency swap agreements with euro notional amounts matching the original swap agreements.</w:t>
      </w:r>
    </w:p>
    <w:p>
      <w:pPr>
        <w:spacing w:after="0" w:line="10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June 2022, we terminated two of our cross currency swap agreements, resulting in total net cash received of $9.0 million, of which $8.8 million is included within investing activities and $0.2 million is included within financing activities on the Consolidated Statements of Cash Flows. We entered into new cross currency swaps with a combined notional amount of $320.0 million to replace the terminated cross currency swap agreements.</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January 2021, one of our cross currency swap agreements, which was accounted for as a cash flow hedge, matured, resulting in a net cash payment of $14.7 million. The net cash payment is included within financing activities on the Consolidated Statements of Cash Flows.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measurements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06" w:lineRule="exact"/>
        <w:rPr>
          <w:sz w:val="20"/>
          <w:szCs w:val="20"/>
          <w:color w:val="auto"/>
        </w:rPr>
      </w:pPr>
    </w:p>
    <w:p>
      <w:pPr>
        <w:ind w:left="960"/>
        <w:spacing w:after="0"/>
        <w:tabs>
          <w:tab w:leader="none" w:pos="1520" w:val="left"/>
        </w:tabs>
        <w:rPr>
          <w:sz w:val="20"/>
          <w:szCs w:val="20"/>
          <w:color w:val="auto"/>
        </w:rPr>
      </w:pPr>
      <w:r>
        <w:rPr>
          <w:rFonts w:ascii="Arial" w:cs="Arial" w:eastAsia="Arial" w:hAnsi="Arial"/>
          <w:sz w:val="14"/>
          <w:szCs w:val="14"/>
          <w:i w:val="1"/>
          <w:iCs w:val="1"/>
          <w:color w:val="auto"/>
        </w:rPr>
        <w:t>Level 1:</w:t>
      </w:r>
      <w:r>
        <w:rPr>
          <w:sz w:val="20"/>
          <w:szCs w:val="20"/>
          <w:color w:val="auto"/>
        </w:rPr>
        <w:tab/>
      </w:r>
      <w:r>
        <w:rPr>
          <w:rFonts w:ascii="Arial" w:cs="Arial" w:eastAsia="Arial" w:hAnsi="Arial"/>
          <w:sz w:val="12"/>
          <w:szCs w:val="12"/>
          <w:color w:val="auto"/>
        </w:rPr>
        <w:t>Valuation is based on observable inputs such as quoted market prices (unadjusted) for identical assets or liabilities in active markets.</w:t>
      </w:r>
    </w:p>
    <w:p>
      <w:pPr>
        <w:spacing w:after="0" w:line="62" w:lineRule="exact"/>
        <w:rPr>
          <w:sz w:val="20"/>
          <w:szCs w:val="20"/>
          <w:color w:val="auto"/>
        </w:rPr>
      </w:pPr>
    </w:p>
    <w:p>
      <w:pPr>
        <w:ind w:left="1540" w:right="440" w:hanging="582"/>
        <w:spacing w:after="0" w:line="236" w:lineRule="auto"/>
        <w:tabs>
          <w:tab w:leader="none" w:pos="1520" w:val="left"/>
        </w:tabs>
        <w:rPr>
          <w:sz w:val="20"/>
          <w:szCs w:val="20"/>
          <w:color w:val="auto"/>
        </w:rPr>
      </w:pPr>
      <w:r>
        <w:rPr>
          <w:rFonts w:ascii="Arial" w:cs="Arial" w:eastAsia="Arial" w:hAnsi="Arial"/>
          <w:sz w:val="14"/>
          <w:szCs w:val="14"/>
          <w:i w:val="1"/>
          <w:iCs w:val="1"/>
          <w:color w:val="auto"/>
        </w:rPr>
        <w:t>Level 2:</w:t>
      </w:r>
      <w:r>
        <w:rPr>
          <w:sz w:val="20"/>
          <w:szCs w:val="20"/>
          <w:color w:val="auto"/>
        </w:rPr>
        <w:tab/>
      </w:r>
      <w:r>
        <w:rPr>
          <w:rFonts w:ascii="Arial" w:cs="Arial" w:eastAsia="Arial" w:hAnsi="Arial"/>
          <w:sz w:val="14"/>
          <w:szCs w:val="14"/>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55" w:lineRule="exact"/>
        <w:rPr>
          <w:sz w:val="20"/>
          <w:szCs w:val="20"/>
          <w:color w:val="auto"/>
        </w:rPr>
      </w:pPr>
    </w:p>
    <w:p>
      <w:pPr>
        <w:ind w:left="960"/>
        <w:spacing w:after="0"/>
        <w:tabs>
          <w:tab w:leader="none" w:pos="1520" w:val="left"/>
        </w:tabs>
        <w:rPr>
          <w:sz w:val="20"/>
          <w:szCs w:val="20"/>
          <w:color w:val="auto"/>
        </w:rPr>
      </w:pPr>
      <w:r>
        <w:rPr>
          <w:rFonts w:ascii="Arial" w:cs="Arial" w:eastAsia="Arial" w:hAnsi="Arial"/>
          <w:sz w:val="14"/>
          <w:szCs w:val="14"/>
          <w:i w:val="1"/>
          <w:iCs w:val="1"/>
          <w:color w:val="auto"/>
        </w:rPr>
        <w:t>Level 3:</w:t>
      </w:r>
      <w:r>
        <w:rPr>
          <w:sz w:val="20"/>
          <w:szCs w:val="20"/>
          <w:color w:val="auto"/>
        </w:rPr>
        <w:tab/>
      </w:r>
      <w:r>
        <w:rPr>
          <w:rFonts w:ascii="Arial" w:cs="Arial" w:eastAsia="Arial" w:hAnsi="Arial"/>
          <w:sz w:val="12"/>
          <w:szCs w:val="12"/>
          <w:color w:val="auto"/>
        </w:rPr>
        <w:t>Valuation is based upon other unobservable inputs that are significant to the fair value measurement.</w:t>
      </w:r>
    </w:p>
    <w:p>
      <w:pPr>
        <w:spacing w:after="0" w:line="136"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methods were used to estimate the fair values of each class of financial instrument:</w:t>
      </w:r>
    </w:p>
    <w:p>
      <w:pPr>
        <w:spacing w:after="0" w:line="126" w:lineRule="exact"/>
        <w:rPr>
          <w:sz w:val="20"/>
          <w:szCs w:val="20"/>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short-term financial instruments (cash and cash equivalents, accounts and notes receivable, accounts payable and variable-rate debt) </w:t>
      </w:r>
      <w:r>
        <w:rPr>
          <w:rFonts w:ascii="Arial" w:cs="Arial" w:eastAsia="Arial" w:hAnsi="Arial"/>
          <w:sz w:val="14"/>
          <w:szCs w:val="14"/>
          <w:color w:val="auto"/>
        </w:rPr>
        <w:t>— recorded amount approximates fair value because of</w:t>
      </w:r>
      <w:r>
        <w:rPr>
          <w:rFonts w:ascii="Arial" w:cs="Arial" w:eastAsia="Arial" w:hAnsi="Arial"/>
          <w:sz w:val="14"/>
          <w:szCs w:val="14"/>
          <w:i w:val="1"/>
          <w:iCs w:val="1"/>
          <w:color w:val="auto"/>
        </w:rPr>
        <w:t xml:space="preserve"> </w:t>
      </w:r>
      <w:r>
        <w:rPr>
          <w:rFonts w:ascii="Arial" w:cs="Arial" w:eastAsia="Arial" w:hAnsi="Arial"/>
          <w:sz w:val="14"/>
          <w:szCs w:val="14"/>
          <w:color w:val="auto"/>
        </w:rPr>
        <w:t>the short maturity period;</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long-term fixed-rate debt, including current maturities </w:t>
      </w:r>
      <w:r>
        <w:rPr>
          <w:rFonts w:ascii="Arial" w:cs="Arial" w:eastAsia="Arial" w:hAnsi="Arial"/>
          <w:sz w:val="14"/>
          <w:szCs w:val="14"/>
          <w:color w:val="auto"/>
        </w:rPr>
        <w:t>— fair value is based on market quotes available for issuance of debt with similar terms, which are inputs that are classified as Level 2</w:t>
      </w:r>
      <w:r>
        <w:rPr>
          <w:rFonts w:ascii="Arial" w:cs="Arial" w:eastAsia="Arial" w:hAnsi="Arial"/>
          <w:sz w:val="14"/>
          <w:szCs w:val="14"/>
          <w:i w:val="1"/>
          <w:iCs w:val="1"/>
          <w:color w:val="auto"/>
        </w:rPr>
        <w:t xml:space="preserve"> </w:t>
      </w:r>
      <w:r>
        <w:rPr>
          <w:rFonts w:ascii="Arial" w:cs="Arial" w:eastAsia="Arial" w:hAnsi="Arial"/>
          <w:sz w:val="14"/>
          <w:szCs w:val="14"/>
          <w:color w:val="auto"/>
        </w:rPr>
        <w:t>in the valuation hierarchy defined above;</w:t>
      </w:r>
    </w:p>
    <w:p>
      <w:pPr>
        <w:spacing w:after="0" w:line="89"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5"/>
        </w:numPr>
        <w:rPr>
          <w:rFonts w:ascii="Arial" w:cs="Arial" w:eastAsia="Arial" w:hAnsi="Arial"/>
          <w:sz w:val="14"/>
          <w:szCs w:val="14"/>
          <w:color w:val="auto"/>
        </w:rPr>
      </w:pPr>
      <w:r>
        <w:rPr>
          <w:rFonts w:ascii="Arial" w:cs="Arial" w:eastAsia="Arial" w:hAnsi="Arial"/>
          <w:sz w:val="14"/>
          <w:szCs w:val="14"/>
          <w:i w:val="1"/>
          <w:iCs w:val="1"/>
          <w:color w:val="auto"/>
        </w:rPr>
        <w:t xml:space="preserve">foreign currency contract agreements </w:t>
      </w:r>
      <w:r>
        <w:rPr>
          <w:rFonts w:ascii="Arial" w:cs="Arial" w:eastAsia="Arial" w:hAnsi="Arial"/>
          <w:sz w:val="14"/>
          <w:szCs w:val="14"/>
          <w:color w:val="auto"/>
        </w:rPr>
        <w:t>— fair values are determined through the use of models that consider various assumptions, including time value, yield curves, as well as other relevant</w:t>
      </w:r>
      <w:r>
        <w:rPr>
          <w:rFonts w:ascii="Arial" w:cs="Arial" w:eastAsia="Arial" w:hAnsi="Arial"/>
          <w:sz w:val="14"/>
          <w:szCs w:val="14"/>
          <w:i w:val="1"/>
          <w:iCs w:val="1"/>
          <w:color w:val="auto"/>
        </w:rPr>
        <w:t xml:space="preserve"> </w:t>
      </w:r>
      <w:r>
        <w:rPr>
          <w:rFonts w:ascii="Arial" w:cs="Arial" w:eastAsia="Arial" w:hAnsi="Arial"/>
          <w:sz w:val="14"/>
          <w:szCs w:val="14"/>
          <w:color w:val="auto"/>
        </w:rPr>
        <w:t>economic measures, which are inputs that are classified as Level 2 in the valuation hierarchy defined above; and</w:t>
      </w:r>
    </w:p>
    <w:p>
      <w:pPr>
        <w:spacing w:after="0" w:line="89" w:lineRule="exact"/>
        <w:rPr>
          <w:rFonts w:ascii="Arial" w:cs="Arial" w:eastAsia="Arial" w:hAnsi="Arial"/>
          <w:sz w:val="14"/>
          <w:szCs w:val="14"/>
          <w:color w:val="auto"/>
        </w:rPr>
      </w:pPr>
    </w:p>
    <w:p>
      <w:pPr>
        <w:ind w:left="520" w:hanging="260"/>
        <w:spacing w:after="0"/>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i w:val="1"/>
          <w:iCs w:val="1"/>
          <w:color w:val="auto"/>
        </w:rPr>
        <w:t>deferred compensation plan assets (mutual funds, common/collective trusts and cash equivalents for payment of certain non-qualified benefits for retired, terminated and active employees)</w:t>
      </w:r>
    </w:p>
    <w:p>
      <w:pPr>
        <w:spacing w:after="0" w:line="42" w:lineRule="exact"/>
        <w:rPr>
          <w:rFonts w:ascii="Arial" w:cs="Arial" w:eastAsia="Arial" w:hAnsi="Arial"/>
          <w:sz w:val="12"/>
          <w:szCs w:val="12"/>
          <w:color w:val="auto"/>
        </w:rPr>
      </w:pPr>
    </w:p>
    <w:p>
      <w:pPr>
        <w:jc w:val="both"/>
        <w:ind w:left="520"/>
        <w:spacing w:after="0" w:line="259" w:lineRule="auto"/>
        <w:rPr>
          <w:rFonts w:ascii="Arial" w:cs="Arial" w:eastAsia="Arial" w:hAnsi="Arial"/>
          <w:sz w:val="12"/>
          <w:szCs w:val="12"/>
          <w:color w:val="auto"/>
        </w:rPr>
      </w:pPr>
      <w:r>
        <w:rPr>
          <w:rFonts w:ascii="Arial" w:cs="Arial" w:eastAsia="Arial" w:hAnsi="Arial"/>
          <w:sz w:val="14"/>
          <w:szCs w:val="14"/>
          <w:color w:val="auto"/>
        </w:rPr>
        <w:t>— fair value of mutual funds and cash equivalents are based on quoted market prices in active markets that are classified as Level 1 in the valuation hierarchy defined above; fair value of common/collective trusts are valued at net asset value (“NAV”), which is based on the fair value of the underlying securities owned by the fund and divided by the number of shares outstanding.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gridSpan w:val="6"/>
          </w:tcPr>
          <w:p>
            <w:pPr>
              <w:spacing w:after="0"/>
              <w:rPr>
                <w:sz w:val="20"/>
                <w:szCs w:val="20"/>
                <w:color w:val="auto"/>
              </w:rPr>
            </w:pPr>
            <w:r>
              <w:rPr>
                <w:rFonts w:ascii="Arial" w:cs="Arial" w:eastAsia="Arial" w:hAnsi="Arial"/>
                <w:sz w:val="14"/>
                <w:szCs w:val="14"/>
                <w:color w:val="auto"/>
                <w:w w:val="91"/>
              </w:rPr>
              <w:t>The recorded amounts and estimated fair values of total debt, excluding unamortized issuance costs and discounts</w:t>
            </w:r>
            <w:r>
              <w:rPr>
                <w:rFonts w:ascii="Arial" w:cs="Arial" w:eastAsia="Arial" w:hAnsi="Arial"/>
                <w:sz w:val="16"/>
                <w:szCs w:val="16"/>
                <w:color w:val="auto"/>
                <w:w w:val="91"/>
              </w:rPr>
              <w:t>,</w:t>
            </w:r>
            <w:r>
              <w:rPr>
                <w:rFonts w:ascii="Arial" w:cs="Arial" w:eastAsia="Arial" w:hAnsi="Arial"/>
                <w:sz w:val="14"/>
                <w:szCs w:val="14"/>
                <w:color w:val="auto"/>
                <w:w w:val="91"/>
              </w:rPr>
              <w:t xml:space="preserve"> at December 31 were as follows:</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68"/>
        </w:trPr>
        <w:tc>
          <w:tcPr>
            <w:tcW w:w="54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11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bottom w:val="single" w:sz="8" w:color="auto"/>
            </w:tcBorders>
          </w:tcPr>
          <w:p>
            <w:pPr>
              <w:spacing w:after="0"/>
              <w:rPr>
                <w:sz w:val="23"/>
                <w:szCs w:val="23"/>
                <w:color w:val="auto"/>
              </w:rPr>
            </w:pPr>
          </w:p>
        </w:tc>
      </w:tr>
      <w:tr>
        <w:trPr>
          <w:trHeight w:val="129"/>
        </w:trPr>
        <w:tc>
          <w:tcPr>
            <w:tcW w:w="5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29"/>
              <w:spacing w:after="0" w:line="129" w:lineRule="exact"/>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jc w:val="right"/>
              <w:ind w:right="329"/>
              <w:spacing w:after="0" w:line="129" w:lineRule="exact"/>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91"/>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Fair Value</w:t>
            </w:r>
          </w:p>
        </w:tc>
      </w:tr>
      <w:tr>
        <w:trPr>
          <w:trHeight w:val="17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rate debt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w:t>
            </w:r>
          </w:p>
        </w:tc>
        <w:tc>
          <w:tcPr>
            <w:tcW w:w="3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395.0</w:t>
            </w:r>
          </w:p>
        </w:tc>
      </w:tr>
      <w:tr>
        <w:trPr>
          <w:trHeight w:val="18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Fixed rate debt</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819.3</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789.3</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507.6</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564.3</w:t>
            </w:r>
          </w:p>
        </w:tc>
      </w:tr>
      <w:tr>
        <w:trPr>
          <w:trHeight w:val="19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debt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2,339.3</w:t>
            </w:r>
          </w:p>
        </w:tc>
        <w:tc>
          <w:tcPr>
            <w:tcW w:w="3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2,309.3</w:t>
            </w:r>
          </w:p>
        </w:tc>
        <w:tc>
          <w:tcPr>
            <w:tcW w:w="1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902.6</w:t>
            </w:r>
          </w:p>
        </w:tc>
        <w:tc>
          <w:tcPr>
            <w:tcW w:w="3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959.3</w:t>
            </w: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Financial assets and liabilities measured at fair value on a recurring and nonrecurring basis were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Recurring fair value measurements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2022</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71"/>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NAV</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Total</w:t>
            </w:r>
          </w:p>
        </w:tc>
      </w:tr>
      <w:tr>
        <w:trPr>
          <w:trHeight w:val="171"/>
        </w:trPr>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 liabilities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center"/>
              <w:ind w:left="529"/>
              <w:spacing w:after="0"/>
              <w:rPr>
                <w:sz w:val="20"/>
                <w:szCs w:val="20"/>
                <w:color w:val="auto"/>
              </w:rPr>
            </w:pPr>
            <w:r>
              <w:rPr>
                <w:rFonts w:ascii="Arial" w:cs="Arial" w:eastAsia="Arial" w:hAnsi="Arial"/>
                <w:sz w:val="14"/>
                <w:szCs w:val="14"/>
                <w:color w:val="auto"/>
                <w:w w:val="92"/>
              </w:rPr>
              <w:t>(52.2)</w:t>
            </w:r>
          </w:p>
        </w:tc>
      </w:tr>
      <w:tr>
        <w:trPr>
          <w:trHeight w:val="180"/>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compensation plan assets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left="549"/>
              <w:spacing w:after="0"/>
              <w:rPr>
                <w:sz w:val="20"/>
                <w:szCs w:val="20"/>
                <w:color w:val="auto"/>
              </w:rPr>
            </w:pPr>
            <w:r>
              <w:rPr>
                <w:rFonts w:ascii="Arial" w:cs="Arial" w:eastAsia="Arial" w:hAnsi="Arial"/>
                <w:sz w:val="14"/>
                <w:szCs w:val="14"/>
                <w:color w:val="auto"/>
                <w:w w:val="87"/>
              </w:rPr>
              <w:t>21.7</w:t>
            </w:r>
          </w:p>
        </w:tc>
      </w:tr>
      <w:tr>
        <w:trPr>
          <w:trHeight w:val="196"/>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recurring fair value measurements</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8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center"/>
              <w:ind w:left="529"/>
              <w:spacing w:after="0"/>
              <w:rPr>
                <w:sz w:val="20"/>
                <w:szCs w:val="20"/>
                <w:color w:val="auto"/>
              </w:rPr>
            </w:pPr>
            <w:r>
              <w:rPr>
                <w:rFonts w:ascii="Arial" w:cs="Arial" w:eastAsia="Arial" w:hAnsi="Arial"/>
                <w:sz w:val="14"/>
                <w:szCs w:val="14"/>
                <w:color w:val="auto"/>
                <w:w w:val="92"/>
              </w:rPr>
              <w:t>(30.5)</w:t>
            </w:r>
          </w:p>
        </w:tc>
      </w:tr>
      <w:tr>
        <w:trPr>
          <w:trHeight w:val="20"/>
        </w:trPr>
        <w:tc>
          <w:tcPr>
            <w:tcW w:w="4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920" w:type="dxa"/>
            <w:vAlign w:val="bottom"/>
          </w:tcPr>
          <w:p>
            <w:pPr>
              <w:ind w:left="20"/>
              <w:spacing w:after="0"/>
              <w:rPr>
                <w:sz w:val="20"/>
                <w:szCs w:val="20"/>
                <w:color w:val="auto"/>
              </w:rPr>
            </w:pPr>
            <w:r>
              <w:rPr>
                <w:rFonts w:ascii="Arial" w:cs="Arial" w:eastAsia="Arial" w:hAnsi="Arial"/>
                <w:sz w:val="14"/>
                <w:szCs w:val="14"/>
                <w:b w:val="1"/>
                <w:bCs w:val="1"/>
                <w:color w:val="auto"/>
              </w:rPr>
              <w:t>Recurring fair value measurements</w:t>
            </w: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89"/>
              <w:spacing w:after="0"/>
              <w:rPr>
                <w:sz w:val="20"/>
                <w:szCs w:val="20"/>
                <w:color w:val="auto"/>
              </w:rPr>
            </w:pPr>
            <w:r>
              <w:rPr>
                <w:rFonts w:ascii="Arial" w:cs="Arial" w:eastAsia="Arial" w:hAnsi="Arial"/>
                <w:sz w:val="14"/>
                <w:szCs w:val="14"/>
                <w:b w:val="1"/>
                <w:bCs w:val="1"/>
                <w:color w:val="auto"/>
                <w:w w:val="90"/>
              </w:rPr>
              <w:t>December 31, 2021</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92"/>
              </w:rPr>
              <w:t>Level 3</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NAV</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 assets</w:t>
            </w:r>
          </w:p>
        </w:tc>
        <w:tc>
          <w:tcPr>
            <w:tcW w:w="920" w:type="dxa"/>
            <w:vAlign w:val="bottom"/>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820"/>
              <w:spacing w:after="0"/>
              <w:rPr>
                <w:sz w:val="20"/>
                <w:szCs w:val="20"/>
                <w:color w:val="auto"/>
              </w:rPr>
            </w:pPr>
            <w:r>
              <w:rPr>
                <w:rFonts w:ascii="Arial" w:cs="Arial" w:eastAsia="Arial" w:hAnsi="Arial"/>
                <w:sz w:val="14"/>
                <w:szCs w:val="14"/>
                <w:color w:val="auto"/>
              </w:rPr>
              <w:t>— $</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136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4920" w:type="dxa"/>
            <w:vAlign w:val="bottom"/>
          </w:tcPr>
          <w:p>
            <w:pPr>
              <w:ind w:left="20"/>
              <w:spacing w:after="0"/>
              <w:rPr>
                <w:sz w:val="20"/>
                <w:szCs w:val="20"/>
                <w:color w:val="auto"/>
              </w:rPr>
            </w:pPr>
            <w:r>
              <w:rPr>
                <w:rFonts w:ascii="Arial" w:cs="Arial" w:eastAsia="Arial" w:hAnsi="Arial"/>
                <w:sz w:val="14"/>
                <w:szCs w:val="14"/>
                <w:color w:val="auto"/>
              </w:rPr>
              <w:t>Foreign currency contract liabilities</w:t>
            </w:r>
          </w:p>
        </w:tc>
        <w:tc>
          <w:tcPr>
            <w:tcW w:w="92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(9.5)</w:t>
            </w:r>
          </w:p>
        </w:tc>
        <w:tc>
          <w:tcPr>
            <w:tcW w:w="940" w:type="dxa"/>
            <w:vAlign w:val="bottom"/>
          </w:tcPr>
          <w:p>
            <w:pPr>
              <w:spacing w:after="0"/>
              <w:rPr>
                <w:sz w:val="15"/>
                <w:szCs w:val="15"/>
                <w:color w:val="auto"/>
              </w:rPr>
            </w:pPr>
          </w:p>
        </w:tc>
        <w:tc>
          <w:tcPr>
            <w:tcW w:w="480" w:type="dxa"/>
            <w:vAlign w:val="bottom"/>
          </w:tcPr>
          <w:p>
            <w:pPr>
              <w:ind w:left="1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Deferred compensation plan assets</w:t>
            </w:r>
          </w:p>
        </w:tc>
        <w:tc>
          <w:tcPr>
            <w:tcW w:w="92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7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recurring fair value measurements</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78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94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 $</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10.  Income Taxes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0"/>
        </w:trPr>
        <w:tc>
          <w:tcPr>
            <w:tcW w:w="4940" w:type="dxa"/>
            <w:vAlign w:val="bottom"/>
            <w:gridSpan w:val="2"/>
          </w:tcPr>
          <w:p>
            <w:pPr>
              <w:spacing w:after="0"/>
              <w:rPr>
                <w:sz w:val="20"/>
                <w:szCs w:val="20"/>
                <w:color w:val="auto"/>
              </w:rPr>
            </w:pPr>
            <w:r>
              <w:rPr>
                <w:rFonts w:ascii="Arial" w:cs="Arial" w:eastAsia="Arial" w:hAnsi="Arial"/>
                <w:sz w:val="14"/>
                <w:szCs w:val="14"/>
                <w:color w:val="auto"/>
                <w:w w:val="96"/>
              </w:rPr>
              <w:t>Income from continuing operations before income taxes consisted of the following:</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6"/>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center"/>
              <w:ind w:left="749"/>
              <w:spacing w:after="0"/>
              <w:rPr>
                <w:sz w:val="20"/>
                <w:szCs w:val="20"/>
                <w:color w:val="auto"/>
              </w:rPr>
            </w:pPr>
            <w:r>
              <w:rPr>
                <w:rFonts w:ascii="Arial" w:cs="Arial" w:eastAsia="Arial" w:hAnsi="Arial"/>
                <w:sz w:val="14"/>
                <w:szCs w:val="14"/>
                <w:b w:val="1"/>
                <w:bCs w:val="1"/>
                <w:color w:val="auto"/>
                <w:w w:val="89"/>
              </w:rPr>
              <w:t>Years ended December 31</w:t>
            </w: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r>
      <w:tr>
        <w:trPr>
          <w:trHeight w:val="171"/>
        </w:trPr>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r>
      <w:tr>
        <w:trPr>
          <w:trHeight w:val="171"/>
        </w:trPr>
        <w:tc>
          <w:tcPr>
            <w:tcW w:w="4940" w:type="dxa"/>
            <w:vAlign w:val="bottom"/>
            <w:gridSpan w:val="2"/>
            <w:shd w:val="clear" w:color="auto" w:fill="CCEEFF"/>
          </w:tcPr>
          <w:p>
            <w:pPr>
              <w:ind w:left="20"/>
              <w:spacing w:after="0" w:line="171" w:lineRule="exact"/>
              <w:rPr>
                <w:sz w:val="20"/>
                <w:szCs w:val="20"/>
                <w:color w:val="auto"/>
              </w:rPr>
            </w:pPr>
            <w:r>
              <w:rPr>
                <w:rFonts w:ascii="Arial" w:cs="Arial" w:eastAsia="Arial" w:hAnsi="Arial"/>
                <w:sz w:val="14"/>
                <w:szCs w:val="14"/>
                <w:color w:val="auto"/>
              </w:rPr>
              <w:t xml:space="preserve">Federal </w:t>
            </w:r>
            <w:r>
              <w:rPr>
                <w:rFonts w:ascii="Arial" w:cs="Arial" w:eastAsia="Arial" w:hAnsi="Arial"/>
                <w:sz w:val="18"/>
                <w:szCs w:val="18"/>
                <w:color w:val="auto"/>
                <w:vertAlign w:val="superscript"/>
              </w:rPr>
              <w:t>(1)</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940" w:type="dxa"/>
            <w:vAlign w:val="bottom"/>
            <w:shd w:val="clear" w:color="auto" w:fill="CCEEFF"/>
          </w:tcPr>
          <w:p>
            <w:pPr>
              <w:ind w:left="580"/>
              <w:spacing w:after="0"/>
              <w:rPr>
                <w:sz w:val="20"/>
                <w:szCs w:val="20"/>
                <w:color w:val="auto"/>
              </w:rPr>
            </w:pPr>
            <w:r>
              <w:rPr>
                <w:rFonts w:ascii="Arial" w:cs="Arial" w:eastAsia="Arial" w:hAnsi="Arial"/>
                <w:sz w:val="14"/>
                <w:szCs w:val="14"/>
                <w:color w:val="auto"/>
                <w:w w:val="92"/>
              </w:rPr>
              <w:t>(10.1)</w:t>
            </w:r>
          </w:p>
        </w:tc>
        <w:tc>
          <w:tcPr>
            <w:tcW w:w="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600"/>
              <w:spacing w:after="0"/>
              <w:rPr>
                <w:sz w:val="20"/>
                <w:szCs w:val="20"/>
                <w:color w:val="auto"/>
              </w:rPr>
            </w:pPr>
            <w:r>
              <w:rPr>
                <w:rFonts w:ascii="Arial" w:cs="Arial" w:eastAsia="Arial" w:hAnsi="Arial"/>
                <w:sz w:val="14"/>
                <w:szCs w:val="14"/>
                <w:color w:val="auto"/>
                <w:w w:val="87"/>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20" w:type="dxa"/>
            <w:vAlign w:val="bottom"/>
            <w:shd w:val="clear" w:color="auto" w:fill="CCEEFF"/>
          </w:tcPr>
          <w:p>
            <w:pPr>
              <w:spacing w:after="0"/>
              <w:rPr>
                <w:sz w:val="14"/>
                <w:szCs w:val="14"/>
                <w:color w:val="auto"/>
              </w:rPr>
            </w:pPr>
          </w:p>
        </w:tc>
      </w:tr>
      <w:tr>
        <w:trPr>
          <w:trHeight w:val="180"/>
        </w:trPr>
        <w:tc>
          <w:tcPr>
            <w:tcW w:w="4940" w:type="dxa"/>
            <w:vAlign w:val="bottom"/>
            <w:tcBorders>
              <w:bottom w:val="single" w:sz="8" w:color="auto"/>
            </w:tcBorders>
            <w:gridSpan w:val="2"/>
          </w:tcPr>
          <w:p>
            <w:pPr>
              <w:ind w:left="20"/>
              <w:spacing w:after="0" w:line="181"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18"/>
                <w:szCs w:val="18"/>
                <w:color w:val="auto"/>
                <w:vertAlign w:val="superscript"/>
              </w:rPr>
              <w:t>(2)</w:t>
            </w:r>
          </w:p>
        </w:tc>
        <w:tc>
          <w:tcPr>
            <w:tcW w:w="9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560.7</w:t>
            </w: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6"/>
              </w:rPr>
              <w:t>638.0</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424.9</w:t>
            </w:r>
          </w:p>
        </w:tc>
        <w:tc>
          <w:tcPr>
            <w:tcW w:w="20" w:type="dxa"/>
            <w:vAlign w:val="bottom"/>
            <w:tcBorders>
              <w:bottom w:val="single" w:sz="8" w:color="auto"/>
            </w:tcBorders>
          </w:tcPr>
          <w:p>
            <w:pPr>
              <w:spacing w:after="0"/>
              <w:rPr>
                <w:sz w:val="15"/>
                <w:szCs w:val="15"/>
                <w:color w:val="auto"/>
              </w:rPr>
            </w:pPr>
          </w:p>
        </w:tc>
      </w:tr>
      <w:tr>
        <w:trPr>
          <w:trHeight w:val="196"/>
        </w:trPr>
        <w:tc>
          <w:tcPr>
            <w:tcW w:w="4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92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4"/>
                <w:szCs w:val="14"/>
                <w:color w:val="auto"/>
              </w:rPr>
              <w:t>550.6</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w w:val="96"/>
              </w:rPr>
              <w:t>626.8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432.1</w:t>
            </w:r>
          </w:p>
        </w:tc>
        <w:tc>
          <w:tcPr>
            <w:tcW w:w="20" w:type="dxa"/>
            <w:vAlign w:val="bottom"/>
            <w:tcBorders>
              <w:bottom w:val="single" w:sz="8" w:color="auto"/>
            </w:tcBorders>
            <w:shd w:val="clear" w:color="auto" w:fill="CCEEFF"/>
          </w:tcPr>
          <w:p>
            <w:pPr>
              <w:spacing w:after="0"/>
              <w:rPr>
                <w:sz w:val="16"/>
                <w:szCs w:val="16"/>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49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ind w:left="160" w:hanging="155"/>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3"/>
          <w:szCs w:val="13"/>
          <w:color w:val="auto"/>
        </w:rPr>
        <w:t>“Federal” reflects United Kingdom (“U.K.”) income (loss) from continuing operations before income taxes.</w:t>
      </w:r>
    </w:p>
    <w:p>
      <w:pPr>
        <w:spacing w:after="0" w:line="7" w:lineRule="exact"/>
        <w:rPr>
          <w:rFonts w:ascii="Arial" w:cs="Arial" w:eastAsia="Arial" w:hAnsi="Arial"/>
          <w:sz w:val="18"/>
          <w:szCs w:val="18"/>
          <w:color w:val="auto"/>
          <w:vertAlign w:val="superscript"/>
        </w:rPr>
      </w:pPr>
    </w:p>
    <w:p>
      <w:pPr>
        <w:ind w:left="160" w:hanging="155"/>
        <w:spacing w:after="0" w:line="185" w:lineRule="auto"/>
        <w:tabs>
          <w:tab w:leader="none" w:pos="160" w:val="left"/>
        </w:tabs>
        <w:numPr>
          <w:ilvl w:val="0"/>
          <w:numId w:val="46"/>
        </w:numPr>
        <w:rPr>
          <w:rFonts w:ascii="Arial" w:cs="Arial" w:eastAsia="Arial" w:hAnsi="Arial"/>
          <w:sz w:val="17"/>
          <w:szCs w:val="17"/>
          <w:color w:val="auto"/>
          <w:vertAlign w:val="superscript"/>
        </w:rPr>
      </w:pPr>
      <w:r>
        <w:rPr>
          <w:rFonts w:ascii="Arial" w:cs="Arial" w:eastAsia="Arial" w:hAnsi="Arial"/>
          <w:sz w:val="13"/>
          <w:szCs w:val="13"/>
          <w:color w:val="auto"/>
        </w:rPr>
        <w:t>“International” reflects non-U.K. income from continuing operations before income taxes.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80" w:type="dxa"/>
            <w:vAlign w:val="bottom"/>
          </w:tcPr>
          <w:p>
            <w:pPr>
              <w:spacing w:after="0"/>
              <w:rPr>
                <w:sz w:val="20"/>
                <w:szCs w:val="20"/>
                <w:color w:val="auto"/>
              </w:rPr>
            </w:pPr>
            <w:r>
              <w:rPr>
                <w:rFonts w:ascii="Arial" w:cs="Arial" w:eastAsia="Arial" w:hAnsi="Arial"/>
                <w:sz w:val="14"/>
                <w:szCs w:val="14"/>
                <w:color w:val="auto"/>
              </w:rPr>
              <w:t>The provision for income taxes consisted of the following:</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6"/>
        </w:trPr>
        <w:tc>
          <w:tcPr>
            <w:tcW w:w="69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23"/>
                <w:szCs w:val="23"/>
                <w:color w:val="auto"/>
              </w:rPr>
            </w:pP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Currently payable (receivable)</w:t>
            </w: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0"/>
        </w:trPr>
        <w:tc>
          <w:tcPr>
            <w:tcW w:w="698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Federal </w:t>
            </w:r>
            <w:r>
              <w:rPr>
                <w:rFonts w:ascii="Arial" w:cs="Arial" w:eastAsia="Arial" w:hAnsi="Arial"/>
                <w:sz w:val="18"/>
                <w:szCs w:val="18"/>
                <w:color w:val="auto"/>
                <w:vertAlign w:val="superscript"/>
              </w:rPr>
              <w:t>(1)</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9"/>
              <w:spacing w:after="0"/>
              <w:rPr>
                <w:sz w:val="20"/>
                <w:szCs w:val="20"/>
                <w:color w:val="auto"/>
              </w:rPr>
            </w:pPr>
            <w:r>
              <w:rPr>
                <w:rFonts w:ascii="Arial" w:cs="Arial" w:eastAsia="Arial" w:hAnsi="Arial"/>
                <w:sz w:val="14"/>
                <w:szCs w:val="14"/>
                <w:color w:val="auto"/>
              </w:rPr>
              <w:t>— $</w:t>
            </w:r>
          </w:p>
        </w:tc>
        <w:tc>
          <w:tcPr>
            <w:tcW w:w="1440" w:type="dxa"/>
            <w:vAlign w:val="bottom"/>
            <w:gridSpan w:val="2"/>
          </w:tcPr>
          <w:p>
            <w:pPr>
              <w:jc w:val="right"/>
              <w:ind w:right="169"/>
              <w:spacing w:after="0"/>
              <w:rPr>
                <w:sz w:val="20"/>
                <w:szCs w:val="20"/>
                <w:color w:val="auto"/>
              </w:rPr>
            </w:pPr>
            <w:r>
              <w:rPr>
                <w:rFonts w:ascii="Arial" w:cs="Arial" w:eastAsia="Arial" w:hAnsi="Arial"/>
                <w:sz w:val="14"/>
                <w:szCs w:val="14"/>
                <w:color w:val="auto"/>
              </w:rPr>
              <w:t>— $</w:t>
            </w:r>
          </w:p>
        </w:tc>
        <w:tc>
          <w:tcPr>
            <w:tcW w:w="110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0"/>
        </w:trPr>
        <w:tc>
          <w:tcPr>
            <w:tcW w:w="6980" w:type="dxa"/>
            <w:vAlign w:val="bottom"/>
            <w:tcBorders>
              <w:bottom w:val="single" w:sz="8" w:color="auto"/>
            </w:tcBorders>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18"/>
                <w:szCs w:val="18"/>
                <w:color w:val="auto"/>
                <w:vertAlign w:val="superscript"/>
              </w:rPr>
              <w:t>(2)</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4"/>
                <w:szCs w:val="14"/>
                <w:color w:val="auto"/>
              </w:rPr>
              <w:t>112.2</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79.8</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r>
      <w:tr>
        <w:trPr>
          <w:trHeight w:val="171"/>
        </w:trPr>
        <w:tc>
          <w:tcPr>
            <w:tcW w:w="6980" w:type="dxa"/>
            <w:vAlign w:val="bottom"/>
          </w:tcPr>
          <w:p>
            <w:pPr>
              <w:ind w:left="20"/>
              <w:spacing w:after="0"/>
              <w:rPr>
                <w:sz w:val="20"/>
                <w:szCs w:val="20"/>
                <w:color w:val="auto"/>
              </w:rPr>
            </w:pPr>
            <w:r>
              <w:rPr>
                <w:rFonts w:ascii="Arial" w:cs="Arial" w:eastAsia="Arial" w:hAnsi="Arial"/>
                <w:sz w:val="14"/>
                <w:szCs w:val="14"/>
                <w:color w:val="auto"/>
              </w:rPr>
              <w:t>Total current taxes</w:t>
            </w:r>
          </w:p>
        </w:tc>
        <w:tc>
          <w:tcPr>
            <w:tcW w:w="340" w:type="dxa"/>
            <w:vAlign w:val="bottom"/>
          </w:tcPr>
          <w:p>
            <w:pPr>
              <w:spacing w:after="0"/>
              <w:rPr>
                <w:sz w:val="14"/>
                <w:szCs w:val="14"/>
                <w:color w:val="auto"/>
              </w:rPr>
            </w:pPr>
          </w:p>
        </w:tc>
        <w:tc>
          <w:tcPr>
            <w:tcW w:w="1100" w:type="dxa"/>
            <w:vAlign w:val="bottom"/>
          </w:tcPr>
          <w:p>
            <w:pPr>
              <w:ind w:left="720"/>
              <w:spacing w:after="0"/>
              <w:rPr>
                <w:sz w:val="20"/>
                <w:szCs w:val="20"/>
                <w:color w:val="auto"/>
              </w:rPr>
            </w:pPr>
            <w:r>
              <w:rPr>
                <w:rFonts w:ascii="Arial" w:cs="Arial" w:eastAsia="Arial" w:hAnsi="Arial"/>
                <w:sz w:val="14"/>
                <w:szCs w:val="14"/>
                <w:color w:val="auto"/>
              </w:rPr>
              <w:t>112.2</w:t>
            </w:r>
          </w:p>
        </w:tc>
        <w:tc>
          <w:tcPr>
            <w:tcW w:w="320" w:type="dxa"/>
            <w:vAlign w:val="bottom"/>
          </w:tcPr>
          <w:p>
            <w:pPr>
              <w:spacing w:after="0"/>
              <w:rPr>
                <w:sz w:val="14"/>
                <w:szCs w:val="14"/>
                <w:color w:val="auto"/>
              </w:rPr>
            </w:pPr>
          </w:p>
        </w:tc>
        <w:tc>
          <w:tcPr>
            <w:tcW w:w="1100" w:type="dxa"/>
            <w:vAlign w:val="bottom"/>
          </w:tcPr>
          <w:p>
            <w:pPr>
              <w:ind w:left="800"/>
              <w:spacing w:after="0"/>
              <w:rPr>
                <w:sz w:val="20"/>
                <w:szCs w:val="20"/>
                <w:color w:val="auto"/>
              </w:rPr>
            </w:pPr>
            <w:r>
              <w:rPr>
                <w:rFonts w:ascii="Arial" w:cs="Arial" w:eastAsia="Arial" w:hAnsi="Arial"/>
                <w:sz w:val="14"/>
                <w:szCs w:val="14"/>
                <w:color w:val="auto"/>
              </w:rPr>
              <w:t>79.8</w:t>
            </w: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70.4</w:t>
            </w: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6980" w:type="dxa"/>
            <w:vAlign w:val="bottom"/>
            <w:tcBorders>
              <w:bottom w:val="single" w:sz="8" w:color="auto"/>
            </w:tcBorders>
          </w:tcPr>
          <w:p>
            <w:pPr>
              <w:ind w:left="20"/>
              <w:spacing w:after="0" w:line="181" w:lineRule="exact"/>
              <w:rPr>
                <w:sz w:val="20"/>
                <w:szCs w:val="20"/>
                <w:color w:val="auto"/>
              </w:rPr>
            </w:pPr>
            <w:r>
              <w:rPr>
                <w:rFonts w:ascii="Arial" w:cs="Arial" w:eastAsia="Arial" w:hAnsi="Arial"/>
                <w:sz w:val="14"/>
                <w:szCs w:val="14"/>
                <w:color w:val="auto"/>
              </w:rPr>
              <w:t xml:space="preserve">International </w:t>
            </w:r>
            <w:r>
              <w:rPr>
                <w:rFonts w:ascii="Arial" w:cs="Arial" w:eastAsia="Arial" w:hAnsi="Arial"/>
                <w:sz w:val="18"/>
                <w:szCs w:val="18"/>
                <w:color w:val="auto"/>
                <w:vertAlign w:val="superscript"/>
              </w:rPr>
              <w:t>(2)</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w w:val="92"/>
              </w:rPr>
              <w:t>(44.8)</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w w:val="90"/>
              </w:rPr>
              <w:t>(9.0)</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r>
      <w:tr>
        <w:trPr>
          <w:trHeight w:val="171"/>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deferred taxes</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2"/>
              </w:rPr>
              <w:t>(44.8)</w:t>
            </w: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w w:val="90"/>
              </w:rPr>
              <w:t>(9.0)</w:t>
            </w: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provision for income taxes</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67.4</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70.8</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“Federal” represents U.K. taxes.</w:t>
      </w:r>
    </w:p>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3"/>
          <w:szCs w:val="13"/>
          <w:color w:val="auto"/>
        </w:rPr>
        <w:t xml:space="preserve"> “International” represents non-U.K. taxes.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40" w:type="dxa"/>
            <w:vAlign w:val="bottom"/>
          </w:tcPr>
          <w:p>
            <w:pPr>
              <w:spacing w:after="0"/>
              <w:rPr>
                <w:sz w:val="20"/>
                <w:szCs w:val="20"/>
                <w:color w:val="auto"/>
              </w:rPr>
            </w:pPr>
            <w:r>
              <w:rPr>
                <w:rFonts w:ascii="Arial" w:cs="Arial" w:eastAsia="Arial" w:hAnsi="Arial"/>
                <w:sz w:val="14"/>
                <w:szCs w:val="14"/>
                <w:color w:val="auto"/>
              </w:rPr>
              <w:t>Reconciliations of the federal statutory income tax rate to our effective tax rate were as follows:</w:t>
            </w:r>
          </w:p>
        </w:tc>
        <w:tc>
          <w:tcPr>
            <w:tcW w:w="18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76"/>
        </w:trPr>
        <w:tc>
          <w:tcPr>
            <w:tcW w:w="6740" w:type="dxa"/>
            <w:vAlign w:val="bottom"/>
          </w:tcPr>
          <w:p>
            <w:pPr>
              <w:spacing w:after="0"/>
              <w:rPr>
                <w:sz w:val="23"/>
                <w:szCs w:val="23"/>
                <w:color w:val="auto"/>
              </w:rPr>
            </w:pPr>
          </w:p>
        </w:tc>
        <w:tc>
          <w:tcPr>
            <w:tcW w:w="3340" w:type="dxa"/>
            <w:vAlign w:val="bottom"/>
            <w:tcBorders>
              <w:bottom w:val="single" w:sz="8" w:color="auto"/>
            </w:tcBorders>
            <w:gridSpan w:val="2"/>
          </w:tcPr>
          <w:p>
            <w:pPr>
              <w:ind w:left="1480"/>
              <w:spacing w:after="0"/>
              <w:rPr>
                <w:sz w:val="20"/>
                <w:szCs w:val="20"/>
                <w:color w:val="auto"/>
              </w:rPr>
            </w:pPr>
            <w:r>
              <w:rPr>
                <w:rFonts w:ascii="Arial" w:cs="Arial" w:eastAsia="Arial" w:hAnsi="Arial"/>
                <w:sz w:val="14"/>
                <w:szCs w:val="14"/>
                <w:b w:val="1"/>
                <w:bCs w:val="1"/>
                <w:color w:val="auto"/>
              </w:rPr>
              <w:t>Years ended December 31</w:t>
            </w:r>
          </w:p>
        </w:tc>
        <w:tc>
          <w:tcPr>
            <w:tcW w:w="1200" w:type="dxa"/>
            <w:vAlign w:val="bottom"/>
            <w:tcBorders>
              <w:bottom w:val="single" w:sz="8" w:color="auto"/>
            </w:tcBorders>
          </w:tcPr>
          <w:p>
            <w:pPr>
              <w:spacing w:after="0"/>
              <w:rPr>
                <w:sz w:val="23"/>
                <w:szCs w:val="23"/>
                <w:color w:val="auto"/>
              </w:rPr>
            </w:pPr>
          </w:p>
        </w:tc>
      </w:tr>
      <w:tr>
        <w:trPr>
          <w:trHeight w:val="171"/>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82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171"/>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U.K. federal statutory income tax rate</w:t>
            </w:r>
          </w:p>
        </w:tc>
        <w:tc>
          <w:tcPr>
            <w:tcW w:w="18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19.0 %</w:t>
            </w:r>
          </w:p>
        </w:tc>
        <w:tc>
          <w:tcPr>
            <w:tcW w:w="15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19.0 %</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19.0 %</w:t>
            </w:r>
          </w:p>
        </w:tc>
      </w:tr>
      <w:tr>
        <w:trPr>
          <w:trHeight w:val="180"/>
        </w:trPr>
        <w:tc>
          <w:tcPr>
            <w:tcW w:w="67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Tax effect of international operations </w:t>
            </w:r>
            <w:r>
              <w:rPr>
                <w:rFonts w:ascii="Arial" w:cs="Arial" w:eastAsia="Arial" w:hAnsi="Arial"/>
                <w:sz w:val="18"/>
                <w:szCs w:val="18"/>
                <w:color w:val="auto"/>
                <w:vertAlign w:val="superscript"/>
              </w:rPr>
              <w:t>(1)</w:t>
            </w:r>
          </w:p>
        </w:tc>
        <w:tc>
          <w:tcPr>
            <w:tcW w:w="1820" w:type="dxa"/>
            <w:vAlign w:val="bottom"/>
          </w:tcPr>
          <w:p>
            <w:pPr>
              <w:jc w:val="right"/>
              <w:ind w:right="369"/>
              <w:spacing w:after="0"/>
              <w:rPr>
                <w:sz w:val="20"/>
                <w:szCs w:val="20"/>
                <w:color w:val="auto"/>
              </w:rPr>
            </w:pPr>
            <w:r>
              <w:rPr>
                <w:rFonts w:ascii="Arial" w:cs="Arial" w:eastAsia="Arial" w:hAnsi="Arial"/>
                <w:sz w:val="14"/>
                <w:szCs w:val="14"/>
                <w:color w:val="auto"/>
              </w:rPr>
              <w:t>(7.6)</w:t>
            </w:r>
          </w:p>
        </w:tc>
        <w:tc>
          <w:tcPr>
            <w:tcW w:w="1520" w:type="dxa"/>
            <w:vAlign w:val="bottom"/>
          </w:tcPr>
          <w:p>
            <w:pPr>
              <w:ind w:left="800"/>
              <w:spacing w:after="0"/>
              <w:rPr>
                <w:sz w:val="20"/>
                <w:szCs w:val="20"/>
                <w:color w:val="auto"/>
              </w:rPr>
            </w:pPr>
            <w:r>
              <w:rPr>
                <w:rFonts w:ascii="Arial" w:cs="Arial" w:eastAsia="Arial" w:hAnsi="Arial"/>
                <w:sz w:val="14"/>
                <w:szCs w:val="14"/>
                <w:color w:val="auto"/>
              </w:rPr>
              <w:t>(5.1)</w:t>
            </w: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(3.9)</w:t>
            </w:r>
          </w:p>
        </w:tc>
      </w:tr>
      <w:tr>
        <w:trPr>
          <w:trHeight w:val="180"/>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allowances</w:t>
            </w:r>
          </w:p>
        </w:tc>
        <w:tc>
          <w:tcPr>
            <w:tcW w:w="18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1.0</w:t>
            </w:r>
          </w:p>
        </w:tc>
        <w:tc>
          <w:tcPr>
            <w:tcW w:w="1520" w:type="dxa"/>
            <w:vAlign w:val="bottom"/>
            <w:shd w:val="clear" w:color="auto" w:fill="CCEEFF"/>
          </w:tcPr>
          <w:p>
            <w:pPr>
              <w:ind w:left="800"/>
              <w:spacing w:after="0"/>
              <w:rPr>
                <w:sz w:val="20"/>
                <w:szCs w:val="20"/>
                <w:color w:val="auto"/>
              </w:rPr>
            </w:pPr>
            <w:r>
              <w:rPr>
                <w:rFonts w:ascii="Arial" w:cs="Arial" w:eastAsia="Arial" w:hAnsi="Arial"/>
                <w:sz w:val="14"/>
                <w:szCs w:val="14"/>
                <w:color w:val="auto"/>
              </w:rPr>
              <w:t>(0.2)</w:t>
            </w: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w:t>
            </w:r>
          </w:p>
        </w:tc>
      </w:tr>
      <w:tr>
        <w:trPr>
          <w:trHeight w:val="180"/>
        </w:trPr>
        <w:tc>
          <w:tcPr>
            <w:tcW w:w="6740" w:type="dxa"/>
            <w:vAlign w:val="bottom"/>
          </w:tcPr>
          <w:p>
            <w:pPr>
              <w:ind w:left="20"/>
              <w:spacing w:after="0"/>
              <w:rPr>
                <w:sz w:val="20"/>
                <w:szCs w:val="20"/>
                <w:color w:val="auto"/>
              </w:rPr>
            </w:pPr>
            <w:r>
              <w:rPr>
                <w:rFonts w:ascii="Arial" w:cs="Arial" w:eastAsia="Arial" w:hAnsi="Arial"/>
                <w:sz w:val="14"/>
                <w:szCs w:val="14"/>
                <w:color w:val="auto"/>
              </w:rPr>
              <w:t>Excess tax benefits on stock-based compensation</w:t>
            </w:r>
          </w:p>
        </w:tc>
        <w:tc>
          <w:tcPr>
            <w:tcW w:w="1820" w:type="dxa"/>
            <w:vAlign w:val="bottom"/>
          </w:tcPr>
          <w:p>
            <w:pPr>
              <w:jc w:val="right"/>
              <w:ind w:right="369"/>
              <w:spacing w:after="0"/>
              <w:rPr>
                <w:sz w:val="20"/>
                <w:szCs w:val="20"/>
                <w:color w:val="auto"/>
              </w:rPr>
            </w:pPr>
            <w:r>
              <w:rPr>
                <w:rFonts w:ascii="Arial" w:cs="Arial" w:eastAsia="Arial" w:hAnsi="Arial"/>
                <w:sz w:val="14"/>
                <w:szCs w:val="14"/>
                <w:color w:val="auto"/>
              </w:rPr>
              <w:t>(0.2)</w:t>
            </w:r>
          </w:p>
        </w:tc>
        <w:tc>
          <w:tcPr>
            <w:tcW w:w="1520" w:type="dxa"/>
            <w:vAlign w:val="bottom"/>
          </w:tcPr>
          <w:p>
            <w:pPr>
              <w:ind w:left="800"/>
              <w:spacing w:after="0"/>
              <w:rPr>
                <w:sz w:val="20"/>
                <w:szCs w:val="20"/>
                <w:color w:val="auto"/>
              </w:rPr>
            </w:pPr>
            <w:r>
              <w:rPr>
                <w:rFonts w:ascii="Arial" w:cs="Arial" w:eastAsia="Arial" w:hAnsi="Arial"/>
                <w:sz w:val="14"/>
                <w:szCs w:val="14"/>
                <w:color w:val="auto"/>
              </w:rPr>
              <w:t>(1.1)</w:t>
            </w: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(0.7)</w:t>
            </w:r>
          </w:p>
        </w:tc>
      </w:tr>
      <w:tr>
        <w:trPr>
          <w:trHeight w:val="181"/>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Base erosion and anti-abuse tax</w:t>
            </w:r>
          </w:p>
        </w:tc>
        <w:tc>
          <w:tcPr>
            <w:tcW w:w="182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1.7</w:t>
            </w:r>
          </w:p>
        </w:tc>
      </w:tr>
      <w:tr>
        <w:trPr>
          <w:trHeight w:val="18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Unrecognized tax benefits</w:t>
            </w:r>
          </w:p>
        </w:tc>
        <w:tc>
          <w:tcPr>
            <w:tcW w:w="182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ind w:left="800"/>
              <w:spacing w:after="0"/>
              <w:rPr>
                <w:sz w:val="20"/>
                <w:szCs w:val="20"/>
                <w:color w:val="auto"/>
              </w:rPr>
            </w:pPr>
            <w:r>
              <w:rPr>
                <w:rFonts w:ascii="Arial" w:cs="Arial" w:eastAsia="Arial" w:hAnsi="Arial"/>
                <w:sz w:val="14"/>
                <w:szCs w:val="14"/>
                <w:color w:val="auto"/>
              </w:rPr>
              <w:t>(1.3)</w:t>
            </w:r>
          </w:p>
        </w:tc>
        <w:tc>
          <w:tcPr>
            <w:tcW w:w="12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r>
      <w:tr>
        <w:trPr>
          <w:trHeight w:val="196"/>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Effective tax rate</w:t>
            </w:r>
          </w:p>
        </w:tc>
        <w:tc>
          <w:tcPr>
            <w:tcW w:w="18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12.2 %</w:t>
            </w:r>
          </w:p>
        </w:tc>
        <w:tc>
          <w:tcPr>
            <w:tcW w:w="15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4"/>
                <w:szCs w:val="14"/>
                <w:color w:val="auto"/>
              </w:rPr>
              <w:t>11.3 %</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17.4 %</w:t>
            </w:r>
          </w:p>
        </w:tc>
      </w:tr>
      <w:tr>
        <w:trPr>
          <w:trHeight w:val="20"/>
        </w:trPr>
        <w:tc>
          <w:tcPr>
            <w:tcW w:w="67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02"/>
        </w:trPr>
        <w:tc>
          <w:tcPr>
            <w:tcW w:w="6740" w:type="dxa"/>
            <w:vAlign w:val="bottom"/>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The tax effect of international operations consists of non-U.K. jurisdictions.</w:t>
            </w:r>
          </w:p>
        </w:tc>
        <w:tc>
          <w:tcPr>
            <w:tcW w:w="18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3"/>
        </w:trPr>
        <w:tc>
          <w:tcPr>
            <w:tcW w:w="6740" w:type="dxa"/>
            <w:vAlign w:val="bottom"/>
          </w:tcPr>
          <w:p>
            <w:pPr>
              <w:spacing w:after="0"/>
              <w:rPr>
                <w:sz w:val="20"/>
                <w:szCs w:val="20"/>
                <w:color w:val="auto"/>
              </w:rPr>
            </w:pPr>
            <w:r>
              <w:rPr>
                <w:rFonts w:ascii="Arial" w:cs="Arial" w:eastAsia="Arial" w:hAnsi="Arial"/>
                <w:sz w:val="14"/>
                <w:szCs w:val="14"/>
                <w:color w:val="auto"/>
              </w:rPr>
              <w:t>Reconciliations of the beginning and ending gross unrecognized tax benefits were as follows:</w:t>
            </w:r>
          </w:p>
        </w:tc>
        <w:tc>
          <w:tcPr>
            <w:tcW w:w="18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47.4</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Gross increases for tax positions in prior periods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2.5</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0.6</w:t>
            </w: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decreases for tax positions in prior periods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Gross increases based on tax positions related to the current year</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decreases related to settlements with taxing authorities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Reductions due to statute expiration</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196"/>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r>
      <w:tr>
        <w:trPr>
          <w:trHeight w:val="20"/>
        </w:trPr>
        <w:tc>
          <w:tcPr>
            <w:tcW w:w="6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 xml:space="preserve">We record gross unrecognized tax benefits in </w:t>
      </w:r>
      <w:r>
        <w:rPr>
          <w:rFonts w:ascii="Arial" w:cs="Arial" w:eastAsia="Arial" w:hAnsi="Arial"/>
          <w:sz w:val="13"/>
          <w:szCs w:val="13"/>
          <w:i w:val="1"/>
          <w:iCs w:val="1"/>
          <w:color w:val="auto"/>
        </w:rPr>
        <w:t>Other current liabilities</w:t>
      </w:r>
      <w:r>
        <w:rPr>
          <w:rFonts w:ascii="Arial" w:cs="Arial" w:eastAsia="Arial" w:hAnsi="Arial"/>
          <w:sz w:val="13"/>
          <w:szCs w:val="13"/>
          <w:color w:val="auto"/>
        </w:rPr>
        <w:t xml:space="preserve"> and </w:t>
      </w:r>
      <w:r>
        <w:rPr>
          <w:rFonts w:ascii="Arial" w:cs="Arial" w:eastAsia="Arial" w:hAnsi="Arial"/>
          <w:sz w:val="13"/>
          <w:szCs w:val="13"/>
          <w:i w:val="1"/>
          <w:iCs w:val="1"/>
          <w:color w:val="auto"/>
        </w:rPr>
        <w:t>Other non-current liabilities</w:t>
      </w:r>
      <w:r>
        <w:rPr>
          <w:rFonts w:ascii="Arial" w:cs="Arial" w:eastAsia="Arial" w:hAnsi="Arial"/>
          <w:sz w:val="13"/>
          <w:szCs w:val="13"/>
          <w:color w:val="auto"/>
        </w:rPr>
        <w:t xml:space="preserve"> in the Consolidated Balance Sheets. Included in the $39.6 million of total gross unrecognized tax benefits as of December 31, 2022 was $38.1 million of tax benefits that, if recognized, would impact the effective tax rate. It is reasonably possible that the gross unrecognized tax benefits as of December 31, 2022 may decrease by a range of zero to $4.5 million during 2023, primarily as a result of the resolution of Germany and U.S. state examinations.</w:t>
      </w:r>
    </w:p>
    <w:p>
      <w:pPr>
        <w:spacing w:after="0" w:line="82"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Based on the outcome of these examinations, or as a result of the expiration of statutes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2009 to present are under audit by tax authorities in various jurisdictions, including Germany, India and various U.S states. We anticipate that several of these audits may be concluded in the foreseeable future.</w:t>
      </w:r>
    </w:p>
    <w:p>
      <w:pPr>
        <w:spacing w:after="0" w:line="8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We record penalties and interest related to unrecognized tax benefits in </w:t>
      </w:r>
      <w:r>
        <w:rPr>
          <w:rFonts w:ascii="Arial" w:cs="Arial" w:eastAsia="Arial" w:hAnsi="Arial"/>
          <w:sz w:val="14"/>
          <w:szCs w:val="14"/>
          <w:i w:val="1"/>
          <w:iCs w:val="1"/>
          <w:color w:val="auto"/>
        </w:rPr>
        <w:t>Provision for income taxes</w:t>
      </w:r>
      <w:r>
        <w:rPr>
          <w:rFonts w:ascii="Arial" w:cs="Arial" w:eastAsia="Arial" w:hAnsi="Arial"/>
          <w:sz w:val="14"/>
          <w:szCs w:val="14"/>
          <w:color w:val="auto"/>
        </w:rPr>
        <w:t xml:space="preserve"> and </w:t>
      </w:r>
      <w:r>
        <w:rPr>
          <w:rFonts w:ascii="Arial" w:cs="Arial" w:eastAsia="Arial" w:hAnsi="Arial"/>
          <w:sz w:val="14"/>
          <w:szCs w:val="14"/>
          <w:i w:val="1"/>
          <w:iCs w:val="1"/>
          <w:color w:val="auto"/>
        </w:rPr>
        <w:t>Net interest expense</w:t>
      </w:r>
      <w:r>
        <w:rPr>
          <w:rFonts w:ascii="Arial" w:cs="Arial" w:eastAsia="Arial" w:hAnsi="Arial"/>
          <w:sz w:val="14"/>
          <w:szCs w:val="14"/>
          <w:color w:val="auto"/>
        </w:rPr>
        <w:t xml:space="preserve">, respectively, in the Consolidated Statements of Operations and Comprehensive Income. At December 31, 2022 and 2021, we have liabilities of $0.6 million and $0.2 million, respectively, for the possible payment of penalties and $4.9 million and $3.9 million, respectively, for the possible payment of interest expense, which are recorded 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in the Consolidated Balance Sheets.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400" w:type="dxa"/>
            <w:vAlign w:val="bottom"/>
          </w:tcPr>
          <w:p>
            <w:pPr>
              <w:spacing w:after="0"/>
              <w:rPr>
                <w:sz w:val="20"/>
                <w:szCs w:val="20"/>
                <w:color w:val="auto"/>
              </w:rPr>
            </w:pPr>
            <w:r>
              <w:rPr>
                <w:rFonts w:ascii="Arial" w:cs="Arial" w:eastAsia="Arial" w:hAnsi="Arial"/>
                <w:sz w:val="14"/>
                <w:szCs w:val="14"/>
                <w:color w:val="auto"/>
              </w:rPr>
              <w:t>Deferred taxes were recorded in the Consolidated Balance Sheets as follows: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76"/>
        </w:trPr>
        <w:tc>
          <w:tcPr>
            <w:tcW w:w="84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3"/>
                <w:szCs w:val="23"/>
                <w:color w:val="auto"/>
              </w:rPr>
            </w:pPr>
          </w:p>
        </w:tc>
      </w:tr>
      <w:tr>
        <w:trPr>
          <w:trHeight w:val="171"/>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assets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52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r>
      <w:tr>
        <w:trPr>
          <w:trHeight w:val="18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Deferred tax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89.8</w:t>
            </w:r>
          </w:p>
        </w:tc>
      </w:tr>
      <w:tr>
        <w:trPr>
          <w:trHeight w:val="196"/>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deferred tax liabilities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52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w:t>
            </w:r>
          </w:p>
        </w:tc>
      </w:tr>
      <w:tr>
        <w:trPr>
          <w:trHeight w:val="20"/>
        </w:trPr>
        <w:tc>
          <w:tcPr>
            <w:tcW w:w="84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23"/>
        </w:trPr>
        <w:tc>
          <w:tcPr>
            <w:tcW w:w="8400" w:type="dxa"/>
            <w:vAlign w:val="bottom"/>
          </w:tcPr>
          <w:p>
            <w:pPr>
              <w:spacing w:after="0"/>
              <w:rPr>
                <w:sz w:val="20"/>
                <w:szCs w:val="20"/>
                <w:color w:val="auto"/>
              </w:rPr>
            </w:pPr>
            <w:r>
              <w:rPr>
                <w:rFonts w:ascii="Arial" w:cs="Arial" w:eastAsia="Arial" w:hAnsi="Arial"/>
                <w:sz w:val="14"/>
                <w:szCs w:val="14"/>
                <w:color w:val="auto"/>
              </w:rPr>
              <w:t>The tax effects of the major items recorded as deferred tax assets and liabilities were as follows: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76"/>
        </w:trPr>
        <w:tc>
          <w:tcPr>
            <w:tcW w:w="84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3"/>
                <w:szCs w:val="23"/>
                <w:color w:val="auto"/>
              </w:rPr>
            </w:pPr>
          </w:p>
        </w:tc>
      </w:tr>
      <w:tr>
        <w:trPr>
          <w:trHeight w:val="171"/>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Accrued liabilities and reserves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68.1</w:t>
            </w:r>
          </w:p>
        </w:tc>
        <w:tc>
          <w:tcPr>
            <w:tcW w:w="5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57.8</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Pension and other post-retirement compensation and benefits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Employee compensation and benefits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18.2</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costs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Tax loss and credit carryforwards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752.4</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729.7</w:t>
            </w:r>
          </w:p>
        </w:tc>
      </w:tr>
      <w:tr>
        <w:trPr>
          <w:trHeight w:val="180"/>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Interest limitations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104.9</w:t>
            </w:r>
          </w:p>
        </w:tc>
        <w:tc>
          <w:tcPr>
            <w:tcW w:w="5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67.5</w:t>
            </w: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color w:val="auto"/>
              </w:rPr>
              <w:t>Total deferred tax assets</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989.4</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897.8</w:t>
            </w:r>
          </w:p>
        </w:tc>
      </w:tr>
      <w:tr>
        <w:trPr>
          <w:trHeight w:val="180"/>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Valuation allowance</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756.9</w:t>
            </w:r>
          </w:p>
        </w:tc>
        <w:tc>
          <w:tcPr>
            <w:tcW w:w="5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727.2</w:t>
            </w:r>
          </w:p>
        </w:tc>
      </w:tr>
      <w:tr>
        <w:trPr>
          <w:trHeight w:val="171"/>
        </w:trPr>
        <w:tc>
          <w:tcPr>
            <w:tcW w:w="8400" w:type="dxa"/>
            <w:vAlign w:val="bottom"/>
          </w:tcPr>
          <w:p>
            <w:pPr>
              <w:ind w:left="20"/>
              <w:spacing w:after="0"/>
              <w:rPr>
                <w:sz w:val="20"/>
                <w:szCs w:val="20"/>
                <w:color w:val="auto"/>
              </w:rPr>
            </w:pPr>
            <w:r>
              <w:rPr>
                <w:rFonts w:ascii="Arial" w:cs="Arial" w:eastAsia="Arial" w:hAnsi="Arial"/>
                <w:sz w:val="14"/>
                <w:szCs w:val="14"/>
                <w:color w:val="auto"/>
              </w:rPr>
              <w:t>Deferred tax assets, net of valuation allowance</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232.5</w:t>
            </w:r>
          </w:p>
        </w:tc>
        <w:tc>
          <w:tcPr>
            <w:tcW w:w="5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170.6</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80"/>
        </w:trPr>
        <w:tc>
          <w:tcPr>
            <w:tcW w:w="840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18.1</w:t>
            </w: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181"/>
        </w:trPr>
        <w:tc>
          <w:tcPr>
            <w:tcW w:w="8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and other intangibles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r>
      <w:tr>
        <w:trPr>
          <w:trHeight w:val="180"/>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c>
          <w:tcPr>
            <w:tcW w:w="5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w:t>
            </w:r>
          </w:p>
        </w:tc>
      </w:tr>
      <w:tr>
        <w:trPr>
          <w:trHeight w:val="171"/>
        </w:trPr>
        <w:tc>
          <w:tcPr>
            <w:tcW w:w="8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deferred tax liabilities</w:t>
            </w: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249.8</w:t>
            </w:r>
          </w:p>
        </w:tc>
        <w:tc>
          <w:tcPr>
            <w:tcW w:w="5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237.3</w:t>
            </w:r>
          </w:p>
        </w:tc>
      </w:tr>
      <w:tr>
        <w:trPr>
          <w:trHeight w:val="171"/>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deferred tax liabilities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52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66.7</w:t>
            </w:r>
          </w:p>
        </w:tc>
      </w:tr>
      <w:tr>
        <w:trPr>
          <w:trHeight w:val="20"/>
        </w:trPr>
        <w:tc>
          <w:tcPr>
            <w:tcW w:w="8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Included in tax loss and credit carryforwards in the table above is a deferred tax asset of $29.6 million as of December 31, 2022 related to foreign tax credit carryover from the tax period ended December 31, 2017 and related to transition taxes. The entire amount is subject to a valuation allowance. The foreign tax credit is eligible for carryforward until the tax period ending December 31, 2027.</w:t>
      </w:r>
    </w:p>
    <w:p>
      <w:pPr>
        <w:spacing w:after="0" w:line="99"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As of December 31, 2022, tax loss carryforwards of $2,967.6 million were available to offset future income. A valuation allowance of $711.2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$2,894.2 million of which $1,838.5 million are located in jurisdictions with unlimited tax loss carryforward periods, while the remainder will begin to expire in 2023. In addition, there were $7.9 million of U.S. federal loss carryforwards with unlimited tax loss carryforward periods and $65.5 million of U.S. state tax loss carryforwards as of December 31, 2022. U.S. state tax losses of $7.6 million are in jurisdictions with unlimited tax loss carryforward periods, while the remainder will expire in future years through 2042.</w:t>
      </w:r>
    </w:p>
    <w:p>
      <w:pPr>
        <w:spacing w:after="0" w:line="7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Deferred taxes in the amount of $2.0 million have been provided on undistributed earnings of certain subsidiaries. Taxes have not been provided on undistributed earnings of subsidiaries where it is our intention to reinvest these earnings permanently or to repatriate the earnings only when it is tax effective to do so. It is not practicable to estimate the amount of tax that might be payable if such earnings were to be remitted.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Impacts of U.S. tax legislation</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In April 2020, the IRS released final regulations as part of the Tax Cuts and Jobs Act of 2017 that place limitations on the deductibility of certain interest expense for U.S. tax purposes. These regulations resulted in discrete tax expense of approximately $14.1 million in 2020, as well as an increase to our 2020 annual effective tax rate of approximately 0.3%.</w:t>
      </w:r>
    </w:p>
    <w:p>
      <w:pPr>
        <w:spacing w:after="0" w:line="7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March 2020, the U.S. enacted the Coronavirus Aid, Relief, and Economic Security Act (“CARES Act”) in response to the COVID-19 pandemic. The CARES Act contains numerous income tax provisions, such as relaxing limitations on the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deductibility of interest and the ability to carryback net operating losses arising in taxable years from 2018 through 2020. The CARES Act provided positive cash benefits of approximately $26.9 million, offset by an increase to our 2020 annual effective tax rate of approximately 1.0% and $5.1 million in discrete tax items recorded in 2020, mainly attributable to base erosion and anti-abuse tax related to 2019.</w:t>
      </w:r>
    </w:p>
    <w:p>
      <w:pPr>
        <w:spacing w:after="0" w:line="15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11.</w:t>
      </w:r>
      <w:r>
        <w:rPr>
          <w:sz w:val="20"/>
          <w:szCs w:val="20"/>
          <w:color w:val="auto"/>
        </w:rPr>
        <w:tab/>
      </w:r>
      <w:r>
        <w:rPr>
          <w:rFonts w:ascii="Arial" w:cs="Arial" w:eastAsia="Arial" w:hAnsi="Arial"/>
          <w:sz w:val="12"/>
          <w:szCs w:val="12"/>
          <w:b w:val="1"/>
          <w:bCs w:val="1"/>
          <w:color w:val="auto"/>
        </w:rPr>
        <w:t>Benefit Plans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Pension and other post-retirement plans</w:t>
      </w:r>
    </w:p>
    <w:p>
      <w:pPr>
        <w:spacing w:after="0" w:line="9" w:lineRule="exact"/>
        <w:rPr>
          <w:sz w:val="20"/>
          <w:szCs w:val="20"/>
          <w:color w:val="auto"/>
        </w:rPr>
      </w:pPr>
    </w:p>
    <w:p>
      <w:pPr>
        <w:jc w:val="both"/>
        <w:spacing w:after="0" w:line="350" w:lineRule="auto"/>
        <w:rPr>
          <w:sz w:val="20"/>
          <w:szCs w:val="20"/>
          <w:color w:val="auto"/>
        </w:rPr>
      </w:pPr>
      <w:r>
        <w:rPr>
          <w:rFonts w:ascii="Arial" w:cs="Arial" w:eastAsia="Arial" w:hAnsi="Arial"/>
          <w:sz w:val="12"/>
          <w:szCs w:val="12"/>
          <w:color w:val="auto"/>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Obligations and funded status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present reconciliations of plan benefit obligations, fair value of plan assets and the funded status of pension plans and other post-retirement plans as of and for the years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2022 and 2021:</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20" w:type="dxa"/>
            <w:vAlign w:val="bottom"/>
            <w:gridSpan w:val="3"/>
          </w:tcPr>
          <w:p>
            <w:pPr>
              <w:jc w:val="right"/>
              <w:ind w:right="589"/>
              <w:spacing w:after="0"/>
              <w:rPr>
                <w:sz w:val="20"/>
                <w:szCs w:val="20"/>
                <w:color w:val="auto"/>
              </w:rPr>
            </w:pPr>
            <w:r>
              <w:rPr>
                <w:rFonts w:ascii="Arial" w:cs="Arial" w:eastAsia="Arial" w:hAnsi="Arial"/>
                <w:sz w:val="14"/>
                <w:szCs w:val="14"/>
                <w:b w:val="1"/>
                <w:bCs w:val="1"/>
                <w:color w:val="auto"/>
              </w:rPr>
              <w:t>Other post-retirement</w:t>
            </w:r>
          </w:p>
        </w:tc>
      </w:tr>
      <w:tr>
        <w:trPr>
          <w:trHeight w:val="191"/>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rPr>
              <w:t>plans</w:t>
            </w:r>
          </w:p>
        </w:tc>
        <w:tc>
          <w:tcPr>
            <w:tcW w:w="980" w:type="dxa"/>
            <w:vAlign w:val="bottom"/>
            <w:tcBorders>
              <w:bottom w:val="single" w:sz="8" w:color="auto"/>
            </w:tcBorders>
          </w:tcPr>
          <w:p>
            <w:pPr>
              <w:spacing w:after="0"/>
              <w:rPr>
                <w:sz w:val="16"/>
                <w:szCs w:val="16"/>
                <w:color w:val="auto"/>
              </w:rPr>
            </w:pPr>
          </w:p>
        </w:tc>
      </w:tr>
      <w:tr>
        <w:trPr>
          <w:trHeight w:val="17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benefit obligations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5880" w:type="dxa"/>
            <w:vAlign w:val="bottom"/>
          </w:tcPr>
          <w:p>
            <w:pPr>
              <w:ind w:left="20"/>
              <w:spacing w:after="0"/>
              <w:rPr>
                <w:sz w:val="20"/>
                <w:szCs w:val="20"/>
                <w:color w:val="auto"/>
              </w:rPr>
            </w:pPr>
            <w:r>
              <w:rPr>
                <w:rFonts w:ascii="Arial" w:cs="Arial" w:eastAsia="Arial" w:hAnsi="Arial"/>
                <w:sz w:val="14"/>
                <w:szCs w:val="14"/>
                <w:color w:val="auto"/>
              </w:rPr>
              <w:t>Benefit obligation beginning of year</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116.1</w:t>
            </w: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120.8</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11.3</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18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8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Actuarial gain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0"/>
        </w:trPr>
        <w:tc>
          <w:tcPr>
            <w:tcW w:w="5880" w:type="dxa"/>
            <w:vAlign w:val="bottom"/>
          </w:tcPr>
          <w:p>
            <w:pPr>
              <w:ind w:left="20"/>
              <w:spacing w:after="0"/>
              <w:rPr>
                <w:sz w:val="20"/>
                <w:szCs w:val="20"/>
                <w:color w:val="auto"/>
              </w:rPr>
            </w:pPr>
            <w:r>
              <w:rPr>
                <w:rFonts w:ascii="Arial" w:cs="Arial" w:eastAsia="Arial" w:hAnsi="Arial"/>
                <w:sz w:val="14"/>
                <w:szCs w:val="14"/>
                <w:color w:val="auto"/>
              </w:rPr>
              <w:t>Foreign currency translation</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Benefits paid</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4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Benefit obligation end of year</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w:t>
            </w: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Change in plan assets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80"/>
        </w:trPr>
        <w:tc>
          <w:tcPr>
            <w:tcW w:w="5880" w:type="dxa"/>
            <w:vAlign w:val="bottom"/>
          </w:tcPr>
          <w:p>
            <w:pPr>
              <w:ind w:left="20"/>
              <w:spacing w:after="0"/>
              <w:rPr>
                <w:sz w:val="20"/>
                <w:szCs w:val="20"/>
                <w:color w:val="auto"/>
              </w:rPr>
            </w:pPr>
            <w:r>
              <w:rPr>
                <w:rFonts w:ascii="Arial" w:cs="Arial" w:eastAsia="Arial" w:hAnsi="Arial"/>
                <w:sz w:val="14"/>
                <w:szCs w:val="14"/>
                <w:color w:val="auto"/>
              </w:rPr>
              <w:t>Fair value of plan assets beginning of year</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34.4</w:t>
            </w: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89"/>
              <w:spacing w:after="0"/>
              <w:rPr>
                <w:sz w:val="20"/>
                <w:szCs w:val="20"/>
                <w:color w:val="auto"/>
              </w:rPr>
            </w:pPr>
            <w:r>
              <w:rPr>
                <w:rFonts w:ascii="Arial" w:cs="Arial" w:eastAsia="Arial" w:hAnsi="Arial"/>
                <w:sz w:val="14"/>
                <w:szCs w:val="14"/>
                <w:color w:val="auto"/>
              </w:rPr>
              <w:t>— $</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return on plan assets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880" w:type="dxa"/>
            <w:vAlign w:val="bottom"/>
          </w:tcPr>
          <w:p>
            <w:pPr>
              <w:ind w:left="20"/>
              <w:spacing w:after="0"/>
              <w:rPr>
                <w:sz w:val="20"/>
                <w:szCs w:val="20"/>
                <w:color w:val="auto"/>
              </w:rPr>
            </w:pPr>
            <w:r>
              <w:rPr>
                <w:rFonts w:ascii="Arial" w:cs="Arial" w:eastAsia="Arial" w:hAnsi="Arial"/>
                <w:sz w:val="14"/>
                <w:szCs w:val="14"/>
                <w:color w:val="auto"/>
              </w:rPr>
              <w:t>Company contributions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w:t>
            </w:r>
          </w:p>
        </w:tc>
        <w:tc>
          <w:tcPr>
            <w:tcW w:w="4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18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Benefits paid</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71"/>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Fair value of plan assets end of year</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8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5880" w:type="dxa"/>
            <w:vAlign w:val="bottom"/>
          </w:tcPr>
          <w:p>
            <w:pPr>
              <w:ind w:left="20"/>
              <w:spacing w:after="0"/>
              <w:rPr>
                <w:sz w:val="20"/>
                <w:szCs w:val="20"/>
                <w:color w:val="auto"/>
              </w:rPr>
            </w:pPr>
            <w:r>
              <w:rPr>
                <w:rFonts w:ascii="Arial" w:cs="Arial" w:eastAsia="Arial" w:hAnsi="Arial"/>
                <w:sz w:val="14"/>
                <w:szCs w:val="14"/>
                <w:b w:val="1"/>
                <w:bCs w:val="1"/>
                <w:color w:val="auto"/>
              </w:rPr>
              <w:t>Funded status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5"/>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Benefit obligations in excess of the fair value of plan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7660" w:type="dxa"/>
            <w:vAlign w:val="bottom"/>
            <w:tcBorders>
              <w:top w:val="single" w:sz="8" w:color="CCEEFF"/>
              <w:bottom w:val="single" w:sz="8" w:color="auto"/>
            </w:tcBorders>
            <w:gridSpan w:val="4"/>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59"/>
        </w:trPr>
        <w:tc>
          <w:tcPr>
            <w:tcW w:w="7660" w:type="dxa"/>
            <w:vAlign w:val="bottom"/>
            <w:gridSpan w:val="4"/>
          </w:tcPr>
          <w:p>
            <w:pPr>
              <w:spacing w:after="0"/>
              <w:rPr>
                <w:sz w:val="20"/>
                <w:szCs w:val="20"/>
                <w:color w:val="auto"/>
              </w:rPr>
            </w:pPr>
            <w:r>
              <w:rPr>
                <w:rFonts w:ascii="Arial" w:cs="Arial" w:eastAsia="Arial" w:hAnsi="Arial"/>
                <w:sz w:val="14"/>
                <w:szCs w:val="14"/>
                <w:color w:val="auto"/>
                <w:w w:val="93"/>
              </w:rPr>
              <w:t>The actuarial gain in 2022 was primarily due to increases in the discount rates to reflect economic conditions at December 31, 2022.</w:t>
            </w: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97"/>
        </w:trPr>
        <w:tc>
          <w:tcPr>
            <w:tcW w:w="5880" w:type="dxa"/>
            <w:vAlign w:val="bottom"/>
          </w:tcPr>
          <w:p>
            <w:pPr>
              <w:spacing w:after="0"/>
              <w:rPr>
                <w:sz w:val="20"/>
                <w:szCs w:val="20"/>
                <w:color w:val="auto"/>
              </w:rPr>
            </w:pPr>
            <w:r>
              <w:rPr>
                <w:rFonts w:ascii="Arial" w:cs="Arial" w:eastAsia="Arial" w:hAnsi="Arial"/>
                <w:sz w:val="14"/>
                <w:szCs w:val="14"/>
                <w:color w:val="auto"/>
              </w:rPr>
              <w:t>Amounts recorded in the Consolidated Balance Sheets were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5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20" w:type="dxa"/>
            <w:vAlign w:val="bottom"/>
            <w:gridSpan w:val="3"/>
          </w:tcPr>
          <w:p>
            <w:pPr>
              <w:jc w:val="right"/>
              <w:ind w:right="589"/>
              <w:spacing w:after="0"/>
              <w:rPr>
                <w:sz w:val="20"/>
                <w:szCs w:val="20"/>
                <w:color w:val="auto"/>
              </w:rPr>
            </w:pPr>
            <w:r>
              <w:rPr>
                <w:rFonts w:ascii="Arial" w:cs="Arial" w:eastAsia="Arial" w:hAnsi="Arial"/>
                <w:sz w:val="14"/>
                <w:szCs w:val="14"/>
                <w:b w:val="1"/>
                <w:bCs w:val="1"/>
                <w:color w:val="auto"/>
              </w:rPr>
              <w:t>Other post-retirement</w:t>
            </w:r>
          </w:p>
        </w:tc>
      </w:tr>
      <w:tr>
        <w:trPr>
          <w:trHeight w:val="184"/>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4"/>
                <w:szCs w:val="14"/>
                <w:b w:val="1"/>
                <w:bCs w:val="1"/>
                <w:color w:val="auto"/>
              </w:rPr>
              <w:t>plans</w:t>
            </w:r>
          </w:p>
        </w:tc>
        <w:tc>
          <w:tcPr>
            <w:tcW w:w="980" w:type="dxa"/>
            <w:vAlign w:val="bottom"/>
            <w:tcBorders>
              <w:bottom w:val="single" w:sz="8" w:color="auto"/>
            </w:tcBorders>
          </w:tcPr>
          <w:p>
            <w:pPr>
              <w:spacing w:after="0"/>
              <w:rPr>
                <w:sz w:val="16"/>
                <w:szCs w:val="16"/>
                <w:color w:val="auto"/>
              </w:rPr>
            </w:pPr>
          </w:p>
        </w:tc>
      </w:tr>
      <w:tr>
        <w:trPr>
          <w:trHeight w:val="171"/>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171"/>
        </w:trPr>
        <w:tc>
          <w:tcPr>
            <w:tcW w:w="5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liabilities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w:t>
            </w: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Benefit obligations in excess of the fair value of plan assets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c>
          <w:tcPr>
            <w:tcW w:w="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5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The accumulated benefit obligation for all defined benefit plans was $88.7 million and $112.7 million at December 31, 2022 and 2021, respectively.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940" w:type="dxa"/>
            <w:vAlign w:val="bottom"/>
            <w:gridSpan w:val="8"/>
          </w:tcPr>
          <w:p>
            <w:pPr>
              <w:spacing w:after="0"/>
              <w:rPr>
                <w:sz w:val="20"/>
                <w:szCs w:val="20"/>
                <w:color w:val="auto"/>
              </w:rPr>
            </w:pPr>
            <w:r>
              <w:rPr>
                <w:rFonts w:ascii="Arial" w:cs="Arial" w:eastAsia="Arial" w:hAnsi="Arial"/>
                <w:sz w:val="14"/>
                <w:szCs w:val="14"/>
                <w:color w:val="auto"/>
              </w:rPr>
              <w:t>Information for pension plans with an accumulated benefit obligation or projected benefit obligation in excess of plan assets as of December 31 was as follows:</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4"/>
        </w:trPr>
        <w:tc>
          <w:tcPr>
            <w:tcW w:w="5460" w:type="dxa"/>
            <w:vAlign w:val="bottom"/>
          </w:tcPr>
          <w:p>
            <w:pPr>
              <w:spacing w:after="0"/>
              <w:rPr>
                <w:sz w:val="20"/>
                <w:szCs w:val="20"/>
                <w:color w:val="auto"/>
              </w:rPr>
            </w:pPr>
          </w:p>
        </w:tc>
        <w:tc>
          <w:tcPr>
            <w:tcW w:w="2320" w:type="dxa"/>
            <w:vAlign w:val="bottom"/>
            <w:gridSpan w:val="2"/>
          </w:tcPr>
          <w:p>
            <w:pPr>
              <w:jc w:val="center"/>
              <w:ind w:left="469"/>
              <w:spacing w:after="0"/>
              <w:rPr>
                <w:sz w:val="20"/>
                <w:szCs w:val="20"/>
                <w:color w:val="auto"/>
              </w:rPr>
            </w:pPr>
            <w:r>
              <w:rPr>
                <w:rFonts w:ascii="Arial" w:cs="Arial" w:eastAsia="Arial" w:hAnsi="Arial"/>
                <w:sz w:val="14"/>
                <w:szCs w:val="14"/>
                <w:b w:val="1"/>
                <w:bCs w:val="1"/>
                <w:color w:val="auto"/>
                <w:w w:val="90"/>
              </w:rPr>
              <w:t>Projected benefit obligation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Accumulated benefit</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w:t>
            </w:r>
          </w:p>
        </w:tc>
      </w:tr>
      <w:tr>
        <w:trPr>
          <w:trHeight w:val="138"/>
        </w:trPr>
        <w:tc>
          <w:tcPr>
            <w:tcW w:w="5460" w:type="dxa"/>
            <w:vAlign w:val="bottom"/>
          </w:tcPr>
          <w:p>
            <w:pPr>
              <w:spacing w:after="0"/>
              <w:rPr>
                <w:sz w:val="11"/>
                <w:szCs w:val="11"/>
                <w:color w:val="auto"/>
              </w:rPr>
            </w:pPr>
          </w:p>
        </w:tc>
        <w:tc>
          <w:tcPr>
            <w:tcW w:w="2320" w:type="dxa"/>
            <w:vAlign w:val="bottom"/>
            <w:gridSpan w:val="2"/>
          </w:tcPr>
          <w:p>
            <w:pPr>
              <w:jc w:val="center"/>
              <w:ind w:left="469"/>
              <w:spacing w:after="0" w:line="138" w:lineRule="exact"/>
              <w:rPr>
                <w:sz w:val="20"/>
                <w:szCs w:val="20"/>
                <w:color w:val="auto"/>
              </w:rPr>
            </w:pPr>
            <w:r>
              <w:rPr>
                <w:rFonts w:ascii="Arial" w:cs="Arial" w:eastAsia="Arial" w:hAnsi="Arial"/>
                <w:sz w:val="14"/>
                <w:szCs w:val="14"/>
                <w:b w:val="1"/>
                <w:bCs w:val="1"/>
                <w:color w:val="auto"/>
                <w:w w:val="89"/>
              </w:rPr>
              <w:t>exceeds the fair value</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gridSpan w:val="4"/>
          </w:tcPr>
          <w:p>
            <w:pPr>
              <w:ind w:left="320"/>
              <w:spacing w:after="0" w:line="138" w:lineRule="exact"/>
              <w:rPr>
                <w:sz w:val="20"/>
                <w:szCs w:val="20"/>
                <w:color w:val="auto"/>
              </w:rPr>
            </w:pPr>
            <w:r>
              <w:rPr>
                <w:rFonts w:ascii="Arial" w:cs="Arial" w:eastAsia="Arial" w:hAnsi="Arial"/>
                <w:sz w:val="14"/>
                <w:szCs w:val="14"/>
                <w:b w:val="1"/>
                <w:bCs w:val="1"/>
                <w:color w:val="auto"/>
              </w:rPr>
              <w:t>exceeds the fair value of</w:t>
            </w:r>
          </w:p>
        </w:tc>
      </w:tr>
      <w:tr>
        <w:trPr>
          <w:trHeight w:val="184"/>
        </w:trPr>
        <w:tc>
          <w:tcPr>
            <w:tcW w:w="54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09"/>
              <w:spacing w:after="0"/>
              <w:rPr>
                <w:sz w:val="20"/>
                <w:szCs w:val="20"/>
                <w:color w:val="auto"/>
              </w:rPr>
            </w:pPr>
            <w:r>
              <w:rPr>
                <w:rFonts w:ascii="Arial" w:cs="Arial" w:eastAsia="Arial" w:hAnsi="Arial"/>
                <w:sz w:val="14"/>
                <w:szCs w:val="14"/>
                <w:b w:val="1"/>
                <w:bCs w:val="1"/>
                <w:color w:val="auto"/>
                <w:w w:val="85"/>
              </w:rPr>
              <w:t>of plan assets</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86"/>
              </w:rPr>
              <w:t>plan assets</w:t>
            </w:r>
          </w:p>
        </w:tc>
        <w:tc>
          <w:tcPr>
            <w:tcW w:w="10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78"/>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r>
      <w:tr>
        <w:trPr>
          <w:trHeight w:val="17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benefit obligation</w:t>
            </w:r>
          </w:p>
        </w:tc>
        <w:tc>
          <w:tcPr>
            <w:tcW w:w="940" w:type="dxa"/>
            <w:vAlign w:val="bottom"/>
            <w:shd w:val="clear" w:color="auto" w:fill="CCEEFF"/>
          </w:tcPr>
          <w:p>
            <w:pPr>
              <w:jc w:val="right"/>
              <w:ind w:right="78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88.1 $</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7"/>
              </w:rPr>
              <w:t>78.0 $</w:t>
            </w: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w:t>
            </w:r>
          </w:p>
        </w:tc>
        <w:tc>
          <w:tcPr>
            <w:tcW w:w="20" w:type="dxa"/>
            <w:vAlign w:val="bottom"/>
            <w:shd w:val="clear" w:color="auto" w:fill="CCEEFF"/>
          </w:tcPr>
          <w:p>
            <w:pPr>
              <w:spacing w:after="0"/>
              <w:rPr>
                <w:sz w:val="14"/>
                <w:szCs w:val="14"/>
                <w:color w:val="auto"/>
              </w:rPr>
            </w:pPr>
          </w:p>
        </w:tc>
      </w:tr>
      <w:tr>
        <w:trPr>
          <w:trHeight w:val="180"/>
        </w:trPr>
        <w:tc>
          <w:tcPr>
            <w:tcW w:w="5460" w:type="dxa"/>
            <w:vAlign w:val="bottom"/>
          </w:tcPr>
          <w:p>
            <w:pPr>
              <w:ind w:left="20"/>
              <w:spacing w:after="0"/>
              <w:rPr>
                <w:sz w:val="20"/>
                <w:szCs w:val="20"/>
                <w:color w:val="auto"/>
              </w:rPr>
            </w:pPr>
            <w:r>
              <w:rPr>
                <w:rFonts w:ascii="Arial" w:cs="Arial" w:eastAsia="Arial" w:hAnsi="Arial"/>
                <w:sz w:val="14"/>
                <w:szCs w:val="14"/>
                <w:color w:val="auto"/>
              </w:rPr>
              <w:t>Fair value of plan assets</w:t>
            </w:r>
          </w:p>
        </w:tc>
        <w:tc>
          <w:tcPr>
            <w:tcW w:w="940" w:type="dxa"/>
            <w:vAlign w:val="bottom"/>
          </w:tcPr>
          <w:p>
            <w:pPr>
              <w:spacing w:after="0"/>
              <w:rPr>
                <w:sz w:val="15"/>
                <w:szCs w:val="15"/>
                <w:color w:val="auto"/>
              </w:rPr>
            </w:pPr>
          </w:p>
        </w:tc>
        <w:tc>
          <w:tcPr>
            <w:tcW w:w="1380" w:type="dxa"/>
            <w:vAlign w:val="bottom"/>
          </w:tcPr>
          <w:p>
            <w:pPr>
              <w:ind w:left="180"/>
              <w:spacing w:after="0"/>
              <w:rPr>
                <w:sz w:val="20"/>
                <w:szCs w:val="20"/>
                <w:color w:val="auto"/>
              </w:rPr>
            </w:pPr>
            <w:r>
              <w:rPr>
                <w:rFonts w:ascii="Arial" w:cs="Arial" w:eastAsia="Arial" w:hAnsi="Arial"/>
                <w:sz w:val="14"/>
                <w:szCs w:val="14"/>
                <w:color w:val="auto"/>
              </w:rPr>
              <w:t>25.9</w:t>
            </w:r>
          </w:p>
        </w:tc>
        <w:tc>
          <w:tcPr>
            <w:tcW w:w="54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ind w:left="740"/>
              <w:spacing w:after="0"/>
              <w:rPr>
                <w:sz w:val="20"/>
                <w:szCs w:val="20"/>
                <w:color w:val="auto"/>
              </w:rPr>
            </w:pPr>
            <w:r>
              <w:rPr>
                <w:rFonts w:ascii="Arial" w:cs="Arial" w:eastAsia="Arial" w:hAnsi="Arial"/>
                <w:sz w:val="14"/>
                <w:szCs w:val="14"/>
                <w:color w:val="auto"/>
              </w:rPr>
              <w:t>16.5</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34.4</w:t>
            </w:r>
          </w:p>
        </w:tc>
        <w:tc>
          <w:tcPr>
            <w:tcW w:w="20" w:type="dxa"/>
            <w:vAlign w:val="bottom"/>
          </w:tcPr>
          <w:p>
            <w:pPr>
              <w:spacing w:after="0"/>
              <w:rPr>
                <w:sz w:val="15"/>
                <w:szCs w:val="15"/>
                <w:color w:val="auto"/>
              </w:rPr>
            </w:pPr>
          </w:p>
        </w:tc>
      </w:tr>
      <w:tr>
        <w:trPr>
          <w:trHeight w:val="18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benefit obligation</w:t>
            </w:r>
          </w:p>
        </w:tc>
        <w:tc>
          <w:tcPr>
            <w:tcW w:w="94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N/A</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77.7</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112.7</w:t>
            </w:r>
          </w:p>
        </w:tc>
        <w:tc>
          <w:tcPr>
            <w:tcW w:w="20" w:type="dxa"/>
            <w:vAlign w:val="bottom"/>
            <w:shd w:val="clear" w:color="auto" w:fill="CCEEFF"/>
          </w:tcPr>
          <w:p>
            <w:pPr>
              <w:spacing w:after="0"/>
              <w:rPr>
                <w:sz w:val="15"/>
                <w:szCs w:val="15"/>
                <w:color w:val="auto"/>
              </w:rPr>
            </w:pPr>
          </w:p>
        </w:tc>
      </w:tr>
      <w:tr>
        <w:trPr>
          <w:trHeight w:val="297"/>
        </w:trPr>
        <w:tc>
          <w:tcPr>
            <w:tcW w:w="7780" w:type="dxa"/>
            <w:vAlign w:val="bottom"/>
            <w:gridSpan w:val="3"/>
          </w:tcPr>
          <w:p>
            <w:pPr>
              <w:spacing w:after="0"/>
              <w:rPr>
                <w:sz w:val="20"/>
                <w:szCs w:val="20"/>
                <w:color w:val="auto"/>
              </w:rPr>
            </w:pPr>
            <w:r>
              <w:rPr>
                <w:rFonts w:ascii="Arial" w:cs="Arial" w:eastAsia="Arial" w:hAnsi="Arial"/>
                <w:sz w:val="14"/>
                <w:szCs w:val="14"/>
                <w:color w:val="auto"/>
              </w:rPr>
              <w:t>Components of net periodic benefit expense for our pension plans for the years ended December 31 were as follows: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5"/>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9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3"/>
                <w:szCs w:val="23"/>
                <w:color w:val="auto"/>
              </w:rPr>
            </w:pPr>
          </w:p>
        </w:tc>
      </w:tr>
      <w:tr>
        <w:trPr>
          <w:trHeight w:val="17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Service cost</w:t>
            </w:r>
          </w:p>
        </w:tc>
        <w:tc>
          <w:tcPr>
            <w:tcW w:w="9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center"/>
              <w:ind w:left="769"/>
              <w:spacing w:after="0"/>
              <w:rPr>
                <w:sz w:val="20"/>
                <w:szCs w:val="20"/>
                <w:color w:val="auto"/>
              </w:rPr>
            </w:pPr>
            <w:r>
              <w:rPr>
                <w:rFonts w:ascii="Arial" w:cs="Arial" w:eastAsia="Arial" w:hAnsi="Arial"/>
                <w:sz w:val="14"/>
                <w:szCs w:val="14"/>
                <w:color w:val="auto"/>
                <w:w w:val="92"/>
              </w:rPr>
              <w:t>2.8</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14"/>
                <w:szCs w:val="14"/>
                <w:color w:val="auto"/>
              </w:rPr>
            </w:pPr>
          </w:p>
        </w:tc>
      </w:tr>
      <w:tr>
        <w:trPr>
          <w:trHeight w:val="180"/>
        </w:trPr>
        <w:tc>
          <w:tcPr>
            <w:tcW w:w="546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5"/>
                <w:szCs w:val="15"/>
                <w:color w:val="auto"/>
              </w:rPr>
            </w:pPr>
          </w:p>
        </w:tc>
        <w:tc>
          <w:tcPr>
            <w:tcW w:w="1140" w:type="dxa"/>
            <w:vAlign w:val="bottom"/>
          </w:tcPr>
          <w:p>
            <w:pPr>
              <w:jc w:val="center"/>
              <w:ind w:left="769"/>
              <w:spacing w:after="0"/>
              <w:rPr>
                <w:sz w:val="20"/>
                <w:szCs w:val="20"/>
                <w:color w:val="auto"/>
              </w:rPr>
            </w:pPr>
            <w:r>
              <w:rPr>
                <w:rFonts w:ascii="Arial" w:cs="Arial" w:eastAsia="Arial" w:hAnsi="Arial"/>
                <w:sz w:val="14"/>
                <w:szCs w:val="14"/>
                <w:color w:val="auto"/>
                <w:w w:val="92"/>
              </w:rPr>
              <w:t>2.0</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5"/>
                <w:szCs w:val="15"/>
                <w:color w:val="auto"/>
              </w:rPr>
            </w:pPr>
          </w:p>
        </w:tc>
      </w:tr>
      <w:tr>
        <w:trPr>
          <w:trHeight w:val="181"/>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return on plan assets</w:t>
            </w:r>
          </w:p>
        </w:tc>
        <w:tc>
          <w:tcPr>
            <w:tcW w:w="9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0"/>
              </w:rPr>
              <w:t>(0.7)</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center"/>
              <w:ind w:left="749"/>
              <w:spacing w:after="0"/>
              <w:rPr>
                <w:sz w:val="20"/>
                <w:szCs w:val="20"/>
                <w:color w:val="auto"/>
              </w:rPr>
            </w:pPr>
            <w:r>
              <w:rPr>
                <w:rFonts w:ascii="Arial" w:cs="Arial" w:eastAsia="Arial" w:hAnsi="Arial"/>
                <w:sz w:val="14"/>
                <w:szCs w:val="14"/>
                <w:color w:val="auto"/>
                <w:w w:val="97"/>
              </w:rPr>
              <w:t>(0.5)</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5"/>
                <w:szCs w:val="15"/>
                <w:color w:val="auto"/>
              </w:rPr>
            </w:pPr>
          </w:p>
        </w:tc>
      </w:tr>
      <w:tr>
        <w:trPr>
          <w:trHeight w:val="180"/>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actuarial (gain) loss</w:t>
            </w:r>
          </w:p>
        </w:tc>
        <w:tc>
          <w:tcPr>
            <w:tcW w:w="9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(16.4)</w:t>
            </w: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color w:val="auto"/>
                <w:w w:val="97"/>
              </w:rPr>
              <w:t>(1.5)</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20" w:type="dxa"/>
            <w:vAlign w:val="bottom"/>
          </w:tcPr>
          <w:p>
            <w:pPr>
              <w:spacing w:after="0"/>
              <w:rPr>
                <w:sz w:val="15"/>
                <w:szCs w:val="15"/>
                <w:color w:val="auto"/>
              </w:rPr>
            </w:pPr>
          </w:p>
        </w:tc>
      </w:tr>
      <w:tr>
        <w:trPr>
          <w:trHeight w:val="196"/>
        </w:trPr>
        <w:tc>
          <w:tcPr>
            <w:tcW w:w="5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Net periodic benefit (income) expense</w:t>
            </w:r>
          </w:p>
        </w:tc>
        <w:tc>
          <w:tcPr>
            <w:tcW w:w="9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(12.2)</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center"/>
              <w:ind w:left="769"/>
              <w:spacing w:after="0"/>
              <w:rPr>
                <w:sz w:val="20"/>
                <w:szCs w:val="20"/>
                <w:color w:val="auto"/>
              </w:rPr>
            </w:pPr>
            <w:r>
              <w:rPr>
                <w:rFonts w:ascii="Arial" w:cs="Arial" w:eastAsia="Arial" w:hAnsi="Arial"/>
                <w:sz w:val="14"/>
                <w:szCs w:val="14"/>
                <w:color w:val="auto"/>
                <w:w w:val="92"/>
              </w:rPr>
              <w:t>2.8</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0" w:type="dxa"/>
            <w:vAlign w:val="bottom"/>
          </w:tcPr>
          <w:p>
            <w:pPr>
              <w:spacing w:after="0"/>
              <w:rPr>
                <w:sz w:val="16"/>
                <w:szCs w:val="16"/>
                <w:color w:val="auto"/>
              </w:rPr>
            </w:pPr>
          </w:p>
        </w:tc>
      </w:tr>
      <w:tr>
        <w:trPr>
          <w:trHeight w:val="20"/>
        </w:trPr>
        <w:tc>
          <w:tcPr>
            <w:tcW w:w="5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4"/>
          <w:szCs w:val="14"/>
          <w:color w:val="auto"/>
        </w:rPr>
        <w:t>Components of net periodic benefit expense for our other post-retirement plans for the years ended December 31, 2022, 2021 and 2020, were not material.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the weighted-average assumptions used to determine benefit obligations and net periodic benefit cost as they pertain to our pension and other post-retirement plans.</w:t>
      </w: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2"/>
          </w:tcPr>
          <w:p>
            <w:pPr>
              <w:jc w:val="center"/>
              <w:ind w:left="729"/>
              <w:spacing w:after="0"/>
              <w:rPr>
                <w:sz w:val="20"/>
                <w:szCs w:val="20"/>
                <w:color w:val="auto"/>
              </w:rPr>
            </w:pPr>
            <w:r>
              <w:rPr>
                <w:rFonts w:ascii="Arial" w:cs="Arial" w:eastAsia="Arial" w:hAnsi="Arial"/>
                <w:sz w:val="14"/>
                <w:szCs w:val="14"/>
                <w:b w:val="1"/>
                <w:bCs w:val="1"/>
                <w:color w:val="auto"/>
                <w:w w:val="93"/>
              </w:rPr>
              <w:t>Other post-retirement</w:t>
            </w:r>
          </w:p>
        </w:tc>
        <w:tc>
          <w:tcPr>
            <w:tcW w:w="800" w:type="dxa"/>
            <w:vAlign w:val="bottom"/>
          </w:tcPr>
          <w:p>
            <w:pPr>
              <w:spacing w:after="0"/>
              <w:rPr>
                <w:sz w:val="14"/>
                <w:szCs w:val="14"/>
                <w:color w:val="auto"/>
              </w:rPr>
            </w:pPr>
          </w:p>
        </w:tc>
      </w:tr>
      <w:tr>
        <w:trPr>
          <w:trHeight w:val="191"/>
        </w:trPr>
        <w:tc>
          <w:tcPr>
            <w:tcW w:w="488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w w:val="90"/>
              </w:rPr>
              <w:t>Pension plans</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69"/>
              <w:spacing w:after="0"/>
              <w:rPr>
                <w:sz w:val="20"/>
                <w:szCs w:val="20"/>
                <w:color w:val="auto"/>
              </w:rPr>
            </w:pPr>
            <w:r>
              <w:rPr>
                <w:rFonts w:ascii="Arial" w:cs="Arial" w:eastAsia="Arial" w:hAnsi="Arial"/>
                <w:sz w:val="14"/>
                <w:szCs w:val="14"/>
                <w:b w:val="1"/>
                <w:bCs w:val="1"/>
                <w:color w:val="auto"/>
                <w:w w:val="87"/>
              </w:rPr>
              <w:t>plans</w:t>
            </w:r>
          </w:p>
        </w:tc>
        <w:tc>
          <w:tcPr>
            <w:tcW w:w="800" w:type="dxa"/>
            <w:vAlign w:val="bottom"/>
            <w:tcBorders>
              <w:bottom w:val="single" w:sz="8" w:color="auto"/>
            </w:tcBorders>
          </w:tcPr>
          <w:p>
            <w:pPr>
              <w:spacing w:after="0"/>
              <w:rPr>
                <w:sz w:val="16"/>
                <w:szCs w:val="16"/>
                <w:color w:val="auto"/>
              </w:rPr>
            </w:pPr>
          </w:p>
        </w:tc>
      </w:tr>
      <w:tr>
        <w:trPr>
          <w:trHeight w:val="171"/>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Percentages</w:t>
            </w:r>
          </w:p>
        </w:tc>
        <w:tc>
          <w:tcPr>
            <w:tcW w:w="11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bottom w:val="single" w:sz="8" w:color="auto"/>
            </w:tcBorders>
          </w:tcPr>
          <w:p>
            <w:pPr>
              <w:jc w:val="center"/>
              <w:ind w:right="369"/>
              <w:spacing w:after="0"/>
              <w:rPr>
                <w:sz w:val="20"/>
                <w:szCs w:val="20"/>
                <w:color w:val="auto"/>
              </w:rPr>
            </w:pPr>
            <w:r>
              <w:rPr>
                <w:rFonts w:ascii="Arial" w:cs="Arial" w:eastAsia="Arial" w:hAnsi="Arial"/>
                <w:sz w:val="14"/>
                <w:szCs w:val="14"/>
                <w:b w:val="1"/>
                <w:bCs w:val="1"/>
                <w:color w:val="auto"/>
                <w:w w:val="89"/>
              </w:rPr>
              <w:t>2021</w:t>
            </w: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2020</w:t>
            </w:r>
          </w:p>
        </w:tc>
      </w:tr>
      <w:tr>
        <w:trPr>
          <w:trHeight w:val="171"/>
        </w:trPr>
        <w:tc>
          <w:tcPr>
            <w:tcW w:w="4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Benefit obligation assumptions</w:t>
            </w:r>
          </w:p>
        </w:tc>
        <w:tc>
          <w:tcPr>
            <w:tcW w:w="1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80"/>
        </w:trPr>
        <w:tc>
          <w:tcPr>
            <w:tcW w:w="4880" w:type="dxa"/>
            <w:vAlign w:val="bottom"/>
          </w:tcPr>
          <w:p>
            <w:pPr>
              <w:spacing w:after="0"/>
              <w:rPr>
                <w:sz w:val="20"/>
                <w:szCs w:val="20"/>
                <w:color w:val="auto"/>
              </w:rPr>
            </w:pPr>
            <w:r>
              <w:rPr>
                <w:rFonts w:ascii="Arial" w:cs="Arial" w:eastAsia="Arial" w:hAnsi="Arial"/>
                <w:sz w:val="14"/>
                <w:szCs w:val="14"/>
                <w:color w:val="auto"/>
              </w:rPr>
              <w:t>Discount rate</w:t>
            </w:r>
          </w:p>
        </w:tc>
        <w:tc>
          <w:tcPr>
            <w:tcW w:w="1100" w:type="dxa"/>
            <w:vAlign w:val="bottom"/>
          </w:tcPr>
          <w:p>
            <w:pPr>
              <w:jc w:val="right"/>
              <w:spacing w:after="0"/>
              <w:rPr>
                <w:sz w:val="20"/>
                <w:szCs w:val="20"/>
                <w:color w:val="auto"/>
              </w:rPr>
            </w:pPr>
            <w:r>
              <w:rPr>
                <w:rFonts w:ascii="Arial" w:cs="Arial" w:eastAsia="Arial" w:hAnsi="Arial"/>
                <w:sz w:val="14"/>
                <w:szCs w:val="14"/>
                <w:color w:val="auto"/>
              </w:rPr>
              <w:t>4.77 %</w:t>
            </w: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2.21 %</w:t>
            </w:r>
          </w:p>
        </w:tc>
        <w:tc>
          <w:tcPr>
            <w:tcW w:w="860" w:type="dxa"/>
            <w:vAlign w:val="bottom"/>
          </w:tcPr>
          <w:p>
            <w:pPr>
              <w:jc w:val="right"/>
              <w:spacing w:after="0"/>
              <w:rPr>
                <w:sz w:val="20"/>
                <w:szCs w:val="20"/>
                <w:color w:val="auto"/>
              </w:rPr>
            </w:pPr>
            <w:r>
              <w:rPr>
                <w:rFonts w:ascii="Arial" w:cs="Arial" w:eastAsia="Arial" w:hAnsi="Arial"/>
                <w:sz w:val="14"/>
                <w:szCs w:val="14"/>
                <w:color w:val="auto"/>
              </w:rPr>
              <w:t>1.74 %</w:t>
            </w:r>
          </w:p>
        </w:tc>
        <w:tc>
          <w:tcPr>
            <w:tcW w:w="100" w:type="dxa"/>
            <w:vAlign w:val="bottom"/>
          </w:tcPr>
          <w:p>
            <w:pPr>
              <w:spacing w:after="0"/>
              <w:rPr>
                <w:sz w:val="15"/>
                <w:szCs w:val="15"/>
                <w:color w:val="auto"/>
              </w:rPr>
            </w:pPr>
          </w:p>
        </w:tc>
        <w:tc>
          <w:tcPr>
            <w:tcW w:w="1220" w:type="dxa"/>
            <w:vAlign w:val="bottom"/>
          </w:tcPr>
          <w:p>
            <w:pPr>
              <w:ind w:left="620"/>
              <w:spacing w:after="0"/>
              <w:rPr>
                <w:sz w:val="20"/>
                <w:szCs w:val="20"/>
                <w:color w:val="auto"/>
              </w:rPr>
            </w:pPr>
            <w:r>
              <w:rPr>
                <w:rFonts w:ascii="Arial" w:cs="Arial" w:eastAsia="Arial" w:hAnsi="Arial"/>
                <w:sz w:val="14"/>
                <w:szCs w:val="14"/>
                <w:color w:val="auto"/>
              </w:rPr>
              <w:t>5.11 %</w:t>
            </w:r>
          </w:p>
        </w:tc>
        <w:tc>
          <w:tcPr>
            <w:tcW w:w="1120" w:type="dxa"/>
            <w:vAlign w:val="bottom"/>
          </w:tcPr>
          <w:p>
            <w:pPr>
              <w:jc w:val="right"/>
              <w:ind w:right="209"/>
              <w:spacing w:after="0"/>
              <w:rPr>
                <w:sz w:val="20"/>
                <w:szCs w:val="20"/>
                <w:color w:val="auto"/>
              </w:rPr>
            </w:pPr>
            <w:r>
              <w:rPr>
                <w:rFonts w:ascii="Arial" w:cs="Arial" w:eastAsia="Arial" w:hAnsi="Arial"/>
                <w:sz w:val="14"/>
                <w:szCs w:val="14"/>
                <w:color w:val="auto"/>
              </w:rPr>
              <w:t>2.34 %</w:t>
            </w:r>
          </w:p>
        </w:tc>
        <w:tc>
          <w:tcPr>
            <w:tcW w:w="800" w:type="dxa"/>
            <w:vAlign w:val="bottom"/>
          </w:tcPr>
          <w:p>
            <w:pPr>
              <w:ind w:left="380"/>
              <w:spacing w:after="0"/>
              <w:rPr>
                <w:sz w:val="20"/>
                <w:szCs w:val="20"/>
                <w:color w:val="auto"/>
              </w:rPr>
            </w:pPr>
            <w:r>
              <w:rPr>
                <w:rFonts w:ascii="Arial" w:cs="Arial" w:eastAsia="Arial" w:hAnsi="Arial"/>
                <w:sz w:val="14"/>
                <w:szCs w:val="14"/>
                <w:color w:val="auto"/>
                <w:w w:val="91"/>
              </w:rPr>
              <w:t>1.77 %</w:t>
            </w:r>
          </w:p>
        </w:tc>
      </w:tr>
      <w:tr>
        <w:trPr>
          <w:trHeight w:val="181"/>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Rate of compensation increase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3.80 %</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3.61 %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1120" w:type="dxa"/>
            <w:vAlign w:val="bottom"/>
            <w:shd w:val="clear" w:color="auto" w:fill="CCEEFF"/>
          </w:tcPr>
          <w:p>
            <w:pPr>
              <w:jc w:val="center"/>
              <w:ind w:right="369"/>
              <w:spacing w:after="0"/>
              <w:rPr>
                <w:sz w:val="20"/>
                <w:szCs w:val="20"/>
                <w:color w:val="auto"/>
              </w:rPr>
            </w:pPr>
            <w:r>
              <w:rPr>
                <w:rFonts w:ascii="Arial" w:cs="Arial" w:eastAsia="Arial" w:hAnsi="Arial"/>
                <w:sz w:val="14"/>
                <w:szCs w:val="14"/>
                <w:color w:val="auto"/>
              </w:rPr>
              <w:t>N/A</w:t>
            </w:r>
          </w:p>
        </w:tc>
        <w:tc>
          <w:tcPr>
            <w:tcW w:w="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r>
      <w:tr>
        <w:trPr>
          <w:trHeight w:val="180"/>
        </w:trPr>
        <w:tc>
          <w:tcPr>
            <w:tcW w:w="4880" w:type="dxa"/>
            <w:vAlign w:val="bottom"/>
          </w:tcPr>
          <w:p>
            <w:pPr>
              <w:spacing w:after="0"/>
              <w:rPr>
                <w:sz w:val="20"/>
                <w:szCs w:val="20"/>
                <w:color w:val="auto"/>
              </w:rPr>
            </w:pPr>
            <w:r>
              <w:rPr>
                <w:rFonts w:ascii="Arial" w:cs="Arial" w:eastAsia="Arial" w:hAnsi="Arial"/>
                <w:sz w:val="14"/>
                <w:szCs w:val="14"/>
                <w:b w:val="1"/>
                <w:bCs w:val="1"/>
                <w:color w:val="auto"/>
              </w:rPr>
              <w:t>Net periodic benefit expense assumptions</w:t>
            </w: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1.74 %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2.34 %</w:t>
            </w:r>
          </w:p>
        </w:tc>
        <w:tc>
          <w:tcPr>
            <w:tcW w:w="11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1.77 %</w:t>
            </w:r>
          </w:p>
        </w:tc>
        <w:tc>
          <w:tcPr>
            <w:tcW w:w="80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1"/>
              </w:rPr>
              <w:t>2.81 %</w:t>
            </w:r>
          </w:p>
        </w:tc>
      </w:tr>
      <w:tr>
        <w:trPr>
          <w:trHeight w:val="180"/>
        </w:trPr>
        <w:tc>
          <w:tcPr>
            <w:tcW w:w="4880" w:type="dxa"/>
            <w:vAlign w:val="bottom"/>
          </w:tcPr>
          <w:p>
            <w:pPr>
              <w:spacing w:after="0"/>
              <w:rPr>
                <w:sz w:val="20"/>
                <w:szCs w:val="20"/>
                <w:color w:val="auto"/>
              </w:rPr>
            </w:pPr>
            <w:r>
              <w:rPr>
                <w:rFonts w:ascii="Arial" w:cs="Arial" w:eastAsia="Arial" w:hAnsi="Arial"/>
                <w:sz w:val="14"/>
                <w:szCs w:val="14"/>
                <w:color w:val="auto"/>
              </w:rPr>
              <w:t>Expected long-term return on plan assets</w:t>
            </w:r>
          </w:p>
        </w:tc>
        <w:tc>
          <w:tcPr>
            <w:tcW w:w="1100" w:type="dxa"/>
            <w:vAlign w:val="bottom"/>
          </w:tcPr>
          <w:p>
            <w:pPr>
              <w:jc w:val="right"/>
              <w:spacing w:after="0"/>
              <w:rPr>
                <w:sz w:val="20"/>
                <w:szCs w:val="20"/>
                <w:color w:val="auto"/>
              </w:rPr>
            </w:pPr>
            <w:r>
              <w:rPr>
                <w:rFonts w:ascii="Arial" w:cs="Arial" w:eastAsia="Arial" w:hAnsi="Arial"/>
                <w:sz w:val="14"/>
                <w:szCs w:val="14"/>
                <w:color w:val="auto"/>
              </w:rPr>
              <w:t>2.89 %</w:t>
            </w:r>
          </w:p>
        </w:tc>
        <w:tc>
          <w:tcPr>
            <w:tcW w:w="1180" w:type="dxa"/>
            <w:vAlign w:val="bottom"/>
          </w:tcPr>
          <w:p>
            <w:pPr>
              <w:jc w:val="right"/>
              <w:ind w:right="129"/>
              <w:spacing w:after="0"/>
              <w:rPr>
                <w:sz w:val="20"/>
                <w:szCs w:val="20"/>
                <w:color w:val="auto"/>
              </w:rPr>
            </w:pPr>
            <w:r>
              <w:rPr>
                <w:rFonts w:ascii="Arial" w:cs="Arial" w:eastAsia="Arial" w:hAnsi="Arial"/>
                <w:sz w:val="14"/>
                <w:szCs w:val="14"/>
                <w:color w:val="auto"/>
              </w:rPr>
              <w:t>2.60 %</w:t>
            </w:r>
          </w:p>
        </w:tc>
        <w:tc>
          <w:tcPr>
            <w:tcW w:w="860" w:type="dxa"/>
            <w:vAlign w:val="bottom"/>
          </w:tcPr>
          <w:p>
            <w:pPr>
              <w:jc w:val="right"/>
              <w:spacing w:after="0"/>
              <w:rPr>
                <w:sz w:val="20"/>
                <w:szCs w:val="20"/>
                <w:color w:val="auto"/>
              </w:rPr>
            </w:pPr>
            <w:r>
              <w:rPr>
                <w:rFonts w:ascii="Arial" w:cs="Arial" w:eastAsia="Arial" w:hAnsi="Arial"/>
                <w:sz w:val="14"/>
                <w:szCs w:val="14"/>
                <w:color w:val="auto"/>
              </w:rPr>
              <w:t>3.32 %</w:t>
            </w:r>
          </w:p>
        </w:tc>
        <w:tc>
          <w:tcPr>
            <w:tcW w:w="100" w:type="dxa"/>
            <w:vAlign w:val="bottom"/>
          </w:tcPr>
          <w:p>
            <w:pPr>
              <w:spacing w:after="0"/>
              <w:rPr>
                <w:sz w:val="15"/>
                <w:szCs w:val="15"/>
                <w:color w:val="auto"/>
              </w:rPr>
            </w:pPr>
          </w:p>
        </w:tc>
        <w:tc>
          <w:tcPr>
            <w:tcW w:w="1220" w:type="dxa"/>
            <w:vAlign w:val="bottom"/>
          </w:tcPr>
          <w:p>
            <w:pPr>
              <w:ind w:left="400"/>
              <w:spacing w:after="0"/>
              <w:rPr>
                <w:sz w:val="20"/>
                <w:szCs w:val="20"/>
                <w:color w:val="auto"/>
              </w:rPr>
            </w:pPr>
            <w:r>
              <w:rPr>
                <w:rFonts w:ascii="Arial" w:cs="Arial" w:eastAsia="Arial" w:hAnsi="Arial"/>
                <w:sz w:val="14"/>
                <w:szCs w:val="14"/>
                <w:color w:val="auto"/>
              </w:rPr>
              <w:t>N/A</w:t>
            </w:r>
          </w:p>
        </w:tc>
        <w:tc>
          <w:tcPr>
            <w:tcW w:w="1120" w:type="dxa"/>
            <w:vAlign w:val="bottom"/>
          </w:tcPr>
          <w:p>
            <w:pPr>
              <w:jc w:val="center"/>
              <w:ind w:right="369"/>
              <w:spacing w:after="0"/>
              <w:rPr>
                <w:sz w:val="20"/>
                <w:szCs w:val="20"/>
                <w:color w:val="auto"/>
              </w:rPr>
            </w:pPr>
            <w:r>
              <w:rPr>
                <w:rFonts w:ascii="Arial" w:cs="Arial" w:eastAsia="Arial" w:hAnsi="Arial"/>
                <w:sz w:val="14"/>
                <w:szCs w:val="14"/>
                <w:color w:val="auto"/>
              </w:rPr>
              <w:t>N/A</w:t>
            </w:r>
          </w:p>
        </w:tc>
        <w:tc>
          <w:tcPr>
            <w:tcW w:w="800" w:type="dxa"/>
            <w:vAlign w:val="bottom"/>
          </w:tcPr>
          <w:p>
            <w:pPr>
              <w:ind w:left="140"/>
              <w:spacing w:after="0"/>
              <w:rPr>
                <w:sz w:val="20"/>
                <w:szCs w:val="20"/>
                <w:color w:val="auto"/>
              </w:rPr>
            </w:pPr>
            <w:r>
              <w:rPr>
                <w:rFonts w:ascii="Arial" w:cs="Arial" w:eastAsia="Arial" w:hAnsi="Arial"/>
                <w:sz w:val="14"/>
                <w:szCs w:val="14"/>
                <w:color w:val="auto"/>
              </w:rPr>
              <w:t>N/A</w:t>
            </w:r>
          </w:p>
        </w:tc>
      </w:tr>
      <w:tr>
        <w:trPr>
          <w:trHeight w:val="181"/>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Rate of compensation increase</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3.61 %</w:t>
            </w:r>
          </w:p>
        </w:tc>
        <w:tc>
          <w:tcPr>
            <w:tcW w:w="11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3.62 %</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3.68 %</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N/A</w:t>
            </w:r>
          </w:p>
        </w:tc>
        <w:tc>
          <w:tcPr>
            <w:tcW w:w="1120" w:type="dxa"/>
            <w:vAlign w:val="bottom"/>
            <w:shd w:val="clear" w:color="auto" w:fill="CCEEFF"/>
          </w:tcPr>
          <w:p>
            <w:pPr>
              <w:jc w:val="center"/>
              <w:ind w:right="369"/>
              <w:spacing w:after="0"/>
              <w:rPr>
                <w:sz w:val="20"/>
                <w:szCs w:val="20"/>
                <w:color w:val="auto"/>
              </w:rPr>
            </w:pPr>
            <w:r>
              <w:rPr>
                <w:rFonts w:ascii="Arial" w:cs="Arial" w:eastAsia="Arial" w:hAnsi="Arial"/>
                <w:sz w:val="14"/>
                <w:szCs w:val="14"/>
                <w:color w:val="auto"/>
              </w:rPr>
              <w:t>N/A</w:t>
            </w:r>
          </w:p>
        </w:tc>
        <w:tc>
          <w:tcPr>
            <w:tcW w:w="8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Discount rates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discount rate reflects the current rate at which the pension liabilities could be effectively settled at the end of the year based on our December 31 measurement date. The discount rate was determined by matching our expected benefit payments to payments from a stream of bonds rated AA or higher available in the marketplace. There are no known or anticipated changes in our discount rate assumptions that will impact our pension expense in 2023.</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Expected rates of return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losses of 16.86% in 2022 and 0.89% in 2021, and a return of 9.68% in 2020.</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Healthcare cost trend rates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assumed healthcare cost trend rates for other post-retirement plans as of December 31 were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171"/>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Healthcare cost trend rate assumed for following year</w:t>
            </w:r>
          </w:p>
        </w:tc>
        <w:tc>
          <w:tcPr>
            <w:tcW w:w="8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5.5 %</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80"/>
        </w:trPr>
        <w:tc>
          <w:tcPr>
            <w:tcW w:w="9240" w:type="dxa"/>
            <w:vAlign w:val="bottom"/>
          </w:tcPr>
          <w:p>
            <w:pPr>
              <w:ind w:left="20"/>
              <w:spacing w:after="0"/>
              <w:rPr>
                <w:sz w:val="20"/>
                <w:szCs w:val="20"/>
                <w:color w:val="auto"/>
              </w:rPr>
            </w:pPr>
            <w:r>
              <w:rPr>
                <w:rFonts w:ascii="Arial" w:cs="Arial" w:eastAsia="Arial" w:hAnsi="Arial"/>
                <w:sz w:val="14"/>
                <w:szCs w:val="14"/>
                <w:color w:val="auto"/>
              </w:rPr>
              <w:t>Rate to which the cost trend rate is assumed to decline (the ultimate trend rate)</w:t>
            </w:r>
          </w:p>
        </w:tc>
        <w:tc>
          <w:tcPr>
            <w:tcW w:w="800" w:type="dxa"/>
            <w:vAlign w:val="bottom"/>
          </w:tcPr>
          <w:p>
            <w:pPr>
              <w:jc w:val="right"/>
              <w:ind w:right="249"/>
              <w:spacing w:after="0"/>
              <w:rPr>
                <w:sz w:val="20"/>
                <w:szCs w:val="20"/>
                <w:color w:val="auto"/>
              </w:rPr>
            </w:pPr>
            <w:r>
              <w:rPr>
                <w:rFonts w:ascii="Arial" w:cs="Arial" w:eastAsia="Arial" w:hAnsi="Arial"/>
                <w:sz w:val="14"/>
                <w:szCs w:val="14"/>
                <w:color w:val="auto"/>
              </w:rPr>
              <w:t>4.0 %</w:t>
            </w:r>
          </w:p>
        </w:tc>
        <w:tc>
          <w:tcPr>
            <w:tcW w:w="122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181"/>
        </w:trPr>
        <w:tc>
          <w:tcPr>
            <w:tcW w:w="9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the cost trend rate reaches the ultimate trend rate</w:t>
            </w:r>
          </w:p>
        </w:tc>
        <w:tc>
          <w:tcPr>
            <w:tcW w:w="8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2043</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Pension plans assets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Objective</w:t>
      </w:r>
    </w:p>
    <w:p>
      <w:pPr>
        <w:spacing w:after="0" w:line="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primary objective of our investment strategy is to meet the pension obligation to our employees at a reasonable cost to us. This is primarily accomplished through growth of capital and safety of the funds invested.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Asset allocation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Our actual overall asset allocation for our pension plans as compared to our investment policy goals as of December 31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4"/>
                <w:szCs w:val="14"/>
                <w:b w:val="1"/>
                <w:bCs w:val="1"/>
                <w:color w:val="auto"/>
              </w:rPr>
              <w:t>Target</w:t>
            </w:r>
          </w:p>
        </w:tc>
        <w:tc>
          <w:tcPr>
            <w:tcW w:w="1140" w:type="dxa"/>
            <w:vAlign w:val="bottom"/>
            <w:tcBorders>
              <w:bottom w:val="single" w:sz="8" w:color="auto"/>
            </w:tcBorders>
          </w:tcPr>
          <w:p>
            <w:pPr>
              <w:spacing w:after="0"/>
              <w:rPr>
                <w:sz w:val="16"/>
                <w:szCs w:val="16"/>
                <w:color w:val="auto"/>
              </w:rPr>
            </w:pPr>
          </w:p>
        </w:tc>
      </w:tr>
      <w:tr>
        <w:trPr>
          <w:trHeight w:val="17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Percentages</w:t>
            </w: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2021</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income</w:t>
            </w: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58 %</w:t>
            </w: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3"/>
              </w:rPr>
              <w:t>58 %</w:t>
            </w:r>
          </w:p>
        </w:tc>
        <w:tc>
          <w:tcPr>
            <w:tcW w:w="3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r>
      <w:tr>
        <w:trPr>
          <w:trHeight w:val="180"/>
        </w:trPr>
        <w:tc>
          <w:tcPr>
            <w:tcW w:w="4940" w:type="dxa"/>
            <w:vAlign w:val="bottom"/>
          </w:tcPr>
          <w:p>
            <w:pPr>
              <w:ind w:left="20"/>
              <w:spacing w:after="0"/>
              <w:rPr>
                <w:sz w:val="20"/>
                <w:szCs w:val="20"/>
                <w:color w:val="auto"/>
              </w:rPr>
            </w:pPr>
            <w:r>
              <w:rPr>
                <w:rFonts w:ascii="Arial" w:cs="Arial" w:eastAsia="Arial" w:hAnsi="Arial"/>
                <w:sz w:val="14"/>
                <w:szCs w:val="14"/>
                <w:color w:val="auto"/>
              </w:rPr>
              <w:t>Alternative</w:t>
            </w: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389"/>
              <w:spacing w:after="0"/>
              <w:rPr>
                <w:sz w:val="20"/>
                <w:szCs w:val="20"/>
                <w:color w:val="auto"/>
              </w:rPr>
            </w:pPr>
            <w:r>
              <w:rPr>
                <w:rFonts w:ascii="Arial" w:cs="Arial" w:eastAsia="Arial" w:hAnsi="Arial"/>
                <w:sz w:val="14"/>
                <w:szCs w:val="14"/>
                <w:color w:val="auto"/>
              </w:rPr>
              <w:t>42 %</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jc w:val="right"/>
              <w:ind w:right="49"/>
              <w:spacing w:after="0"/>
              <w:rPr>
                <w:sz w:val="20"/>
                <w:szCs w:val="20"/>
                <w:color w:val="auto"/>
              </w:rPr>
            </w:pPr>
            <w:r>
              <w:rPr>
                <w:rFonts w:ascii="Arial" w:cs="Arial" w:eastAsia="Arial" w:hAnsi="Arial"/>
                <w:sz w:val="14"/>
                <w:szCs w:val="14"/>
                <w:color w:val="auto"/>
                <w:w w:val="93"/>
              </w:rPr>
              <w:t>42 %</w:t>
            </w: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32 %</w:t>
            </w:r>
          </w:p>
        </w:tc>
      </w:tr>
      <w:tr>
        <w:trPr>
          <w:trHeight w:val="181"/>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 %</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8"/>
              </w:rPr>
              <w:t>— %</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371"/>
        </w:trPr>
        <w:tc>
          <w:tcPr>
            <w:tcW w:w="4940" w:type="dxa"/>
            <w:vAlign w:val="bottom"/>
          </w:tcPr>
          <w:p>
            <w:pPr>
              <w:spacing w:after="0"/>
              <w:rPr>
                <w:sz w:val="20"/>
                <w:szCs w:val="20"/>
                <w:color w:val="auto"/>
              </w:rPr>
            </w:pPr>
            <w:r>
              <w:rPr>
                <w:rFonts w:ascii="Arial" w:cs="Arial" w:eastAsia="Arial" w:hAnsi="Arial"/>
                <w:sz w:val="14"/>
                <w:szCs w:val="14"/>
                <w:i w:val="1"/>
                <w:iCs w:val="1"/>
                <w:color w:val="auto"/>
              </w:rPr>
              <w:t>Fair value measurement</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0"/>
        </w:trPr>
        <w:tc>
          <w:tcPr>
            <w:tcW w:w="9380" w:type="dxa"/>
            <w:vAlign w:val="bottom"/>
            <w:gridSpan w:val="9"/>
          </w:tcPr>
          <w:p>
            <w:pPr>
              <w:spacing w:after="0"/>
              <w:rPr>
                <w:sz w:val="20"/>
                <w:szCs w:val="20"/>
                <w:color w:val="auto"/>
              </w:rPr>
            </w:pPr>
            <w:r>
              <w:rPr>
                <w:rFonts w:ascii="Arial" w:cs="Arial" w:eastAsia="Arial" w:hAnsi="Arial"/>
                <w:sz w:val="14"/>
                <w:szCs w:val="14"/>
                <w:color w:val="auto"/>
                <w:w w:val="93"/>
              </w:rPr>
              <w:t>The fair values of our pension plan assets and their respective levels in the fair value hierarchy as of December 31, 2022 and December 31, 2021 were as follows:</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76"/>
        </w:trPr>
        <w:tc>
          <w:tcPr>
            <w:tcW w:w="49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2022</w:t>
            </w:r>
          </w:p>
        </w:tc>
        <w:tc>
          <w:tcPr>
            <w:tcW w:w="4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17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2"/>
              </w:rPr>
              <w:t>Level 3</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8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 measured at NAV</w:t>
            </w: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r>
      <w:tr>
        <w:trPr>
          <w:trHeight w:val="196"/>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280" w:type="dxa"/>
            <w:vAlign w:val="bottom"/>
            <w:tcBorders>
              <w:top w:val="single" w:sz="8" w:color="CCEEFF"/>
              <w:bottom w:val="single" w:sz="8" w:color="auto"/>
            </w:tcBorders>
            <w:gridSpan w:val="4"/>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29"/>
        </w:trPr>
        <w:tc>
          <w:tcPr>
            <w:tcW w:w="4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December 31, 2021</w:t>
            </w: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7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Level 2</w:t>
            </w: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92"/>
              </w:rPr>
              <w:t>Level 3</w:t>
            </w:r>
          </w:p>
        </w:tc>
        <w:tc>
          <w:tcPr>
            <w:tcW w:w="4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Total</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 $</w:t>
            </w:r>
          </w:p>
        </w:tc>
        <w:tc>
          <w:tcPr>
            <w:tcW w:w="7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8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investments</w:t>
            </w: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r>
      <w:tr>
        <w:trPr>
          <w:trHeight w:val="171"/>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investments at fair value</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32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8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Investments measured at NAV</w:t>
            </w: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w:t>
            </w:r>
          </w:p>
        </w:tc>
      </w:tr>
      <w:tr>
        <w:trPr>
          <w:trHeight w:val="196"/>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20"/>
        </w:trPr>
        <w:tc>
          <w:tcPr>
            <w:tcW w:w="49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22"/>
        </w:trPr>
        <w:tc>
          <w:tcPr>
            <w:tcW w:w="4940" w:type="dxa"/>
            <w:vAlign w:val="bottom"/>
          </w:tcPr>
          <w:p>
            <w:pPr>
              <w:spacing w:after="0"/>
              <w:rPr>
                <w:sz w:val="24"/>
                <w:szCs w:val="24"/>
                <w:color w:val="auto"/>
              </w:rPr>
            </w:pPr>
          </w:p>
        </w:tc>
        <w:tc>
          <w:tcPr>
            <w:tcW w:w="1020" w:type="dxa"/>
            <w:vAlign w:val="bottom"/>
            <w:gridSpan w:val="2"/>
          </w:tcPr>
          <w:p>
            <w:pPr>
              <w:ind w:left="640"/>
              <w:spacing w:after="0"/>
              <w:rPr>
                <w:sz w:val="20"/>
                <w:szCs w:val="20"/>
                <w:color w:val="auto"/>
              </w:rPr>
            </w:pPr>
            <w:r>
              <w:rPr>
                <w:rFonts w:ascii="Arial" w:cs="Arial" w:eastAsia="Arial" w:hAnsi="Arial"/>
                <w:sz w:val="14"/>
                <w:szCs w:val="14"/>
                <w:color w:val="auto"/>
              </w:rPr>
              <w:t>68</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494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4" w:lineRule="exact"/>
        <w:rPr>
          <w:sz w:val="20"/>
          <w:szCs w:val="20"/>
          <w:color w:val="auto"/>
        </w:rPr>
      </w:pPr>
    </w:p>
    <w:p>
      <w:pPr>
        <w:ind w:left="40"/>
        <w:spacing w:after="0"/>
        <w:rPr>
          <w:sz w:val="20"/>
          <w:szCs w:val="20"/>
          <w:color w:val="auto"/>
        </w:rPr>
      </w:pPr>
      <w:r>
        <w:rPr>
          <w:rFonts w:ascii="Arial" w:cs="Arial" w:eastAsia="Arial" w:hAnsi="Arial"/>
          <w:sz w:val="14"/>
          <w:szCs w:val="14"/>
          <w:color w:val="auto"/>
        </w:rPr>
        <w:t>Valuation methodologies used for investments measured at fair value were as follows:</w:t>
      </w:r>
    </w:p>
    <w:p>
      <w:pPr>
        <w:spacing w:after="0" w:line="136" w:lineRule="exact"/>
        <w:rPr>
          <w:sz w:val="20"/>
          <w:szCs w:val="20"/>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Cash and cash equivalents </w:t>
      </w:r>
      <w:r>
        <w:rPr>
          <w:rFonts w:ascii="Arial" w:cs="Arial" w:eastAsia="Arial" w:hAnsi="Arial"/>
          <w:sz w:val="14"/>
          <w:szCs w:val="14"/>
          <w:color w:val="auto"/>
        </w:rPr>
        <w:t>— Cash consists of cash held in bank accounts and is considered a Level 1 investment.</w:t>
      </w:r>
    </w:p>
    <w:p>
      <w:pPr>
        <w:spacing w:after="0" w:line="13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i w:val="1"/>
          <w:iCs w:val="1"/>
          <w:color w:val="auto"/>
        </w:rPr>
        <w:t xml:space="preserve">Other investments </w:t>
      </w:r>
      <w:r>
        <w:rPr>
          <w:rFonts w:ascii="Arial" w:cs="Arial" w:eastAsia="Arial" w:hAnsi="Arial"/>
          <w:sz w:val="14"/>
          <w:szCs w:val="14"/>
          <w:color w:val="auto"/>
        </w:rPr>
        <w:t>— Other investments include investments in commingled funds with diversified investment strategies. Investments in commingled funds that were valued based on</w:t>
      </w:r>
      <w:r>
        <w:rPr>
          <w:rFonts w:ascii="Arial" w:cs="Arial" w:eastAsia="Arial" w:hAnsi="Arial"/>
          <w:sz w:val="14"/>
          <w:szCs w:val="14"/>
          <w:i w:val="1"/>
          <w:iCs w:val="1"/>
          <w:color w:val="auto"/>
        </w:rPr>
        <w:t xml:space="preserve"> </w:t>
      </w:r>
      <w:r>
        <w:rPr>
          <w:rFonts w:ascii="Arial" w:cs="Arial" w:eastAsia="Arial" w:hAnsi="Arial"/>
          <w:sz w:val="14"/>
          <w:szCs w:val="14"/>
          <w:color w:val="auto"/>
        </w:rPr>
        <w:t>unobservable inputs due to liquidation restrictions were classified as Level 3.</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Activity for our Level 3 pension plan assets held during the years ended December 31, 2022 and 2021 was not material.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Contributions</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Pension contributions totaled $7.5 million and $8.1 million in 2022 and 2021, respectively. We anticipate our 2023 pension contributions to be approximately $6.7 million. The 2023 expected contributions will equal or exceed our minimum funding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Estimated future benefit payments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benefit payments, which reflect expected future service or payout from termination, as appropriate, are expected to be paid by the plans in each of the next five fiscal years and in the aggregate for the five fiscal years thereafter are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Other post-</w:t>
            </w:r>
          </w:p>
        </w:tc>
      </w:tr>
      <w:tr>
        <w:trPr>
          <w:trHeight w:val="138"/>
        </w:trPr>
        <w:tc>
          <w:tcPr>
            <w:tcW w:w="454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center"/>
              <w:ind w:right="149"/>
              <w:spacing w:after="0" w:line="138" w:lineRule="exact"/>
              <w:rPr>
                <w:sz w:val="20"/>
                <w:szCs w:val="20"/>
                <w:color w:val="auto"/>
              </w:rPr>
            </w:pPr>
            <w:r>
              <w:rPr>
                <w:rFonts w:ascii="Arial" w:cs="Arial" w:eastAsia="Arial" w:hAnsi="Arial"/>
                <w:sz w:val="14"/>
                <w:szCs w:val="14"/>
                <w:b w:val="1"/>
                <w:bCs w:val="1"/>
                <w:color w:val="auto"/>
                <w:w w:val="93"/>
              </w:rPr>
              <w:t>retirement</w:t>
            </w:r>
          </w:p>
        </w:tc>
      </w:tr>
      <w:tr>
        <w:trPr>
          <w:trHeight w:val="191"/>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w w:val="96"/>
              </w:rPr>
              <w:t>Pension plans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87"/>
              </w:rPr>
              <w:t>plans</w:t>
            </w:r>
          </w:p>
        </w:tc>
      </w:tr>
      <w:tr>
        <w:trPr>
          <w:trHeight w:val="17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4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2024</w:t>
            </w:r>
          </w:p>
        </w:tc>
        <w:tc>
          <w:tcPr>
            <w:tcW w:w="40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8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40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2026</w:t>
            </w:r>
          </w:p>
        </w:tc>
        <w:tc>
          <w:tcPr>
            <w:tcW w:w="40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181"/>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40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2028 - 2032</w:t>
            </w:r>
          </w:p>
        </w:tc>
        <w:tc>
          <w:tcPr>
            <w:tcW w:w="40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36.2</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Savings plan</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a 401(k) plan (the “401(k) plan”) with an employee share ownership (“ESOP”) bonus component, which covers certain union and all non-union U.S. employees who met certain age requirements. Under the 401(k) plan, eligible U.S. employees may voluntarily contribute a percentage of their eligible compensation. We match contributions made by employees who met certain eligibility and service requirements. The 401(k) company match contribution is a dollar-for-dollar (100%) matching contribution on up to 5% of employee eligible earnings, contributed as before-tax contributions.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Our expense for the 401(k) plan, including the ESOP, was $21.4 million, $19.0 million and $15.3 million in 2022, 2021 and 2020,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retirement compensation</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 xml:space="preserve">Total other accrued retirement compensation, primarily related to deferred compensation and supplemental retirement plans, was $28.5 million and $32.7 million as of December 31, 2022 and 2021, respectively, and is included in </w:t>
      </w:r>
      <w:r>
        <w:rPr>
          <w:rFonts w:ascii="Arial" w:cs="Arial" w:eastAsia="Arial" w:hAnsi="Arial"/>
          <w:sz w:val="14"/>
          <w:szCs w:val="14"/>
          <w:i w:val="1"/>
          <w:iCs w:val="1"/>
          <w:color w:val="auto"/>
        </w:rPr>
        <w:t>Pension and other post-retirement compensation and benefits</w:t>
      </w:r>
      <w:r>
        <w:rPr>
          <w:rFonts w:ascii="Arial" w:cs="Arial" w:eastAsia="Arial" w:hAnsi="Arial"/>
          <w:sz w:val="14"/>
          <w:szCs w:val="14"/>
          <w:color w:val="auto"/>
        </w:rPr>
        <w:t xml:space="preserve"> and </w:t>
      </w:r>
      <w:r>
        <w:rPr>
          <w:rFonts w:ascii="Arial" w:cs="Arial" w:eastAsia="Arial" w:hAnsi="Arial"/>
          <w:sz w:val="14"/>
          <w:szCs w:val="14"/>
          <w:i w:val="1"/>
          <w:iCs w:val="1"/>
          <w:color w:val="auto"/>
        </w:rPr>
        <w:t>Other non-current liabilities</w:t>
      </w:r>
      <w:r>
        <w:rPr>
          <w:rFonts w:ascii="Arial" w:cs="Arial" w:eastAsia="Arial" w:hAnsi="Arial"/>
          <w:sz w:val="14"/>
          <w:szCs w:val="14"/>
          <w:color w:val="auto"/>
        </w:rPr>
        <w:t xml:space="preserve"> in the Consolidated Balance Sheets.</w:t>
      </w:r>
    </w:p>
    <w:p>
      <w:pPr>
        <w:spacing w:after="0" w:line="159" w:lineRule="exact"/>
        <w:rPr>
          <w:sz w:val="20"/>
          <w:szCs w:val="20"/>
          <w:color w:val="auto"/>
        </w:rPr>
      </w:pPr>
    </w:p>
    <w:p>
      <w:pPr>
        <w:ind w:right="9660" w:firstLine="5"/>
        <w:spacing w:after="0" w:line="283" w:lineRule="auto"/>
        <w:tabs>
          <w:tab w:leader="none" w:pos="318"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Shareholders’ Equity </w:t>
      </w:r>
      <w:r>
        <w:rPr>
          <w:rFonts w:ascii="Arial" w:cs="Arial" w:eastAsia="Arial" w:hAnsi="Arial"/>
          <w:sz w:val="13"/>
          <w:szCs w:val="13"/>
          <w:b w:val="1"/>
          <w:bCs w:val="1"/>
          <w:i w:val="1"/>
          <w:iCs w:val="1"/>
          <w:color w:val="auto"/>
        </w:rPr>
        <w:t>Authorized shares</w:t>
      </w:r>
    </w:p>
    <w:p>
      <w:pPr>
        <w:spacing w:after="0" w:line="1" w:lineRule="exact"/>
        <w:rPr>
          <w:rFonts w:ascii="Arial" w:cs="Arial" w:eastAsia="Arial" w:hAnsi="Arial"/>
          <w:sz w:val="13"/>
          <w:szCs w:val="13"/>
          <w:b w:val="1"/>
          <w:bCs w:val="1"/>
          <w:color w:val="auto"/>
        </w:rPr>
      </w:pPr>
    </w:p>
    <w:p>
      <w:pPr>
        <w:spacing w:after="0"/>
        <w:rPr>
          <w:rFonts w:ascii="Arial" w:cs="Arial" w:eastAsia="Arial" w:hAnsi="Arial"/>
          <w:sz w:val="13"/>
          <w:szCs w:val="13"/>
          <w:b w:val="1"/>
          <w:bCs w:val="1"/>
          <w:color w:val="auto"/>
        </w:rPr>
      </w:pPr>
      <w:r>
        <w:rPr>
          <w:rFonts w:ascii="Arial" w:cs="Arial" w:eastAsia="Arial" w:hAnsi="Arial"/>
          <w:sz w:val="14"/>
          <w:szCs w:val="14"/>
          <w:color w:val="auto"/>
        </w:rPr>
        <w:t>Our authorized share capital consists of 426.0 million ordinary shares with a par value of $0.01 per share.</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repurchases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May 2018, the Board of Directors authorized the repurchase of our ordinary shares up to a maximum dollar limit of $750.0 million (the “2018 Authorization”). The 2018 Authorization expired on May 31, 2021. In December 2020, the Board of Directors authorized the repurchase of our ordinary shares up to a maximum dollar limit of $750.0 million (the “2020 Authorization”). The 2020 Authorization expires on December 31, 2025. The 2020 Authorization supplemented the 2018 Authorization.</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2021, we repurchased 2.1 million of our ordinary shares for $150.0 million of which 0.8 million shares, or $50.0 million, and 1.3 million shares, or $100.0 million, were repurchased pursuant to the 2018 Authorization and 2020 Authorization,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the year ended December 31, 2022, we repurchased 1.0 million of our ordinary shares for $50.0 million under the 2020 Authorization. As of December 31, 2022, we had $600.0 million available for share repurchases under the 2020 Authorization.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Dividends payable</w:t>
      </w:r>
    </w:p>
    <w:p>
      <w:pPr>
        <w:spacing w:after="0" w:line="19"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 xml:space="preserve">On December 12, 2022, the Board of Directors approved a 5 percent increase in the Company’s regular quarterly dividend rate (from $0.21 per share to $0.22 per share) that was paid on February 3, 2023 to shareholders of record at the close of business on January 20, 2023. The balance of dividends payable included in </w:t>
      </w:r>
      <w:r>
        <w:rPr>
          <w:rFonts w:ascii="Arial" w:cs="Arial" w:eastAsia="Arial" w:hAnsi="Arial"/>
          <w:sz w:val="13"/>
          <w:szCs w:val="13"/>
          <w:i w:val="1"/>
          <w:iCs w:val="1"/>
          <w:color w:val="auto"/>
        </w:rPr>
        <w:t>Other current liabilities</w:t>
      </w:r>
      <w:r>
        <w:rPr>
          <w:rFonts w:ascii="Arial" w:cs="Arial" w:eastAsia="Arial" w:hAnsi="Arial"/>
          <w:sz w:val="13"/>
          <w:szCs w:val="13"/>
          <w:color w:val="auto"/>
        </w:rPr>
        <w:t xml:space="preserve"> on our Consolidated Balance Sheets was $36.2 million at December 31, 2022. Dividends paid per ordinary share were $0.84, $0.80 and $0.76 for the years ended December 31, 2022, 2021 and 2020, respectively.</w:t>
      </w:r>
    </w:p>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13.</w:t>
      </w:r>
      <w:r>
        <w:rPr>
          <w:sz w:val="20"/>
          <w:szCs w:val="20"/>
          <w:color w:val="auto"/>
        </w:rPr>
        <w:tab/>
      </w:r>
      <w:r>
        <w:rPr>
          <w:rFonts w:ascii="Arial" w:cs="Arial" w:eastAsia="Arial" w:hAnsi="Arial"/>
          <w:sz w:val="12"/>
          <w:szCs w:val="12"/>
          <w:b w:val="1"/>
          <w:bCs w:val="1"/>
          <w:color w:val="auto"/>
        </w:rPr>
        <w:t>Share Plans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Share-based compensation expense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Total share-based compensation expense for 2022, 2021 and 2020 was as follows: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9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4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2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80"/>
        </w:trPr>
        <w:tc>
          <w:tcPr>
            <w:tcW w:w="6940" w:type="dxa"/>
            <w:vAlign w:val="bottom"/>
          </w:tcPr>
          <w:p>
            <w:pPr>
              <w:spacing w:after="0"/>
              <w:rPr>
                <w:sz w:val="20"/>
                <w:szCs w:val="20"/>
                <w:color w:val="auto"/>
              </w:rPr>
            </w:pPr>
            <w:r>
              <w:rPr>
                <w:rFonts w:ascii="Arial" w:cs="Arial" w:eastAsia="Arial" w:hAnsi="Arial"/>
                <w:sz w:val="14"/>
                <w:szCs w:val="14"/>
                <w:color w:val="auto"/>
              </w:rPr>
              <w:t>Stock options</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w:t>
            </w:r>
          </w:p>
        </w:tc>
        <w:tc>
          <w:tcPr>
            <w:tcW w:w="3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80"/>
        </w:trPr>
        <w:tc>
          <w:tcPr>
            <w:tcW w:w="6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Performance share units</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171"/>
        </w:trPr>
        <w:tc>
          <w:tcPr>
            <w:tcW w:w="6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share-based compensation expense</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2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incentive plans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Non-qualified and incentive stock options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Under the 2020 Share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shares and restricted stock units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2020 Share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appreciation rights, performance shares and performance units</w:t>
      </w:r>
    </w:p>
    <w:p>
      <w:pPr>
        <w:spacing w:after="0" w:line="1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Under the 2020 Share Plan, the Committee is permitted to issue these awards which are generally contingent on the achievement of predetermined performance goals over a vesting period of three years. The Committee has the ability to adjust performance goals or modify the manner of measuring or evaluating a performance goal using its discretion.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performance metrics during the vesting period.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stock option activity under all plans for the year ended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269"/>
              <w:spacing w:after="0" w:line="149" w:lineRule="exact"/>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1160" w:type="dxa"/>
            <w:vAlign w:val="bottom"/>
            <w:vMerge w:val="restart"/>
          </w:tcPr>
          <w:p>
            <w:pPr>
              <w:jc w:val="center"/>
              <w:ind w:right="18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269"/>
              <w:spacing w:after="0" w:line="138"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2"/>
              </w:rPr>
              <w:t>remaining</w:t>
            </w:r>
          </w:p>
        </w:tc>
        <w:tc>
          <w:tcPr>
            <w:tcW w:w="4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249"/>
              <w:spacing w:after="0" w:line="138" w:lineRule="exact"/>
              <w:rPr>
                <w:sz w:val="20"/>
                <w:szCs w:val="20"/>
                <w:color w:val="auto"/>
              </w:rPr>
            </w:pPr>
            <w:r>
              <w:rPr>
                <w:rFonts w:ascii="Arial" w:cs="Arial" w:eastAsia="Arial" w:hAnsi="Arial"/>
                <w:sz w:val="14"/>
                <w:szCs w:val="14"/>
                <w:b w:val="1"/>
                <w:bCs w:val="1"/>
                <w:color w:val="auto"/>
                <w:w w:val="85"/>
              </w:rPr>
              <w:t>exercise</w:t>
            </w:r>
          </w:p>
        </w:tc>
        <w:tc>
          <w:tcPr>
            <w:tcW w:w="1320" w:type="dxa"/>
            <w:vAlign w:val="bottom"/>
          </w:tcPr>
          <w:p>
            <w:pPr>
              <w:jc w:val="center"/>
              <w:spacing w:after="0" w:line="138" w:lineRule="exact"/>
              <w:rPr>
                <w:sz w:val="20"/>
                <w:szCs w:val="20"/>
                <w:color w:val="auto"/>
              </w:rPr>
            </w:pPr>
            <w:r>
              <w:rPr>
                <w:rFonts w:ascii="Arial" w:cs="Arial" w:eastAsia="Arial" w:hAnsi="Arial"/>
                <w:sz w:val="14"/>
                <w:szCs w:val="14"/>
                <w:b w:val="1"/>
                <w:bCs w:val="1"/>
                <w:color w:val="auto"/>
                <w:w w:val="90"/>
              </w:rPr>
              <w:t>contractual life</w:t>
            </w:r>
          </w:p>
        </w:tc>
        <w:tc>
          <w:tcPr>
            <w:tcW w:w="420" w:type="dxa"/>
            <w:vAlign w:val="bottom"/>
          </w:tcPr>
          <w:p>
            <w:pPr>
              <w:spacing w:after="0"/>
              <w:rPr>
                <w:sz w:val="11"/>
                <w:szCs w:val="11"/>
                <w:color w:val="auto"/>
              </w:rPr>
            </w:pPr>
          </w:p>
        </w:tc>
        <w:tc>
          <w:tcPr>
            <w:tcW w:w="1160" w:type="dxa"/>
            <w:vAlign w:val="bottom"/>
          </w:tcPr>
          <w:p>
            <w:pPr>
              <w:jc w:val="center"/>
              <w:ind w:right="189"/>
              <w:spacing w:after="0" w:line="138"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91"/>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Shares and intrinsic value in millions</w:t>
            </w:r>
          </w:p>
        </w:tc>
        <w:tc>
          <w:tcPr>
            <w:tcW w:w="266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w w:val="95"/>
              </w:rPr>
              <w:t>Number of shares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69"/>
              <w:spacing w:after="0"/>
              <w:rPr>
                <w:sz w:val="20"/>
                <w:szCs w:val="20"/>
                <w:color w:val="auto"/>
              </w:rPr>
            </w:pPr>
            <w:r>
              <w:rPr>
                <w:rFonts w:ascii="Arial" w:cs="Arial" w:eastAsia="Arial" w:hAnsi="Arial"/>
                <w:sz w:val="14"/>
                <w:szCs w:val="14"/>
                <w:b w:val="1"/>
                <w:bCs w:val="1"/>
                <w:color w:val="auto"/>
                <w:w w:val="89"/>
              </w:rPr>
              <w:t>price</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1, 2022</w:t>
            </w:r>
          </w:p>
        </w:tc>
        <w:tc>
          <w:tcPr>
            <w:tcW w:w="2660" w:type="dxa"/>
            <w:vAlign w:val="bottom"/>
            <w:shd w:val="clear" w:color="auto" w:fill="CCEEFF"/>
          </w:tcPr>
          <w:p>
            <w:pPr>
              <w:jc w:val="center"/>
              <w:ind w:left="2289"/>
              <w:spacing w:after="0"/>
              <w:rPr>
                <w:sz w:val="20"/>
                <w:szCs w:val="20"/>
                <w:color w:val="auto"/>
              </w:rPr>
            </w:pPr>
            <w:r>
              <w:rPr>
                <w:rFonts w:ascii="Arial" w:cs="Arial" w:eastAsia="Arial" w:hAnsi="Arial"/>
                <w:sz w:val="14"/>
                <w:szCs w:val="14"/>
                <w:color w:val="auto"/>
                <w:w w:val="92"/>
              </w:rPr>
              <w:t>2.2</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42.86</w:t>
            </w:r>
          </w:p>
        </w:tc>
        <w:tc>
          <w:tcPr>
            <w:tcW w:w="13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80" w:type="dxa"/>
            <w:vAlign w:val="bottom"/>
          </w:tcPr>
          <w:p>
            <w:pPr>
              <w:ind w:left="20"/>
              <w:spacing w:after="0"/>
              <w:rPr>
                <w:sz w:val="20"/>
                <w:szCs w:val="20"/>
                <w:color w:val="auto"/>
              </w:rPr>
            </w:pPr>
            <w:r>
              <w:rPr>
                <w:rFonts w:ascii="Arial" w:cs="Arial" w:eastAsia="Arial" w:hAnsi="Arial"/>
                <w:sz w:val="14"/>
                <w:szCs w:val="14"/>
                <w:color w:val="auto"/>
              </w:rPr>
              <w:t>Granted</w:t>
            </w:r>
          </w:p>
        </w:tc>
        <w:tc>
          <w:tcPr>
            <w:tcW w:w="2660" w:type="dxa"/>
            <w:vAlign w:val="bottom"/>
          </w:tcPr>
          <w:p>
            <w:pPr>
              <w:jc w:val="center"/>
              <w:ind w:left="2289"/>
              <w:spacing w:after="0"/>
              <w:rPr>
                <w:sz w:val="20"/>
                <w:szCs w:val="20"/>
                <w:color w:val="auto"/>
              </w:rPr>
            </w:pPr>
            <w:r>
              <w:rPr>
                <w:rFonts w:ascii="Arial" w:cs="Arial" w:eastAsia="Arial" w:hAnsi="Arial"/>
                <w:sz w:val="14"/>
                <w:szCs w:val="14"/>
                <w:color w:val="auto"/>
                <w:w w:val="92"/>
              </w:rPr>
              <w:t>0.3</w:t>
            </w:r>
          </w:p>
        </w:tc>
        <w:tc>
          <w:tcPr>
            <w:tcW w:w="180" w:type="dxa"/>
            <w:vAlign w:val="bottom"/>
          </w:tcPr>
          <w:p>
            <w:pPr>
              <w:spacing w:after="0"/>
              <w:rPr>
                <w:sz w:val="15"/>
                <w:szCs w:val="15"/>
                <w:color w:val="auto"/>
              </w:rPr>
            </w:pPr>
          </w:p>
        </w:tc>
        <w:tc>
          <w:tcPr>
            <w:tcW w:w="1160" w:type="dxa"/>
            <w:vAlign w:val="bottom"/>
          </w:tcPr>
          <w:p>
            <w:pPr>
              <w:jc w:val="right"/>
              <w:ind w:right="129"/>
              <w:spacing w:after="0"/>
              <w:rPr>
                <w:sz w:val="20"/>
                <w:szCs w:val="20"/>
                <w:color w:val="auto"/>
              </w:rPr>
            </w:pPr>
            <w:r>
              <w:rPr>
                <w:rFonts w:ascii="Arial" w:cs="Arial" w:eastAsia="Arial" w:hAnsi="Arial"/>
                <w:sz w:val="14"/>
                <w:szCs w:val="14"/>
                <w:color w:val="auto"/>
              </w:rPr>
              <w:t>65.67</w:t>
            </w:r>
          </w:p>
        </w:tc>
        <w:tc>
          <w:tcPr>
            <w:tcW w:w="1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2660" w:type="dxa"/>
            <w:vAlign w:val="bottom"/>
            <w:shd w:val="clear" w:color="auto" w:fill="CCEEFF"/>
          </w:tcPr>
          <w:p>
            <w:pPr>
              <w:jc w:val="center"/>
              <w:ind w:left="2269"/>
              <w:spacing w:after="0"/>
              <w:rPr>
                <w:sz w:val="20"/>
                <w:szCs w:val="20"/>
                <w:color w:val="auto"/>
              </w:rPr>
            </w:pPr>
            <w:r>
              <w:rPr>
                <w:rFonts w:ascii="Arial" w:cs="Arial" w:eastAsia="Arial" w:hAnsi="Arial"/>
                <w:sz w:val="14"/>
                <w:szCs w:val="14"/>
                <w:color w:val="auto"/>
                <w:w w:val="97"/>
              </w:rPr>
              <w:t>(0.1)</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39.44</w:t>
            </w:r>
          </w:p>
        </w:tc>
        <w:tc>
          <w:tcPr>
            <w:tcW w:w="1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2660" w:type="dxa"/>
            <w:vAlign w:val="bottom"/>
            <w:tcBorders>
              <w:bottom w:val="single" w:sz="8" w:color="auto"/>
            </w:tcBorders>
          </w:tcPr>
          <w:p>
            <w:pPr>
              <w:jc w:val="center"/>
              <w:ind w:left="2269"/>
              <w:spacing w:after="0"/>
              <w:rPr>
                <w:sz w:val="20"/>
                <w:szCs w:val="20"/>
                <w:color w:val="auto"/>
              </w:rPr>
            </w:pPr>
            <w:r>
              <w:rPr>
                <w:rFonts w:ascii="Arial" w:cs="Arial" w:eastAsia="Arial" w:hAnsi="Arial"/>
                <w:sz w:val="14"/>
                <w:szCs w:val="14"/>
                <w:color w:val="auto"/>
                <w:w w:val="97"/>
              </w:rPr>
              <w:t>(0.1)</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52.45</w:t>
            </w:r>
          </w:p>
        </w:tc>
        <w:tc>
          <w:tcPr>
            <w:tcW w:w="1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2022</w:t>
            </w:r>
          </w:p>
        </w:tc>
        <w:tc>
          <w:tcPr>
            <w:tcW w:w="2660" w:type="dxa"/>
            <w:vAlign w:val="bottom"/>
            <w:tcBorders>
              <w:bottom w:val="single" w:sz="8" w:color="auto"/>
            </w:tcBorders>
            <w:shd w:val="clear" w:color="auto" w:fill="CCEEFF"/>
          </w:tcPr>
          <w:p>
            <w:pPr>
              <w:jc w:val="center"/>
              <w:ind w:left="2289"/>
              <w:spacing w:after="0"/>
              <w:rPr>
                <w:sz w:val="20"/>
                <w:szCs w:val="20"/>
                <w:color w:val="auto"/>
              </w:rPr>
            </w:pPr>
            <w:r>
              <w:rPr>
                <w:rFonts w:ascii="Arial" w:cs="Arial" w:eastAsia="Arial" w:hAnsi="Arial"/>
                <w:sz w:val="14"/>
                <w:szCs w:val="14"/>
                <w:color w:val="auto"/>
                <w:w w:val="92"/>
              </w:rPr>
              <w:t>2.3</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45.16</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4.8</w:t>
            </w:r>
          </w:p>
        </w:tc>
        <w:tc>
          <w:tcPr>
            <w:tcW w:w="4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80" w:type="dxa"/>
            <w:vAlign w:val="bottom"/>
          </w:tcPr>
          <w:p>
            <w:pPr>
              <w:ind w:left="20"/>
              <w:spacing w:after="0" w:line="143" w:lineRule="exact"/>
              <w:rPr>
                <w:sz w:val="20"/>
                <w:szCs w:val="20"/>
                <w:color w:val="auto"/>
              </w:rPr>
            </w:pPr>
            <w:r>
              <w:rPr>
                <w:rFonts w:ascii="Arial" w:cs="Arial" w:eastAsia="Arial" w:hAnsi="Arial"/>
                <w:sz w:val="14"/>
                <w:szCs w:val="14"/>
                <w:color w:val="auto"/>
              </w:rPr>
              <w:t>Options exercisable as of December 31, 2022</w:t>
            </w:r>
          </w:p>
        </w:tc>
        <w:tc>
          <w:tcPr>
            <w:tcW w:w="2660" w:type="dxa"/>
            <w:vAlign w:val="bottom"/>
          </w:tcPr>
          <w:p>
            <w:pPr>
              <w:jc w:val="center"/>
              <w:ind w:left="2289"/>
              <w:spacing w:after="0" w:line="143" w:lineRule="exact"/>
              <w:rPr>
                <w:sz w:val="20"/>
                <w:szCs w:val="20"/>
                <w:color w:val="auto"/>
              </w:rPr>
            </w:pPr>
            <w:r>
              <w:rPr>
                <w:rFonts w:ascii="Arial" w:cs="Arial" w:eastAsia="Arial" w:hAnsi="Arial"/>
                <w:sz w:val="14"/>
                <w:szCs w:val="14"/>
                <w:color w:val="auto"/>
                <w:w w:val="92"/>
              </w:rPr>
              <w:t>1.8</w:t>
            </w:r>
          </w:p>
        </w:tc>
        <w:tc>
          <w:tcPr>
            <w:tcW w:w="180" w:type="dxa"/>
            <w:vAlign w:val="bottom"/>
          </w:tcPr>
          <w:p>
            <w:pPr>
              <w:jc w:val="right"/>
              <w:ind w:right="29"/>
              <w:spacing w:after="0" w:line="143"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29"/>
              <w:spacing w:after="0" w:line="143" w:lineRule="exact"/>
              <w:rPr>
                <w:sz w:val="20"/>
                <w:szCs w:val="20"/>
                <w:color w:val="auto"/>
              </w:rPr>
            </w:pPr>
            <w:r>
              <w:rPr>
                <w:rFonts w:ascii="Arial" w:cs="Arial" w:eastAsia="Arial" w:hAnsi="Arial"/>
                <w:sz w:val="14"/>
                <w:szCs w:val="14"/>
                <w:color w:val="auto"/>
              </w:rPr>
              <w:t>41.69</w:t>
            </w:r>
          </w:p>
        </w:tc>
        <w:tc>
          <w:tcPr>
            <w:tcW w:w="1320" w:type="dxa"/>
            <w:vAlign w:val="bottom"/>
          </w:tcPr>
          <w:p>
            <w:pPr>
              <w:jc w:val="center"/>
              <w:spacing w:after="0" w:line="143" w:lineRule="exact"/>
              <w:rPr>
                <w:sz w:val="20"/>
                <w:szCs w:val="20"/>
                <w:color w:val="auto"/>
              </w:rPr>
            </w:pPr>
            <w:r>
              <w:rPr>
                <w:rFonts w:ascii="Arial" w:cs="Arial" w:eastAsia="Arial" w:hAnsi="Arial"/>
                <w:sz w:val="14"/>
                <w:szCs w:val="14"/>
                <w:color w:val="auto"/>
                <w:w w:val="92"/>
              </w:rPr>
              <w:t>3.9</w:t>
            </w:r>
          </w:p>
        </w:tc>
        <w:tc>
          <w:tcPr>
            <w:tcW w:w="420" w:type="dxa"/>
            <w:vAlign w:val="bottom"/>
          </w:tcPr>
          <w:p>
            <w:pPr>
              <w:jc w:val="right"/>
              <w:ind w:right="89"/>
              <w:spacing w:after="0" w:line="143"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3"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1"/>
        </w:trPr>
        <w:tc>
          <w:tcPr>
            <w:tcW w:w="4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Options expected to vest as of December 31, 2022</w:t>
            </w:r>
          </w:p>
        </w:tc>
        <w:tc>
          <w:tcPr>
            <w:tcW w:w="2660" w:type="dxa"/>
            <w:vAlign w:val="bottom"/>
            <w:shd w:val="clear" w:color="auto" w:fill="CCEEFF"/>
          </w:tcPr>
          <w:p>
            <w:pPr>
              <w:jc w:val="center"/>
              <w:ind w:left="2289"/>
              <w:spacing w:after="0"/>
              <w:rPr>
                <w:sz w:val="20"/>
                <w:szCs w:val="20"/>
                <w:color w:val="auto"/>
              </w:rPr>
            </w:pPr>
            <w:r>
              <w:rPr>
                <w:rFonts w:ascii="Arial" w:cs="Arial" w:eastAsia="Arial" w:hAnsi="Arial"/>
                <w:sz w:val="14"/>
                <w:szCs w:val="14"/>
                <w:color w:val="auto"/>
                <w:w w:val="92"/>
              </w:rPr>
              <w:t>0.5</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57.44</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7.9</w:t>
            </w:r>
          </w:p>
        </w:tc>
        <w:tc>
          <w:tcPr>
            <w:tcW w:w="4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Fair value of options granted</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weighted average grant date fair value of options granted under Pentair plans in 2022, 2021 and 2020 was estimated to be $17.88, $12.88 and $9.55 per share, respectively. The total intrinsic value of options that were exercised during 2022, 2021 and 2020 was $0.7 million, $29.0 million and $18.0 million, respectively. At December 31, 2022, the total unrecognized compensation cost related to stock options was $3.9 million. This cost is expected to be recognized over a weighted average period of 1.9 years.</w:t>
      </w:r>
    </w:p>
    <w:p>
      <w:pPr>
        <w:spacing w:after="0" w:line="10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estimated the fair value of each stock option award issued in the annual share-based compensation grant using a Black-Scholes option pricing model, modified for dividends and using the following assumptions:</w:t>
      </w:r>
    </w:p>
    <w:p>
      <w:pPr>
        <w:spacing w:after="0" w:line="54"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Borders>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8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2021</w:t>
            </w:r>
          </w:p>
        </w:tc>
        <w:tc>
          <w:tcPr>
            <w:tcW w:w="124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r>
      <w:tr>
        <w:trPr>
          <w:trHeight w:val="17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Risk-free interest rate</w:t>
            </w:r>
          </w:p>
        </w:tc>
        <w:tc>
          <w:tcPr>
            <w:tcW w:w="8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1.18 %</w:t>
            </w:r>
          </w:p>
        </w:tc>
        <w:tc>
          <w:tcPr>
            <w:tcW w:w="16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0.37 %</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1.61 %</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Expected dividend yield</w:t>
            </w:r>
          </w:p>
        </w:tc>
        <w:tc>
          <w:tcPr>
            <w:tcW w:w="880" w:type="dxa"/>
            <w:vAlign w:val="bottom"/>
          </w:tcPr>
          <w:p>
            <w:pPr>
              <w:jc w:val="right"/>
              <w:ind w:right="269"/>
              <w:spacing w:after="0"/>
              <w:rPr>
                <w:sz w:val="20"/>
                <w:szCs w:val="20"/>
                <w:color w:val="auto"/>
              </w:rPr>
            </w:pPr>
            <w:r>
              <w:rPr>
                <w:rFonts w:ascii="Arial" w:cs="Arial" w:eastAsia="Arial" w:hAnsi="Arial"/>
                <w:sz w:val="14"/>
                <w:szCs w:val="14"/>
                <w:color w:val="auto"/>
              </w:rPr>
              <w:t>1.14 %</w:t>
            </w:r>
          </w:p>
        </w:tc>
        <w:tc>
          <w:tcPr>
            <w:tcW w:w="1600" w:type="dxa"/>
            <w:vAlign w:val="bottom"/>
          </w:tcPr>
          <w:p>
            <w:pPr>
              <w:jc w:val="right"/>
              <w:ind w:right="289"/>
              <w:spacing w:after="0"/>
              <w:rPr>
                <w:sz w:val="20"/>
                <w:szCs w:val="20"/>
                <w:color w:val="auto"/>
              </w:rPr>
            </w:pPr>
            <w:r>
              <w:rPr>
                <w:rFonts w:ascii="Arial" w:cs="Arial" w:eastAsia="Arial" w:hAnsi="Arial"/>
                <w:sz w:val="14"/>
                <w:szCs w:val="14"/>
                <w:color w:val="auto"/>
              </w:rPr>
              <w:t>1.56 %</w:t>
            </w:r>
          </w:p>
        </w:tc>
        <w:tc>
          <w:tcPr>
            <w:tcW w:w="1240" w:type="dxa"/>
            <w:vAlign w:val="bottom"/>
          </w:tcPr>
          <w:p>
            <w:pPr>
              <w:jc w:val="right"/>
              <w:spacing w:after="0"/>
              <w:rPr>
                <w:sz w:val="20"/>
                <w:szCs w:val="20"/>
                <w:color w:val="auto"/>
              </w:rPr>
            </w:pPr>
            <w:r>
              <w:rPr>
                <w:rFonts w:ascii="Arial" w:cs="Arial" w:eastAsia="Arial" w:hAnsi="Arial"/>
                <w:sz w:val="14"/>
                <w:szCs w:val="14"/>
                <w:color w:val="auto"/>
              </w:rPr>
              <w:t>1.80 %</w:t>
            </w:r>
          </w:p>
        </w:tc>
      </w:tr>
      <w:tr>
        <w:trPr>
          <w:trHeight w:val="181"/>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Expected share price volatility</w:t>
            </w:r>
          </w:p>
        </w:tc>
        <w:tc>
          <w:tcPr>
            <w:tcW w:w="88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29.60 %</w:t>
            </w:r>
          </w:p>
        </w:tc>
        <w:tc>
          <w:tcPr>
            <w:tcW w:w="160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29.60 %</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24.10 %</w:t>
            </w:r>
          </w:p>
        </w:tc>
      </w:tr>
      <w:tr>
        <w:trPr>
          <w:trHeight w:val="180"/>
        </w:trPr>
        <w:tc>
          <w:tcPr>
            <w:tcW w:w="7520" w:type="dxa"/>
            <w:vAlign w:val="bottom"/>
            <w:gridSpan w:val="2"/>
          </w:tcPr>
          <w:p>
            <w:pPr>
              <w:ind w:left="20"/>
              <w:spacing w:after="0"/>
              <w:rPr>
                <w:sz w:val="20"/>
                <w:szCs w:val="20"/>
                <w:color w:val="auto"/>
              </w:rPr>
            </w:pPr>
            <w:r>
              <w:rPr>
                <w:rFonts w:ascii="Arial" w:cs="Arial" w:eastAsia="Arial" w:hAnsi="Arial"/>
                <w:sz w:val="14"/>
                <w:szCs w:val="14"/>
                <w:color w:val="auto"/>
              </w:rPr>
              <w:t>Expected term (years)</w:t>
            </w:r>
          </w:p>
        </w:tc>
        <w:tc>
          <w:tcPr>
            <w:tcW w:w="880" w:type="dxa"/>
            <w:vAlign w:val="bottom"/>
          </w:tcPr>
          <w:p>
            <w:pPr>
              <w:jc w:val="right"/>
              <w:ind w:right="269"/>
              <w:spacing w:after="0"/>
              <w:rPr>
                <w:sz w:val="20"/>
                <w:szCs w:val="20"/>
                <w:color w:val="auto"/>
              </w:rPr>
            </w:pPr>
            <w:r>
              <w:rPr>
                <w:rFonts w:ascii="Arial" w:cs="Arial" w:eastAsia="Arial" w:hAnsi="Arial"/>
                <w:sz w:val="14"/>
                <w:szCs w:val="14"/>
                <w:color w:val="auto"/>
              </w:rPr>
              <w:t>6.4</w:t>
            </w:r>
          </w:p>
        </w:tc>
        <w:tc>
          <w:tcPr>
            <w:tcW w:w="1600" w:type="dxa"/>
            <w:vAlign w:val="bottom"/>
          </w:tcPr>
          <w:p>
            <w:pPr>
              <w:jc w:val="right"/>
              <w:ind w:right="289"/>
              <w:spacing w:after="0"/>
              <w:rPr>
                <w:sz w:val="20"/>
                <w:szCs w:val="20"/>
                <w:color w:val="auto"/>
              </w:rPr>
            </w:pPr>
            <w:r>
              <w:rPr>
                <w:rFonts w:ascii="Arial" w:cs="Arial" w:eastAsia="Arial" w:hAnsi="Arial"/>
                <w:sz w:val="14"/>
                <w:szCs w:val="14"/>
                <w:color w:val="auto"/>
              </w:rPr>
              <w:t>6.5</w:t>
            </w:r>
          </w:p>
        </w:tc>
        <w:tc>
          <w:tcPr>
            <w:tcW w:w="1240" w:type="dxa"/>
            <w:vAlign w:val="bottom"/>
          </w:tcPr>
          <w:p>
            <w:pPr>
              <w:jc w:val="right"/>
              <w:spacing w:after="0"/>
              <w:rPr>
                <w:sz w:val="20"/>
                <w:szCs w:val="20"/>
                <w:color w:val="auto"/>
              </w:rPr>
            </w:pPr>
            <w:r>
              <w:rPr>
                <w:rFonts w:ascii="Arial" w:cs="Arial" w:eastAsia="Arial" w:hAnsi="Arial"/>
                <w:sz w:val="14"/>
                <w:szCs w:val="14"/>
                <w:color w:val="auto"/>
              </w:rPr>
              <w:t>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These estimates require us to make assumptions based on historical results, observance of trends in our share price, changes in option exercise behavior, future expectations and other relevant factors.</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If other assumptions had been used, share-based compensation expense, as calculated and recorded under the accounting guidance, could have been affected.</w:t>
      </w:r>
    </w:p>
    <w:p>
      <w:pPr>
        <w:spacing w:after="0" w:line="12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based the expected life assumption on historical experience as well as the terms and vesting periods of the options granted. For purposes of determining expected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spacing w:after="0" w:line="9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Cash received from option exercises for the years ended December 31, 2022, 2021 and 2020 was $2.5 million, $29.3 million and $30.8 million, respectively. The tax benefit related to options exercised was $0.1 million, $6.2 million and $2.9 million for the years ended December 31, 2022, 2021 and 2020,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restricted stock unit activity under all plans for the year ended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1"/>
                <w:szCs w:val="11"/>
                <w:color w:val="auto"/>
              </w:rPr>
            </w:pPr>
          </w:p>
        </w:tc>
        <w:tc>
          <w:tcPr>
            <w:tcW w:w="4300" w:type="dxa"/>
            <w:vAlign w:val="bottom"/>
            <w:vMerge w:val="restart"/>
          </w:tcPr>
          <w:p>
            <w:pPr>
              <w:jc w:val="center"/>
              <w:ind w:left="3009"/>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1"/>
                <w:szCs w:val="11"/>
                <w:color w:val="auto"/>
              </w:rPr>
            </w:pPr>
          </w:p>
        </w:tc>
        <w:tc>
          <w:tcPr>
            <w:tcW w:w="1180" w:type="dxa"/>
            <w:vAlign w:val="bottom"/>
          </w:tcPr>
          <w:p>
            <w:pPr>
              <w:jc w:val="center"/>
              <w:ind w:right="149"/>
              <w:spacing w:after="0" w:line="13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1"/>
                <w:szCs w:val="11"/>
                <w:color w:val="auto"/>
              </w:rPr>
            </w:pPr>
          </w:p>
        </w:tc>
        <w:tc>
          <w:tcPr>
            <w:tcW w:w="4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69"/>
              <w:spacing w:after="0" w:line="138"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9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Shares in millions</w:t>
            </w:r>
          </w:p>
        </w:tc>
        <w:tc>
          <w:tcPr>
            <w:tcW w:w="4300" w:type="dxa"/>
            <w:vAlign w:val="bottom"/>
            <w:tcBorders>
              <w:bottom w:val="single" w:sz="8" w:color="auto"/>
            </w:tcBorders>
          </w:tcPr>
          <w:p>
            <w:pPr>
              <w:jc w:val="center"/>
              <w:ind w:left="3009"/>
              <w:spacing w:after="0"/>
              <w:rPr>
                <w:sz w:val="20"/>
                <w:szCs w:val="20"/>
                <w:color w:val="auto"/>
              </w:rPr>
            </w:pPr>
            <w:r>
              <w:rPr>
                <w:rFonts w:ascii="Arial" w:cs="Arial" w:eastAsia="Arial" w:hAnsi="Arial"/>
                <w:sz w:val="14"/>
                <w:szCs w:val="14"/>
                <w:b w:val="1"/>
                <w:bCs w:val="1"/>
                <w:color w:val="auto"/>
                <w:w w:val="84"/>
              </w:rPr>
              <w:t>shares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1, 2022</w:t>
            </w:r>
          </w:p>
        </w:tc>
        <w:tc>
          <w:tcPr>
            <w:tcW w:w="4300" w:type="dxa"/>
            <w:vAlign w:val="bottom"/>
            <w:shd w:val="clear" w:color="auto" w:fill="CCEEFF"/>
          </w:tcPr>
          <w:p>
            <w:pPr>
              <w:jc w:val="center"/>
              <w:ind w:left="3969"/>
              <w:spacing w:after="0"/>
              <w:rPr>
                <w:sz w:val="20"/>
                <w:szCs w:val="20"/>
                <w:color w:val="auto"/>
              </w:rPr>
            </w:pPr>
            <w:r>
              <w:rPr>
                <w:rFonts w:ascii="Arial" w:cs="Arial" w:eastAsia="Arial" w:hAnsi="Arial"/>
                <w:sz w:val="14"/>
                <w:szCs w:val="14"/>
                <w:color w:val="auto"/>
                <w:w w:val="92"/>
              </w:rPr>
              <w:t>0.6</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47.78</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Arial" w:cs="Arial" w:eastAsia="Arial" w:hAnsi="Arial"/>
                <w:sz w:val="14"/>
                <w:szCs w:val="14"/>
                <w:color w:val="auto"/>
              </w:rPr>
              <w:t>Granted</w:t>
            </w:r>
          </w:p>
        </w:tc>
        <w:tc>
          <w:tcPr>
            <w:tcW w:w="4300" w:type="dxa"/>
            <w:vAlign w:val="bottom"/>
          </w:tcPr>
          <w:p>
            <w:pPr>
              <w:jc w:val="center"/>
              <w:ind w:left="3969"/>
              <w:spacing w:after="0"/>
              <w:rPr>
                <w:sz w:val="20"/>
                <w:szCs w:val="20"/>
                <w:color w:val="auto"/>
              </w:rPr>
            </w:pPr>
            <w:r>
              <w:rPr>
                <w:rFonts w:ascii="Arial" w:cs="Arial" w:eastAsia="Arial" w:hAnsi="Arial"/>
                <w:sz w:val="14"/>
                <w:szCs w:val="14"/>
                <w:color w:val="auto"/>
                <w:w w:val="92"/>
              </w:rPr>
              <w:t>0.3</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181"/>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4300" w:type="dxa"/>
            <w:vAlign w:val="bottom"/>
            <w:shd w:val="clear" w:color="auto" w:fill="CCEEFF"/>
          </w:tcPr>
          <w:p>
            <w:pPr>
              <w:jc w:val="center"/>
              <w:ind w:left="3929"/>
              <w:spacing w:after="0"/>
              <w:rPr>
                <w:sz w:val="20"/>
                <w:szCs w:val="20"/>
                <w:color w:val="auto"/>
              </w:rPr>
            </w:pPr>
            <w:r>
              <w:rPr>
                <w:rFonts w:ascii="Arial" w:cs="Arial" w:eastAsia="Arial" w:hAnsi="Arial"/>
                <w:sz w:val="14"/>
                <w:szCs w:val="14"/>
                <w:color w:val="auto"/>
                <w:w w:val="90"/>
              </w:rPr>
              <w:t>(0.2)</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47.18</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Forfeited</w:t>
            </w:r>
          </w:p>
        </w:tc>
        <w:tc>
          <w:tcPr>
            <w:tcW w:w="4300" w:type="dxa"/>
            <w:vAlign w:val="bottom"/>
            <w:tcBorders>
              <w:bottom w:val="single" w:sz="8" w:color="auto"/>
            </w:tcBorders>
          </w:tcPr>
          <w:p>
            <w:pPr>
              <w:jc w:val="center"/>
              <w:ind w:left="3929"/>
              <w:spacing w:after="0"/>
              <w:rPr>
                <w:sz w:val="20"/>
                <w:szCs w:val="20"/>
                <w:color w:val="auto"/>
              </w:rPr>
            </w:pPr>
            <w:r>
              <w:rPr>
                <w:rFonts w:ascii="Arial" w:cs="Arial" w:eastAsia="Arial" w:hAnsi="Arial"/>
                <w:sz w:val="14"/>
                <w:szCs w:val="14"/>
                <w:color w:val="auto"/>
                <w:w w:val="90"/>
              </w:rPr>
              <w:t>(0.1)</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196"/>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Outstanding as of December 31, 2022</w:t>
            </w:r>
          </w:p>
        </w:tc>
        <w:tc>
          <w:tcPr>
            <w:tcW w:w="4300" w:type="dxa"/>
            <w:vAlign w:val="bottom"/>
            <w:tcBorders>
              <w:bottom w:val="single" w:sz="8" w:color="auto"/>
            </w:tcBorders>
            <w:shd w:val="clear" w:color="auto" w:fill="CCEEFF"/>
          </w:tcPr>
          <w:p>
            <w:pPr>
              <w:jc w:val="center"/>
              <w:ind w:left="3969"/>
              <w:spacing w:after="0"/>
              <w:rPr>
                <w:sz w:val="20"/>
                <w:szCs w:val="20"/>
                <w:color w:val="auto"/>
              </w:rPr>
            </w:pPr>
            <w:r>
              <w:rPr>
                <w:rFonts w:ascii="Arial" w:cs="Arial" w:eastAsia="Arial" w:hAnsi="Arial"/>
                <w:sz w:val="14"/>
                <w:szCs w:val="14"/>
                <w:color w:val="auto"/>
                <w:w w:val="92"/>
              </w:rPr>
              <w:t>0.6</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auto"/>
            </w:tcBorders>
          </w:tcPr>
          <w:p>
            <w:pPr>
              <w:spacing w:after="0" w:line="20" w:lineRule="exact"/>
              <w:rPr>
                <w:sz w:val="1"/>
                <w:szCs w:val="1"/>
                <w:color w:val="auto"/>
              </w:rPr>
            </w:pPr>
          </w:p>
        </w:tc>
        <w:tc>
          <w:tcPr>
            <w:tcW w:w="4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December 31, 2022, there was $20.0 million of unrecognized compensation cost related to restricted share compensation arrangements granted under the 2020 Plan and previous plans. That cost is expected to be recognized over a weighted-average period of 0.8 years. The total fair value of shares vested during the years ended December 31, 2022, 2021 and 2020, was $11.7 million, $10.5 million and $11.2 million, respectively. The tax benefit related to restricted stock units vested was $2.1 million and $0.6 million for the years ended December 31, 2022 and 2021, respectively. There was no tax benefit realized for the year ended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Performance share units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performance share unit activity under all plans for the year ended December 31, 2022:</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1"/>
                <w:szCs w:val="11"/>
                <w:color w:val="auto"/>
              </w:rPr>
            </w:pPr>
          </w:p>
        </w:tc>
        <w:tc>
          <w:tcPr>
            <w:tcW w:w="4300" w:type="dxa"/>
            <w:vAlign w:val="bottom"/>
            <w:vMerge w:val="restart"/>
          </w:tcPr>
          <w:p>
            <w:pPr>
              <w:jc w:val="center"/>
              <w:ind w:left="3009"/>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1"/>
                <w:szCs w:val="11"/>
                <w:color w:val="auto"/>
              </w:rPr>
            </w:pPr>
          </w:p>
        </w:tc>
        <w:tc>
          <w:tcPr>
            <w:tcW w:w="1180" w:type="dxa"/>
            <w:vAlign w:val="bottom"/>
          </w:tcPr>
          <w:p>
            <w:pPr>
              <w:jc w:val="center"/>
              <w:ind w:right="149"/>
              <w:spacing w:after="0" w:line="138"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1"/>
                <w:szCs w:val="11"/>
                <w:color w:val="auto"/>
              </w:rPr>
            </w:pPr>
          </w:p>
        </w:tc>
        <w:tc>
          <w:tcPr>
            <w:tcW w:w="43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jc w:val="center"/>
              <w:ind w:right="169"/>
              <w:spacing w:after="0" w:line="138"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9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Shares in millions</w:t>
            </w:r>
          </w:p>
        </w:tc>
        <w:tc>
          <w:tcPr>
            <w:tcW w:w="4300" w:type="dxa"/>
            <w:vAlign w:val="bottom"/>
            <w:tcBorders>
              <w:bottom w:val="single" w:sz="8" w:color="auto"/>
            </w:tcBorders>
          </w:tcPr>
          <w:p>
            <w:pPr>
              <w:jc w:val="center"/>
              <w:ind w:left="3009"/>
              <w:spacing w:after="0"/>
              <w:rPr>
                <w:sz w:val="20"/>
                <w:szCs w:val="20"/>
                <w:color w:val="auto"/>
              </w:rPr>
            </w:pPr>
            <w:r>
              <w:rPr>
                <w:rFonts w:ascii="Arial" w:cs="Arial" w:eastAsia="Arial" w:hAnsi="Arial"/>
                <w:sz w:val="14"/>
                <w:szCs w:val="14"/>
                <w:b w:val="1"/>
                <w:bCs w:val="1"/>
                <w:color w:val="auto"/>
                <w:w w:val="84"/>
              </w:rPr>
              <w:t>shares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9"/>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January 1, 2022</w:t>
            </w:r>
          </w:p>
        </w:tc>
        <w:tc>
          <w:tcPr>
            <w:tcW w:w="4300" w:type="dxa"/>
            <w:vAlign w:val="bottom"/>
            <w:shd w:val="clear" w:color="auto" w:fill="CCEEFF"/>
          </w:tcPr>
          <w:p>
            <w:pPr>
              <w:jc w:val="center"/>
              <w:ind w:left="3969"/>
              <w:spacing w:after="0"/>
              <w:rPr>
                <w:sz w:val="20"/>
                <w:szCs w:val="20"/>
                <w:color w:val="auto"/>
              </w:rPr>
            </w:pPr>
            <w:r>
              <w:rPr>
                <w:rFonts w:ascii="Arial" w:cs="Arial" w:eastAsia="Arial" w:hAnsi="Arial"/>
                <w:sz w:val="14"/>
                <w:szCs w:val="14"/>
                <w:color w:val="auto"/>
                <w:w w:val="92"/>
              </w:rPr>
              <w:t>0.4</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45.55</w:t>
            </w:r>
          </w:p>
        </w:tc>
        <w:tc>
          <w:tcPr>
            <w:tcW w:w="0" w:type="dxa"/>
            <w:vAlign w:val="bottom"/>
          </w:tcPr>
          <w:p>
            <w:pPr>
              <w:spacing w:after="0"/>
              <w:rPr>
                <w:sz w:val="1"/>
                <w:szCs w:val="1"/>
                <w:color w:val="auto"/>
              </w:rPr>
            </w:pPr>
          </w:p>
        </w:tc>
      </w:tr>
      <w:tr>
        <w:trPr>
          <w:trHeight w:val="180"/>
        </w:trPr>
        <w:tc>
          <w:tcPr>
            <w:tcW w:w="5540" w:type="dxa"/>
            <w:vAlign w:val="bottom"/>
          </w:tcPr>
          <w:p>
            <w:pPr>
              <w:ind w:left="20"/>
              <w:spacing w:after="0"/>
              <w:rPr>
                <w:sz w:val="20"/>
                <w:szCs w:val="20"/>
                <w:color w:val="auto"/>
              </w:rPr>
            </w:pPr>
            <w:r>
              <w:rPr>
                <w:rFonts w:ascii="Arial" w:cs="Arial" w:eastAsia="Arial" w:hAnsi="Arial"/>
                <w:sz w:val="14"/>
                <w:szCs w:val="14"/>
                <w:color w:val="auto"/>
              </w:rPr>
              <w:t>Granted</w:t>
            </w:r>
          </w:p>
        </w:tc>
        <w:tc>
          <w:tcPr>
            <w:tcW w:w="4300" w:type="dxa"/>
            <w:vAlign w:val="bottom"/>
          </w:tcPr>
          <w:p>
            <w:pPr>
              <w:jc w:val="center"/>
              <w:ind w:left="3969"/>
              <w:spacing w:after="0"/>
              <w:rPr>
                <w:sz w:val="20"/>
                <w:szCs w:val="20"/>
                <w:color w:val="auto"/>
              </w:rPr>
            </w:pPr>
            <w:r>
              <w:rPr>
                <w:rFonts w:ascii="Arial" w:cs="Arial" w:eastAsia="Arial" w:hAnsi="Arial"/>
                <w:sz w:val="14"/>
                <w:szCs w:val="14"/>
                <w:color w:val="auto"/>
                <w:w w:val="92"/>
              </w:rPr>
              <w:t>0.1</w:t>
            </w:r>
          </w:p>
        </w:tc>
        <w:tc>
          <w:tcPr>
            <w:tcW w:w="2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68.19</w:t>
            </w:r>
          </w:p>
        </w:tc>
        <w:tc>
          <w:tcPr>
            <w:tcW w:w="0" w:type="dxa"/>
            <w:vAlign w:val="bottom"/>
          </w:tcPr>
          <w:p>
            <w:pPr>
              <w:spacing w:after="0"/>
              <w:rPr>
                <w:sz w:val="1"/>
                <w:szCs w:val="1"/>
                <w:color w:val="auto"/>
              </w:rPr>
            </w:pPr>
          </w:p>
        </w:tc>
      </w:tr>
      <w:tr>
        <w:trPr>
          <w:trHeight w:val="18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4300" w:type="dxa"/>
            <w:vAlign w:val="bottom"/>
            <w:tcBorders>
              <w:bottom w:val="single" w:sz="8" w:color="auto"/>
            </w:tcBorders>
            <w:shd w:val="clear" w:color="auto" w:fill="CCEEFF"/>
          </w:tcPr>
          <w:p>
            <w:pPr>
              <w:jc w:val="center"/>
              <w:ind w:left="3929"/>
              <w:spacing w:after="0"/>
              <w:rPr>
                <w:sz w:val="20"/>
                <w:szCs w:val="20"/>
                <w:color w:val="auto"/>
              </w:rPr>
            </w:pPr>
            <w:r>
              <w:rPr>
                <w:rFonts w:ascii="Arial" w:cs="Arial" w:eastAsia="Arial" w:hAnsi="Arial"/>
                <w:sz w:val="14"/>
                <w:szCs w:val="14"/>
                <w:color w:val="auto"/>
                <w:w w:val="90"/>
              </w:rPr>
              <w:t>(0.1)</w:t>
            </w:r>
          </w:p>
        </w:tc>
        <w:tc>
          <w:tcPr>
            <w:tcW w:w="2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38.54</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Outstanding as of December 31, 2022</w:t>
            </w:r>
          </w:p>
        </w:tc>
        <w:tc>
          <w:tcPr>
            <w:tcW w:w="4300" w:type="dxa"/>
            <w:vAlign w:val="bottom"/>
            <w:tcBorders>
              <w:bottom w:val="single" w:sz="8" w:color="auto"/>
            </w:tcBorders>
          </w:tcPr>
          <w:p>
            <w:pPr>
              <w:jc w:val="center"/>
              <w:ind w:left="3969"/>
              <w:spacing w:after="0"/>
              <w:rPr>
                <w:sz w:val="20"/>
                <w:szCs w:val="20"/>
                <w:color w:val="auto"/>
              </w:rPr>
            </w:pPr>
            <w:r>
              <w:rPr>
                <w:rFonts w:ascii="Arial" w:cs="Arial" w:eastAsia="Arial" w:hAnsi="Arial"/>
                <w:sz w:val="14"/>
                <w:szCs w:val="14"/>
                <w:color w:val="auto"/>
                <w:w w:val="92"/>
              </w:rPr>
              <w:t>0.4</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The expense recognized each period is dependent upon our estimate of the number of shares that will ultimately be issued. As of December 31, 2022, there was $11.8 million of unrecognized compensation cost related to performance share compensation arrangements granted under the 2020 Plan and previous plans. That cost is expected to be recognized over a weighted-average period of 1.2 years. The tax benefit related to performance share units was $0.3 million for the year ended December 31, 2022 and $0.1 million for each of the years ended December 31, 2021 and 2020.</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b w:val="1"/>
          <w:bCs w:val="1"/>
          <w:color w:val="auto"/>
        </w:rPr>
        <w:t>14.</w:t>
      </w:r>
      <w:r>
        <w:rPr>
          <w:sz w:val="20"/>
          <w:szCs w:val="20"/>
          <w:color w:val="auto"/>
        </w:rPr>
        <w:tab/>
      </w:r>
      <w:r>
        <w:rPr>
          <w:rFonts w:ascii="Arial" w:cs="Arial" w:eastAsia="Arial" w:hAnsi="Arial"/>
          <w:sz w:val="12"/>
          <w:szCs w:val="12"/>
          <w:b w:val="1"/>
          <w:bCs w:val="1"/>
          <w:color w:val="auto"/>
        </w:rPr>
        <w:t>Segment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We classify our operations into the following business segments:</w:t>
      </w:r>
    </w:p>
    <w:p>
      <w:pPr>
        <w:spacing w:after="0" w:line="126" w:lineRule="exact"/>
        <w:rPr>
          <w:sz w:val="20"/>
          <w:szCs w:val="20"/>
          <w:color w:val="auto"/>
        </w:rPr>
      </w:pPr>
    </w:p>
    <w:p>
      <w:pPr>
        <w:jc w:val="both"/>
        <w:ind w:left="520" w:hanging="260"/>
        <w:spacing w:after="0" w:line="280" w:lineRule="auto"/>
        <w:tabs>
          <w:tab w:leader="none" w:pos="516" w:val="left"/>
        </w:tabs>
        <w:numPr>
          <w:ilvl w:val="0"/>
          <w:numId w:val="49"/>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Consumer Solutions </w:t>
      </w:r>
      <w:r>
        <w:rPr>
          <w:rFonts w:ascii="Arial" w:cs="Arial" w:eastAsia="Arial" w:hAnsi="Arial"/>
          <w:sz w:val="13"/>
          <w:szCs w:val="13"/>
          <w:color w:val="auto"/>
        </w:rPr>
        <w:t>— This segment designs, manufactures and sells energy-efficient residential and commercial pool equipment and accessories, and commercial and residential water</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treatment products and systems. Residential and commercial pool equipment and accessories include pumps, filters, heaters, lights, automatic controls, automatic cleaners, maintenance equipment and pool accessories. Water treatment products and systems include pressure tanks, control valves, activated carbon products, commercial ice machines, conventional filtration products, and point-of-entry and point-of-use systems. Applications for our pool business’s products include residential and commercial pool maintenance, repair, renovation, service and construction. Our water treatment products and systems are used in residential whole home water filtration, drinking water filtration and water softening solutions in addition to commercial total water management and filtration in foodservice operations. In addition, our water solutions business also provides installation and preventative services for water management solutions for commercial operators. The primary focus of this segment is business-to-consumer.</w:t>
      </w:r>
    </w:p>
    <w:p>
      <w:pPr>
        <w:spacing w:after="0" w:line="94" w:lineRule="exact"/>
        <w:rPr>
          <w:rFonts w:ascii="Arial" w:cs="Arial" w:eastAsia="Arial" w:hAnsi="Arial"/>
          <w:sz w:val="13"/>
          <w:szCs w:val="13"/>
          <w:color w:val="auto"/>
        </w:rPr>
      </w:pPr>
    </w:p>
    <w:p>
      <w:pPr>
        <w:jc w:val="both"/>
        <w:ind w:left="520" w:hanging="260"/>
        <w:spacing w:after="0" w:line="262" w:lineRule="auto"/>
        <w:tabs>
          <w:tab w:leader="none" w:pos="516" w:val="left"/>
        </w:tabs>
        <w:numPr>
          <w:ilvl w:val="0"/>
          <w:numId w:val="4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Industrial &amp; Flow Technologies </w:t>
      </w:r>
      <w:r>
        <w:rPr>
          <w:rFonts w:ascii="Arial" w:cs="Arial" w:eastAsia="Arial" w:hAnsi="Arial"/>
          <w:sz w:val="14"/>
          <w:szCs w:val="14"/>
          <w:color w:val="auto"/>
        </w:rPr>
        <w:t>— This segment manufactures and sells a variety of fluid treatment and pump products and systems, including pressure vessels, gas recovery solutions,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membrane bioreactors, wastewater reuse systems and advanced membrane filtration, separation systems, water disposal pumps, water supply pumps, fluid transfer pumps, turbine pumps, solid handling pumps, and agricultural spray nozzles, while serving the global residential, commercial and industrial markets. These products and systems are used in a range of applications, fluid delivery, ion exchange, desalination, food and beverage, separation technologies for the oil and gas industry,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64"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residential and municipal wells, water treatment, wastewater solids handling, pressure boosting, circulation and transfer, fire suppression, flood control, agricultural irrigation and crop spray.</w:t>
      </w:r>
    </w:p>
    <w:p>
      <w:pPr>
        <w:spacing w:after="0" w:line="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primary focus of this segment is business-to-business.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and transformation activities, impairments and other unusual non-operating items.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by reportable segment is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r>
      <w:tr>
        <w:trPr>
          <w:trHeight w:val="171"/>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Net sales</w:t>
            </w: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Segment income (loss)</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71"/>
        </w:trPr>
        <w:tc>
          <w:tcPr>
            <w:tcW w:w="3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80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2,619.5</w:t>
            </w:r>
          </w:p>
        </w:tc>
        <w:tc>
          <w:tcPr>
            <w:tcW w:w="2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2,341.9</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ind w:left="640"/>
              <w:spacing w:after="0"/>
              <w:rPr>
                <w:sz w:val="20"/>
                <w:szCs w:val="20"/>
                <w:color w:val="auto"/>
              </w:rPr>
            </w:pPr>
            <w:r>
              <w:rPr>
                <w:rFonts w:ascii="Arial" w:cs="Arial" w:eastAsia="Arial" w:hAnsi="Arial"/>
                <w:sz w:val="14"/>
                <w:szCs w:val="14"/>
                <w:color w:val="auto"/>
                <w:w w:val="96"/>
              </w:rPr>
              <w:t>611.1</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554.4</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ind w:left="640"/>
              <w:spacing w:after="0"/>
              <w:rPr>
                <w:sz w:val="20"/>
                <w:szCs w:val="20"/>
                <w:color w:val="auto"/>
              </w:rPr>
            </w:pPr>
            <w:r>
              <w:rPr>
                <w:rFonts w:ascii="Arial" w:cs="Arial" w:eastAsia="Arial" w:hAnsi="Arial"/>
                <w:sz w:val="14"/>
                <w:szCs w:val="14"/>
                <w:color w:val="auto"/>
              </w:rPr>
              <w:t>419.1</w:t>
            </w:r>
          </w:p>
        </w:tc>
      </w:tr>
      <w:tr>
        <w:trPr>
          <w:trHeight w:val="180"/>
        </w:trPr>
        <w:tc>
          <w:tcPr>
            <w:tcW w:w="3260" w:type="dxa"/>
            <w:vAlign w:val="bottom"/>
          </w:tcPr>
          <w:p>
            <w:pPr>
              <w:ind w:left="20"/>
              <w:spacing w:after="0"/>
              <w:rPr>
                <w:sz w:val="20"/>
                <w:szCs w:val="20"/>
                <w:color w:val="auto"/>
              </w:rPr>
            </w:pPr>
            <w:r>
              <w:rPr>
                <w:rFonts w:ascii="Arial" w:cs="Arial" w:eastAsia="Arial" w:hAnsi="Arial"/>
                <w:sz w:val="14"/>
                <w:szCs w:val="14"/>
                <w:color w:val="auto"/>
              </w:rPr>
              <w:t>Industrial &amp; Flow Technologies</w:t>
            </w:r>
          </w:p>
        </w:tc>
        <w:tc>
          <w:tcPr>
            <w:tcW w:w="8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4"/>
              </w:rPr>
              <w:t>1,500.8</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1,421.4</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1,273.6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ind w:left="640"/>
              <w:spacing w:after="0"/>
              <w:rPr>
                <w:sz w:val="20"/>
                <w:szCs w:val="20"/>
                <w:color w:val="auto"/>
              </w:rPr>
            </w:pPr>
            <w:r>
              <w:rPr>
                <w:rFonts w:ascii="Arial" w:cs="Arial" w:eastAsia="Arial" w:hAnsi="Arial"/>
                <w:sz w:val="14"/>
                <w:szCs w:val="14"/>
                <w:color w:val="auto"/>
                <w:w w:val="96"/>
              </w:rPr>
              <w:t>242.3</w:t>
            </w:r>
          </w:p>
        </w:tc>
        <w:tc>
          <w:tcPr>
            <w:tcW w:w="32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4"/>
                <w:szCs w:val="14"/>
                <w:color w:val="auto"/>
              </w:rPr>
              <w:t>213.3</w:t>
            </w:r>
          </w:p>
        </w:tc>
        <w:tc>
          <w:tcPr>
            <w:tcW w:w="280" w:type="dxa"/>
            <w:vAlign w:val="bottom"/>
          </w:tcPr>
          <w:p>
            <w:pPr>
              <w:spacing w:after="0"/>
              <w:rPr>
                <w:sz w:val="15"/>
                <w:szCs w:val="15"/>
                <w:color w:val="auto"/>
              </w:rPr>
            </w:pPr>
          </w:p>
        </w:tc>
        <w:tc>
          <w:tcPr>
            <w:tcW w:w="1020" w:type="dxa"/>
            <w:vAlign w:val="bottom"/>
          </w:tcPr>
          <w:p>
            <w:pPr>
              <w:ind w:left="640"/>
              <w:spacing w:after="0"/>
              <w:rPr>
                <w:sz w:val="20"/>
                <w:szCs w:val="20"/>
                <w:color w:val="auto"/>
              </w:rPr>
            </w:pPr>
            <w:r>
              <w:rPr>
                <w:rFonts w:ascii="Arial" w:cs="Arial" w:eastAsia="Arial" w:hAnsi="Arial"/>
                <w:sz w:val="14"/>
                <w:szCs w:val="14"/>
                <w:color w:val="auto"/>
              </w:rPr>
              <w:t>164.6</w:t>
            </w:r>
          </w:p>
        </w:tc>
      </w:tr>
      <w:tr>
        <w:trPr>
          <w:trHeight w:val="180"/>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8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2"/>
              </w:rPr>
              <w:t>(85.7)</w:t>
            </w: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98"/>
              </w:rPr>
              <w:t>(81.8)</w:t>
            </w:r>
          </w:p>
        </w:tc>
        <w:tc>
          <w:tcPr>
            <w:tcW w:w="2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w w:val="92"/>
              </w:rPr>
              <w:t>(66.1)</w:t>
            </w:r>
          </w:p>
        </w:tc>
      </w:tr>
      <w:tr>
        <w:trPr>
          <w:trHeight w:val="171"/>
        </w:trPr>
        <w:tc>
          <w:tcPr>
            <w:tcW w:w="3260" w:type="dxa"/>
            <w:vAlign w:val="bottom"/>
            <w:tcBorders>
              <w:bottom w:val="single" w:sz="8" w:color="auto"/>
            </w:tcBorders>
          </w:tcPr>
          <w:p>
            <w:pPr>
              <w:ind w:left="20"/>
              <w:spacing w:after="0" w:line="171" w:lineRule="exact"/>
              <w:rPr>
                <w:sz w:val="20"/>
                <w:szCs w:val="20"/>
                <w:color w:val="auto"/>
              </w:rPr>
            </w:pPr>
            <w:r>
              <w:rPr>
                <w:rFonts w:ascii="Arial" w:cs="Arial" w:eastAsia="Arial" w:hAnsi="Arial"/>
                <w:sz w:val="14"/>
                <w:szCs w:val="14"/>
                <w:color w:val="auto"/>
              </w:rPr>
              <w:t xml:space="preserve">Consolidated </w:t>
            </w:r>
            <w:r>
              <w:rPr>
                <w:rFonts w:ascii="Arial" w:cs="Arial" w:eastAsia="Arial" w:hAnsi="Arial"/>
                <w:sz w:val="18"/>
                <w:szCs w:val="18"/>
                <w:color w:val="auto"/>
                <w:vertAlign w:val="superscript"/>
              </w:rPr>
              <w:t>(1)</w:t>
            </w:r>
          </w:p>
        </w:tc>
        <w:tc>
          <w:tcPr>
            <w:tcW w:w="80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4,121.8</w:t>
            </w:r>
          </w:p>
        </w:tc>
        <w:tc>
          <w:tcPr>
            <w:tcW w:w="2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3,764.8</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3,017.8</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w w:val="96"/>
              </w:rPr>
              <w:t>767.7</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685.9</w:t>
            </w: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517.6</w:t>
            </w:r>
          </w:p>
        </w:tc>
      </w:tr>
      <w:tr>
        <w:trPr>
          <w:trHeight w:val="20"/>
        </w:trPr>
        <w:tc>
          <w:tcPr>
            <w:tcW w:w="3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40" w:hanging="135"/>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1"/>
          <w:szCs w:val="11"/>
          <w:color w:val="auto"/>
        </w:rPr>
        <w:t>One customer in the Consumer Solutions’ pool business represented approximately 20%, 20%, and 15% of our consolidated net sales in 2022, 2021 and 2020,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2020</w:t>
            </w:r>
          </w:p>
        </w:tc>
      </w:tr>
      <w:tr>
        <w:trPr>
          <w:trHeight w:val="171"/>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69"/>
              <w:spacing w:after="0" w:line="171" w:lineRule="exact"/>
              <w:rPr>
                <w:sz w:val="20"/>
                <w:szCs w:val="20"/>
                <w:color w:val="auto"/>
              </w:rPr>
            </w:pPr>
            <w:r>
              <w:rPr>
                <w:rFonts w:ascii="Arial" w:cs="Arial" w:eastAsia="Arial" w:hAnsi="Arial"/>
                <w:sz w:val="14"/>
                <w:szCs w:val="14"/>
                <w:b w:val="1"/>
                <w:bCs w:val="1"/>
                <w:color w:val="auto"/>
              </w:rPr>
              <w:t xml:space="preserve">Identifiable assets </w:t>
            </w:r>
            <w:r>
              <w:rPr>
                <w:rFonts w:ascii="Arial" w:cs="Arial" w:eastAsia="Arial" w:hAnsi="Arial"/>
                <w:sz w:val="18"/>
                <w:szCs w:val="18"/>
                <w:b w:val="1"/>
                <w:bCs w:val="1"/>
                <w:color w:val="auto"/>
                <w:vertAlign w:val="superscript"/>
              </w:rPr>
              <w:t>(1)</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4"/>
                <w:szCs w:val="14"/>
                <w:b w:val="1"/>
                <w:bCs w:val="1"/>
                <w:color w:val="auto"/>
              </w:rPr>
              <w:t>Capital expenditures</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1"/>
              </w:rPr>
              <w:t>Depreciation</w:t>
            </w: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Consumer Solutions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4,496.7</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2,823.0</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2,327.9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180"/>
        </w:trPr>
        <w:tc>
          <w:tcPr>
            <w:tcW w:w="1880" w:type="dxa"/>
            <w:vAlign w:val="bottom"/>
          </w:tcPr>
          <w:p>
            <w:pPr>
              <w:ind w:left="20"/>
              <w:spacing w:after="0"/>
              <w:rPr>
                <w:sz w:val="20"/>
                <w:szCs w:val="20"/>
                <w:color w:val="auto"/>
              </w:rPr>
            </w:pPr>
            <w:r>
              <w:rPr>
                <w:rFonts w:ascii="Arial" w:cs="Arial" w:eastAsia="Arial" w:hAnsi="Arial"/>
                <w:sz w:val="14"/>
                <w:szCs w:val="14"/>
                <w:color w:val="auto"/>
                <w:w w:val="96"/>
              </w:rPr>
              <w:t>Industrial &amp; Flow Technologies</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1,722.4</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1,716.4</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1,661.7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w:t>
            </w:r>
          </w:p>
        </w:tc>
        <w:tc>
          <w:tcPr>
            <w:tcW w:w="2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23.0</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21.4</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80"/>
        </w:trPr>
        <w:tc>
          <w:tcPr>
            <w:tcW w:w="1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214.2</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10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171"/>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Consolidated</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6,447.5</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4,753.6</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4,197.2</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40" w:hanging="135"/>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1"/>
          <w:szCs w:val="11"/>
          <w:color w:val="auto"/>
        </w:rPr>
        <w:t>All cash and cash equivalents are included in “Other.”</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consolidated segment income to consolidated income from continuing operations before income taxes: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17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Segment income</w:t>
            </w:r>
          </w:p>
        </w:tc>
        <w:tc>
          <w:tcPr>
            <w:tcW w:w="308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767.7</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685.9</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20" w:type="dxa"/>
            <w:vAlign w:val="bottom"/>
          </w:tcPr>
          <w:p>
            <w:pPr>
              <w:spacing w:after="0"/>
              <w:rPr>
                <w:sz w:val="14"/>
                <w:szCs w:val="14"/>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Restructuring and other</w:t>
            </w:r>
          </w:p>
        </w:tc>
        <w:tc>
          <w:tcPr>
            <w:tcW w:w="3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(12.7)</w:t>
            </w:r>
          </w:p>
        </w:tc>
        <w:tc>
          <w:tcPr>
            <w:tcW w:w="20" w:type="dxa"/>
            <w:vAlign w:val="bottom"/>
          </w:tcPr>
          <w:p>
            <w:pPr>
              <w:spacing w:after="0"/>
              <w:rPr>
                <w:sz w:val="15"/>
                <w:szCs w:val="15"/>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Transformation costs</w:t>
            </w:r>
          </w:p>
        </w:tc>
        <w:tc>
          <w:tcPr>
            <w:tcW w:w="3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Inventory step-up</w:t>
            </w:r>
          </w:p>
        </w:tc>
        <w:tc>
          <w:tcPr>
            <w:tcW w:w="3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amortization</w:t>
            </w:r>
          </w:p>
        </w:tc>
        <w:tc>
          <w:tcPr>
            <w:tcW w:w="3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15"/>
                <w:szCs w:val="15"/>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Pension and other post-retirement mark-to-market gain (loss)</w:t>
            </w:r>
          </w:p>
        </w:tc>
        <w:tc>
          <w:tcPr>
            <w:tcW w:w="3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5"/>
                <w:szCs w:val="15"/>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 and write-offs</w:t>
            </w:r>
          </w:p>
        </w:tc>
        <w:tc>
          <w:tcPr>
            <w:tcW w:w="3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Gain (loss) on sale of businesses</w:t>
            </w:r>
          </w:p>
        </w:tc>
        <w:tc>
          <w:tcPr>
            <w:tcW w:w="3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0.2</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5"/>
                <w:szCs w:val="15"/>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Russia business exit impact</w:t>
            </w:r>
          </w:p>
        </w:tc>
        <w:tc>
          <w:tcPr>
            <w:tcW w:w="3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3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(61.8)</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(23.9)</w:t>
            </w:r>
          </w:p>
        </w:tc>
        <w:tc>
          <w:tcPr>
            <w:tcW w:w="20" w:type="dxa"/>
            <w:vAlign w:val="bottom"/>
          </w:tcPr>
          <w:p>
            <w:pPr>
              <w:spacing w:after="0"/>
              <w:rPr>
                <w:sz w:val="15"/>
                <w:szCs w:val="15"/>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Deal related costs and expenses</w:t>
            </w:r>
          </w:p>
        </w:tc>
        <w:tc>
          <w:tcPr>
            <w:tcW w:w="3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5"/>
                <w:szCs w:val="15"/>
                <w:color w:val="auto"/>
              </w:rPr>
            </w:pPr>
          </w:p>
        </w:tc>
      </w:tr>
      <w:tr>
        <w:trPr>
          <w:trHeight w:val="180"/>
        </w:trPr>
        <w:tc>
          <w:tcPr>
            <w:tcW w:w="4520" w:type="dxa"/>
            <w:vAlign w:val="bottom"/>
          </w:tcPr>
          <w:p>
            <w:pPr>
              <w:ind w:left="20"/>
              <w:spacing w:after="0"/>
              <w:rPr>
                <w:sz w:val="20"/>
                <w:szCs w:val="20"/>
                <w:color w:val="auto"/>
              </w:rPr>
            </w:pPr>
            <w:r>
              <w:rPr>
                <w:rFonts w:ascii="Arial" w:cs="Arial" w:eastAsia="Arial" w:hAnsi="Arial"/>
                <w:sz w:val="14"/>
                <w:szCs w:val="14"/>
                <w:color w:val="auto"/>
              </w:rPr>
              <w:t>COVID-19 related costs and expenses</w:t>
            </w:r>
          </w:p>
        </w:tc>
        <w:tc>
          <w:tcPr>
            <w:tcW w:w="30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5"/>
                <w:szCs w:val="15"/>
                <w:color w:val="auto"/>
              </w:rPr>
            </w:pPr>
          </w:p>
        </w:tc>
      </w:tr>
      <w:tr>
        <w:trPr>
          <w:trHeight w:val="181"/>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Legal accrual adjustments and settlements</w:t>
            </w:r>
          </w:p>
        </w:tc>
        <w:tc>
          <w:tcPr>
            <w:tcW w:w="30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8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expense</w:t>
            </w:r>
          </w:p>
        </w:tc>
        <w:tc>
          <w:tcPr>
            <w:tcW w:w="3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r>
      <w:tr>
        <w:trPr>
          <w:trHeight w:val="196"/>
        </w:trPr>
        <w:tc>
          <w:tcPr>
            <w:tcW w:w="4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taxes</w:t>
            </w:r>
          </w:p>
        </w:tc>
        <w:tc>
          <w:tcPr>
            <w:tcW w:w="308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550.6</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626.8</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432.1</w:t>
            </w:r>
          </w:p>
        </w:tc>
        <w:tc>
          <w:tcPr>
            <w:tcW w:w="20" w:type="dxa"/>
            <w:vAlign w:val="bottom"/>
          </w:tcPr>
          <w:p>
            <w:pPr>
              <w:spacing w:after="0"/>
              <w:rPr>
                <w:sz w:val="16"/>
                <w:szCs w:val="16"/>
                <w:color w:val="auto"/>
              </w:rPr>
            </w:pPr>
          </w:p>
        </w:tc>
      </w:tr>
      <w:tr>
        <w:trPr>
          <w:trHeight w:val="20"/>
        </w:trPr>
        <w:tc>
          <w:tcPr>
            <w:tcW w:w="4520" w:type="dxa"/>
            <w:vAlign w:val="bottom"/>
            <w:tcBorders>
              <w:top w:val="single" w:sz="8" w:color="CCEEFF"/>
              <w:bottom w:val="single" w:sz="8" w:color="auto"/>
            </w:tcBorders>
          </w:tcPr>
          <w:p>
            <w:pPr>
              <w:spacing w:after="0" w:line="20" w:lineRule="exact"/>
              <w:rPr>
                <w:sz w:val="1"/>
                <w:szCs w:val="1"/>
                <w:color w:val="auto"/>
              </w:rPr>
            </w:pPr>
          </w:p>
        </w:tc>
        <w:tc>
          <w:tcPr>
            <w:tcW w:w="3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22"/>
        </w:trPr>
        <w:tc>
          <w:tcPr>
            <w:tcW w:w="4520" w:type="dxa"/>
            <w:vAlign w:val="bottom"/>
          </w:tcPr>
          <w:p>
            <w:pPr>
              <w:spacing w:after="0"/>
              <w:rPr>
                <w:sz w:val="24"/>
                <w:szCs w:val="24"/>
                <w:color w:val="auto"/>
              </w:rPr>
            </w:pPr>
          </w:p>
        </w:tc>
        <w:tc>
          <w:tcPr>
            <w:tcW w:w="3080" w:type="dxa"/>
            <w:vAlign w:val="bottom"/>
          </w:tcPr>
          <w:p>
            <w:pPr>
              <w:jc w:val="right"/>
              <w:ind w:right="1809"/>
              <w:spacing w:after="0"/>
              <w:rPr>
                <w:sz w:val="20"/>
                <w:szCs w:val="20"/>
                <w:color w:val="auto"/>
              </w:rPr>
            </w:pPr>
            <w:r>
              <w:rPr>
                <w:rFonts w:ascii="Arial" w:cs="Arial" w:eastAsia="Arial" w:hAnsi="Arial"/>
                <w:sz w:val="14"/>
                <w:szCs w:val="14"/>
                <w:color w:val="auto"/>
              </w:rPr>
              <w:t>73</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520" w:type="dxa"/>
            <w:vAlign w:val="bottom"/>
            <w:tcBorders>
              <w:bottom w:val="single" w:sz="8" w:color="9A9A9A"/>
            </w:tcBorders>
          </w:tcPr>
          <w:p>
            <w:pPr>
              <w:spacing w:after="0"/>
              <w:rPr>
                <w:sz w:val="7"/>
                <w:szCs w:val="7"/>
                <w:color w:val="auto"/>
              </w:rPr>
            </w:pPr>
          </w:p>
        </w:tc>
        <w:tc>
          <w:tcPr>
            <w:tcW w:w="30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87" w:lineRule="exact"/>
        <w:rPr>
          <w:sz w:val="20"/>
          <w:szCs w:val="20"/>
          <w:color w:val="auto"/>
        </w:rPr>
      </w:pPr>
    </w:p>
    <w:p>
      <w:pPr>
        <w:ind w:right="8960" w:firstLine="5"/>
        <w:spacing w:after="0" w:line="263" w:lineRule="auto"/>
        <w:tabs>
          <w:tab w:leader="none" w:pos="318"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Legal proceedings</w:t>
      </w:r>
    </w:p>
    <w:p>
      <w:pPr>
        <w:jc w:val="both"/>
        <w:spacing w:after="0" w:line="259" w:lineRule="auto"/>
        <w:rPr>
          <w:rFonts w:ascii="Arial" w:cs="Arial" w:eastAsia="Arial" w:hAnsi="Arial"/>
          <w:sz w:val="14"/>
          <w:szCs w:val="14"/>
          <w:b w:val="1"/>
          <w:bCs w:val="1"/>
          <w:color w:val="auto"/>
        </w:rPr>
      </w:pPr>
      <w:r>
        <w:rPr>
          <w:rFonts w:ascii="Arial" w:cs="Arial" w:eastAsia="Arial" w:hAnsi="Arial"/>
          <w:sz w:val="14"/>
          <w:szCs w:val="14"/>
          <w:color w:val="auto"/>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Environmental matters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been named as defendant, target or a potentially responsible party in a number of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2022 and 2021, our recorded reserves for environmental matters were not material.</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Product liability claims</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lease portfolio principally consists of operating leases related to facilities, machinery, equipment and vehicles. Our accounting for lease terms does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These operating lease right-of-use (“ROU”) assets are included in </w:t>
      </w:r>
      <w:r>
        <w:rPr>
          <w:rFonts w:ascii="Arial" w:cs="Arial" w:eastAsia="Arial" w:hAnsi="Arial"/>
          <w:sz w:val="14"/>
          <w:szCs w:val="14"/>
          <w:i w:val="1"/>
          <w:iCs w:val="1"/>
          <w:color w:val="auto"/>
        </w:rPr>
        <w:t>Other non-current assets</w:t>
      </w:r>
      <w:r>
        <w:rPr>
          <w:rFonts w:ascii="Arial" w:cs="Arial" w:eastAsia="Arial" w:hAnsi="Arial"/>
          <w:sz w:val="14"/>
          <w:szCs w:val="14"/>
          <w:color w:val="auto"/>
        </w:rPr>
        <w:t xml:space="preserve"> on the Consolidated Balance Sheets, and represent our right to use the underlying asset for the lease term. Our obligation to make lease payments arising from the lease are included in </w:t>
      </w:r>
      <w:r>
        <w:rPr>
          <w:rFonts w:ascii="Arial" w:cs="Arial" w:eastAsia="Arial" w:hAnsi="Arial"/>
          <w:sz w:val="14"/>
          <w:szCs w:val="14"/>
          <w:i w:val="1"/>
          <w:iCs w:val="1"/>
          <w:color w:val="auto"/>
        </w:rPr>
        <w:t>Other current liabilities</w:t>
      </w:r>
      <w:r>
        <w:rPr>
          <w:rFonts w:ascii="Arial" w:cs="Arial" w:eastAsia="Arial" w:hAnsi="Arial"/>
          <w:sz w:val="14"/>
          <w:szCs w:val="14"/>
          <w:color w:val="auto"/>
        </w:rPr>
        <w:t xml:space="preserve"> and </w:t>
      </w:r>
      <w:r>
        <w:rPr>
          <w:rFonts w:ascii="Arial" w:cs="Arial" w:eastAsia="Arial" w:hAnsi="Arial"/>
          <w:sz w:val="14"/>
          <w:szCs w:val="14"/>
          <w:i w:val="1"/>
          <w:iCs w:val="1"/>
          <w:color w:val="auto"/>
        </w:rPr>
        <w:t>Other non-current liabilities</w:t>
      </w:r>
      <w:r>
        <w:rPr>
          <w:rFonts w:ascii="Arial" w:cs="Arial" w:eastAsia="Arial" w:hAnsi="Arial"/>
          <w:sz w:val="14"/>
          <w:szCs w:val="14"/>
          <w:color w:val="auto"/>
        </w:rPr>
        <w:t xml:space="preserve"> on the Consolidated Balance Sheets.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at the commencement date in determining the present value of lease payments. The ROU asset also excludes any accrued lease payments and unamortized lease incentives.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measurement and classification of lease agreements, we group lease and non-lease components into a single lease component for all underlying asset classes. Accordingly, all costs associated with a lease contract are accounted for as one lease cost.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00" w:type="dxa"/>
            <w:vAlign w:val="bottom"/>
          </w:tcPr>
          <w:p>
            <w:pPr>
              <w:spacing w:after="0"/>
              <w:rPr>
                <w:sz w:val="20"/>
                <w:szCs w:val="20"/>
                <w:color w:val="auto"/>
              </w:rPr>
            </w:pPr>
            <w:r>
              <w:rPr>
                <w:rFonts w:ascii="Arial" w:cs="Arial" w:eastAsia="Arial" w:hAnsi="Arial"/>
                <w:sz w:val="14"/>
                <w:szCs w:val="14"/>
                <w:color w:val="auto"/>
              </w:rPr>
              <w:t>The components of lease cost were as follows:</w:t>
            </w:r>
          </w:p>
        </w:tc>
        <w:tc>
          <w:tcPr>
            <w:tcW w:w="5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34"/>
        </w:trPr>
        <w:tc>
          <w:tcPr>
            <w:tcW w:w="4100" w:type="dxa"/>
            <w:vAlign w:val="bottom"/>
          </w:tcPr>
          <w:p>
            <w:pPr>
              <w:spacing w:after="0"/>
              <w:rPr>
                <w:sz w:val="20"/>
                <w:szCs w:val="20"/>
                <w:color w:val="auto"/>
              </w:rPr>
            </w:pPr>
          </w:p>
        </w:tc>
        <w:tc>
          <w:tcPr>
            <w:tcW w:w="52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December 31,</w:t>
            </w:r>
          </w:p>
        </w:tc>
      </w:tr>
      <w:tr>
        <w:trPr>
          <w:trHeight w:val="191"/>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52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2021</w:t>
            </w:r>
          </w:p>
        </w:tc>
      </w:tr>
      <w:tr>
        <w:trPr>
          <w:trHeight w:val="171"/>
        </w:trPr>
        <w:tc>
          <w:tcPr>
            <w:tcW w:w="4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5240" w:type="dxa"/>
            <w:vAlign w:val="bottom"/>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46.8</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ind w:left="1060"/>
              <w:spacing w:after="0"/>
              <w:rPr>
                <w:sz w:val="20"/>
                <w:szCs w:val="20"/>
                <w:color w:val="auto"/>
              </w:rPr>
            </w:pPr>
            <w:r>
              <w:rPr>
                <w:rFonts w:ascii="Arial" w:cs="Arial" w:eastAsia="Arial" w:hAnsi="Arial"/>
                <w:sz w:val="14"/>
                <w:szCs w:val="14"/>
                <w:color w:val="auto"/>
              </w:rPr>
              <w:t>37.2</w:t>
            </w:r>
          </w:p>
        </w:tc>
      </w:tr>
      <w:tr>
        <w:trPr>
          <w:trHeight w:val="180"/>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Sublease income</w:t>
            </w:r>
          </w:p>
        </w:tc>
        <w:tc>
          <w:tcPr>
            <w:tcW w:w="52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7"/>
              </w:rPr>
              <w:t>(0.9)</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w w:val="90"/>
              </w:rPr>
              <w:t>(1.0)</w:t>
            </w:r>
          </w:p>
        </w:tc>
      </w:tr>
      <w:tr>
        <w:trPr>
          <w:trHeight w:val="196"/>
        </w:trPr>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5240" w:type="dxa"/>
            <w:vAlign w:val="bottom"/>
            <w:tcBorders>
              <w:bottom w:val="single" w:sz="8" w:color="auto"/>
            </w:tcBorders>
            <w:shd w:val="clear" w:color="auto" w:fill="CCEEFF"/>
          </w:tcPr>
          <w:p>
            <w:pPr>
              <w:jc w:val="right"/>
              <w:ind w:right="1109"/>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45.9</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4"/>
                <w:szCs w:val="14"/>
                <w:color w:val="auto"/>
              </w:rPr>
              <w:t>36.2</w:t>
            </w:r>
          </w:p>
        </w:tc>
      </w:tr>
      <w:tr>
        <w:trPr>
          <w:trHeight w:val="20"/>
        </w:trPr>
        <w:tc>
          <w:tcPr>
            <w:tcW w:w="4100" w:type="dxa"/>
            <w:vAlign w:val="bottom"/>
            <w:tcBorders>
              <w:top w:val="single" w:sz="8" w:color="CCEEFF"/>
              <w:bottom w:val="single" w:sz="8" w:color="auto"/>
            </w:tcBorders>
          </w:tcPr>
          <w:p>
            <w:pPr>
              <w:spacing w:after="0" w:line="20" w:lineRule="exact"/>
              <w:rPr>
                <w:sz w:val="1"/>
                <w:szCs w:val="1"/>
                <w:color w:val="auto"/>
              </w:rPr>
            </w:pPr>
          </w:p>
        </w:tc>
        <w:tc>
          <w:tcPr>
            <w:tcW w:w="5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694"/>
        </w:trPr>
        <w:tc>
          <w:tcPr>
            <w:tcW w:w="4100" w:type="dxa"/>
            <w:vAlign w:val="bottom"/>
          </w:tcPr>
          <w:p>
            <w:pPr>
              <w:spacing w:after="0"/>
              <w:rPr>
                <w:sz w:val="24"/>
                <w:szCs w:val="24"/>
                <w:color w:val="auto"/>
              </w:rPr>
            </w:pPr>
          </w:p>
        </w:tc>
        <w:tc>
          <w:tcPr>
            <w:tcW w:w="5240" w:type="dxa"/>
            <w:vAlign w:val="bottom"/>
          </w:tcPr>
          <w:p>
            <w:pPr>
              <w:jc w:val="right"/>
              <w:ind w:right="3549"/>
              <w:spacing w:after="0"/>
              <w:rPr>
                <w:sz w:val="20"/>
                <w:szCs w:val="20"/>
                <w:color w:val="auto"/>
              </w:rPr>
            </w:pPr>
            <w:r>
              <w:rPr>
                <w:rFonts w:ascii="Arial" w:cs="Arial" w:eastAsia="Arial" w:hAnsi="Arial"/>
                <w:sz w:val="14"/>
                <w:szCs w:val="14"/>
                <w:color w:val="auto"/>
              </w:rPr>
              <w:t>74</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87"/>
        </w:trPr>
        <w:tc>
          <w:tcPr>
            <w:tcW w:w="4100" w:type="dxa"/>
            <w:vAlign w:val="bottom"/>
            <w:tcBorders>
              <w:bottom w:val="single" w:sz="8" w:color="9A9A9A"/>
            </w:tcBorders>
          </w:tcPr>
          <w:p>
            <w:pPr>
              <w:spacing w:after="0"/>
              <w:rPr>
                <w:sz w:val="7"/>
                <w:szCs w:val="7"/>
                <w:color w:val="auto"/>
              </w:rPr>
            </w:pPr>
          </w:p>
        </w:tc>
        <w:tc>
          <w:tcPr>
            <w:tcW w:w="5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400" w:type="dxa"/>
            <w:vAlign w:val="bottom"/>
          </w:tcPr>
          <w:p>
            <w:pPr>
              <w:spacing w:after="0"/>
              <w:rPr>
                <w:sz w:val="20"/>
                <w:szCs w:val="20"/>
                <w:color w:val="auto"/>
              </w:rPr>
            </w:pPr>
            <w:r>
              <w:rPr>
                <w:rFonts w:ascii="Arial" w:cs="Arial" w:eastAsia="Arial" w:hAnsi="Arial"/>
                <w:sz w:val="14"/>
                <w:szCs w:val="14"/>
                <w:color w:val="auto"/>
              </w:rPr>
              <w:t>Supplemental cash flow information related to leases was as follows:</w:t>
            </w: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209"/>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ind w:right="28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8"/>
                <w:szCs w:val="18"/>
                <w:color w:val="auto"/>
              </w:rPr>
            </w:pPr>
          </w:p>
        </w:tc>
        <w:tc>
          <w:tcPr>
            <w:tcW w:w="1380" w:type="dxa"/>
            <w:vAlign w:val="bottom"/>
          </w:tcPr>
          <w:p>
            <w:pPr>
              <w:jc w:val="right"/>
              <w:ind w:right="30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2021</w:t>
            </w:r>
          </w:p>
        </w:tc>
      </w:tr>
      <w:tr>
        <w:trPr>
          <w:trHeight w:val="1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cash flows from operating leases</w:t>
            </w:r>
          </w:p>
        </w:tc>
        <w:tc>
          <w:tcPr>
            <w:tcW w:w="8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r>
      <w:tr>
        <w:trPr>
          <w:trHeight w:val="180"/>
        </w:trPr>
        <w:tc>
          <w:tcPr>
            <w:tcW w:w="7400" w:type="dxa"/>
            <w:vAlign w:val="bottom"/>
          </w:tcPr>
          <w:p>
            <w:pPr>
              <w:ind w:left="20"/>
              <w:spacing w:after="0"/>
              <w:rPr>
                <w:sz w:val="20"/>
                <w:szCs w:val="20"/>
                <w:color w:val="auto"/>
              </w:rPr>
            </w:pPr>
            <w:r>
              <w:rPr>
                <w:rFonts w:ascii="Arial" w:cs="Arial" w:eastAsia="Arial" w:hAnsi="Arial"/>
                <w:sz w:val="14"/>
                <w:szCs w:val="14"/>
                <w:color w:val="auto"/>
              </w:rPr>
              <w:t>Right-of-use assets obtained in exchange for lease obligations</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19.3</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97"/>
        </w:trPr>
        <w:tc>
          <w:tcPr>
            <w:tcW w:w="7400" w:type="dxa"/>
            <w:vAlign w:val="bottom"/>
          </w:tcPr>
          <w:p>
            <w:pPr>
              <w:spacing w:after="0"/>
              <w:rPr>
                <w:sz w:val="20"/>
                <w:szCs w:val="20"/>
                <w:color w:val="auto"/>
              </w:rPr>
            </w:pPr>
            <w:r>
              <w:rPr>
                <w:rFonts w:ascii="Arial" w:cs="Arial" w:eastAsia="Arial" w:hAnsi="Arial"/>
                <w:sz w:val="14"/>
                <w:szCs w:val="14"/>
                <w:color w:val="auto"/>
              </w:rPr>
              <w:t>Other information related to leases was as follows:</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9"/>
        </w:trPr>
        <w:tc>
          <w:tcPr>
            <w:tcW w:w="7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ind w:right="449"/>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8"/>
                <w:szCs w:val="18"/>
                <w:color w:val="auto"/>
              </w:rPr>
            </w:pPr>
          </w:p>
        </w:tc>
        <w:tc>
          <w:tcPr>
            <w:tcW w:w="1380" w:type="dxa"/>
            <w:vAlign w:val="bottom"/>
          </w:tcPr>
          <w:p>
            <w:pPr>
              <w:jc w:val="right"/>
              <w:ind w:right="369"/>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7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auto"/>
              </w:rPr>
              <w:t>2021</w:t>
            </w:r>
          </w:p>
        </w:tc>
      </w:tr>
      <w:tr>
        <w:trPr>
          <w:trHeight w:val="1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remaining lease term of operating leases (years)</w:t>
            </w:r>
          </w:p>
        </w:tc>
        <w:tc>
          <w:tcPr>
            <w:tcW w:w="84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80"/>
        </w:trPr>
        <w:tc>
          <w:tcPr>
            <w:tcW w:w="7400" w:type="dxa"/>
            <w:vAlign w:val="bottom"/>
          </w:tcPr>
          <w:p>
            <w:pPr>
              <w:ind w:left="20"/>
              <w:spacing w:after="0"/>
              <w:rPr>
                <w:sz w:val="20"/>
                <w:szCs w:val="20"/>
                <w:color w:val="auto"/>
              </w:rPr>
            </w:pPr>
            <w:r>
              <w:rPr>
                <w:rFonts w:ascii="Arial" w:cs="Arial" w:eastAsia="Arial" w:hAnsi="Arial"/>
                <w:sz w:val="14"/>
                <w:szCs w:val="14"/>
                <w:color w:val="auto"/>
              </w:rPr>
              <w:t>Weighted-average discount rate of operating leases</w:t>
            </w:r>
          </w:p>
        </w:tc>
        <w:tc>
          <w:tcPr>
            <w:tcW w:w="840" w:type="dxa"/>
            <w:vAlign w:val="bottom"/>
          </w:tcPr>
          <w:p>
            <w:pPr>
              <w:spacing w:after="0"/>
              <w:rPr>
                <w:sz w:val="15"/>
                <w:szCs w:val="15"/>
                <w:color w:val="auto"/>
              </w:rPr>
            </w:pPr>
          </w:p>
        </w:tc>
        <w:tc>
          <w:tcPr>
            <w:tcW w:w="1420" w:type="dxa"/>
            <w:vAlign w:val="bottom"/>
          </w:tcPr>
          <w:p>
            <w:pPr>
              <w:jc w:val="right"/>
              <w:ind w:right="9"/>
              <w:spacing w:after="0"/>
              <w:rPr>
                <w:sz w:val="20"/>
                <w:szCs w:val="20"/>
                <w:color w:val="auto"/>
              </w:rPr>
            </w:pPr>
            <w:r>
              <w:rPr>
                <w:rFonts w:ascii="Arial" w:cs="Arial" w:eastAsia="Arial" w:hAnsi="Arial"/>
                <w:sz w:val="14"/>
                <w:szCs w:val="14"/>
                <w:color w:val="auto"/>
              </w:rPr>
              <w:t>4.4 %</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5.1 %</w:t>
            </w:r>
          </w:p>
        </w:tc>
      </w:tr>
      <w:tr>
        <w:trPr>
          <w:trHeight w:val="297"/>
        </w:trPr>
        <w:tc>
          <w:tcPr>
            <w:tcW w:w="7400" w:type="dxa"/>
            <w:vAlign w:val="bottom"/>
          </w:tcPr>
          <w:p>
            <w:pPr>
              <w:spacing w:after="0"/>
              <w:rPr>
                <w:sz w:val="20"/>
                <w:szCs w:val="20"/>
                <w:color w:val="auto"/>
              </w:rPr>
            </w:pPr>
            <w:r>
              <w:rPr>
                <w:rFonts w:ascii="Arial" w:cs="Arial" w:eastAsia="Arial" w:hAnsi="Arial"/>
                <w:sz w:val="14"/>
                <w:szCs w:val="14"/>
                <w:color w:val="auto"/>
              </w:rPr>
              <w:t>Future minimum lease commitments under non-cancelable operating leases as of December 31, 2022 were as follows:</w:t>
            </w: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5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84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r>
      <w:tr>
        <w:trPr>
          <w:trHeight w:val="180"/>
        </w:trPr>
        <w:tc>
          <w:tcPr>
            <w:tcW w:w="7400" w:type="dxa"/>
            <w:vAlign w:val="bottom"/>
          </w:tcPr>
          <w:p>
            <w:pPr>
              <w:ind w:left="20"/>
              <w:spacing w:after="0"/>
              <w:rPr>
                <w:sz w:val="20"/>
                <w:szCs w:val="20"/>
                <w:color w:val="auto"/>
              </w:rPr>
            </w:pPr>
            <w:r>
              <w:rPr>
                <w:rFonts w:ascii="Arial" w:cs="Arial" w:eastAsia="Arial" w:hAnsi="Arial"/>
                <w:sz w:val="14"/>
                <w:szCs w:val="14"/>
                <w:color w:val="auto"/>
              </w:rPr>
              <w:t>2024</w:t>
            </w: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18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r>
      <w:tr>
        <w:trPr>
          <w:trHeight w:val="180"/>
        </w:trPr>
        <w:tc>
          <w:tcPr>
            <w:tcW w:w="7400" w:type="dxa"/>
            <w:vAlign w:val="bottom"/>
          </w:tcPr>
          <w:p>
            <w:pPr>
              <w:ind w:left="20"/>
              <w:spacing w:after="0"/>
              <w:rPr>
                <w:sz w:val="20"/>
                <w:szCs w:val="20"/>
                <w:color w:val="auto"/>
              </w:rPr>
            </w:pPr>
            <w:r>
              <w:rPr>
                <w:rFonts w:ascii="Arial" w:cs="Arial" w:eastAsia="Arial" w:hAnsi="Arial"/>
                <w:sz w:val="14"/>
                <w:szCs w:val="14"/>
                <w:color w:val="auto"/>
              </w:rPr>
              <w:t>2026</w:t>
            </w: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8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18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Thereafter</w:t>
            </w: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8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w:t>
            </w:r>
          </w:p>
        </w:tc>
      </w:tr>
      <w:tr>
        <w:trPr>
          <w:trHeight w:val="18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imputed interest</w:t>
            </w:r>
          </w:p>
        </w:tc>
        <w:tc>
          <w:tcPr>
            <w:tcW w:w="8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196"/>
        </w:trPr>
        <w:tc>
          <w:tcPr>
            <w:tcW w:w="7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w:t>
            </w:r>
          </w:p>
        </w:tc>
      </w:tr>
      <w:tr>
        <w:trPr>
          <w:trHeight w:val="20"/>
        </w:trPr>
        <w:tc>
          <w:tcPr>
            <w:tcW w:w="7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Warranties and guarantees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99"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spacing w:after="0" w:line="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i w:val="1"/>
          <w:iCs w:val="1"/>
          <w:color w:val="auto"/>
        </w:rPr>
        <w:t>Pentair plc and Subsidiaries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Notes to consolidated financial statements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980" w:type="dxa"/>
            <w:vAlign w:val="bottom"/>
          </w:tcPr>
          <w:p>
            <w:pPr>
              <w:spacing w:after="0"/>
              <w:rPr>
                <w:sz w:val="20"/>
                <w:szCs w:val="20"/>
                <w:color w:val="auto"/>
              </w:rPr>
            </w:pPr>
            <w:r>
              <w:rPr>
                <w:rFonts w:ascii="Arial" w:cs="Arial" w:eastAsia="Arial" w:hAnsi="Arial"/>
                <w:sz w:val="14"/>
                <w:szCs w:val="14"/>
                <w:color w:val="auto"/>
                <w:w w:val="98"/>
              </w:rPr>
              <w:t>The changes in the carrying amount of service and product warranties from continuing operations were as follows:</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76"/>
        </w:trPr>
        <w:tc>
          <w:tcPr>
            <w:tcW w:w="69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4"/>
          </w:tcPr>
          <w:p>
            <w:pPr>
              <w:jc w:val="right"/>
              <w:ind w:right="18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23"/>
                <w:szCs w:val="23"/>
                <w:color w:val="auto"/>
              </w:rPr>
            </w:pP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2020</w:t>
            </w:r>
          </w:p>
        </w:tc>
      </w:tr>
      <w:tr>
        <w:trPr>
          <w:trHeight w:val="17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Service and product warranty provision</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85.3</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55.3</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55.3</w:t>
            </w:r>
          </w:p>
        </w:tc>
      </w:tr>
      <w:tr>
        <w:trPr>
          <w:trHeight w:val="181"/>
        </w:trPr>
        <w:tc>
          <w:tcPr>
            <w:tcW w:w="6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r>
      <w:tr>
        <w:trPr>
          <w:trHeight w:val="180"/>
        </w:trPr>
        <w:tc>
          <w:tcPr>
            <w:tcW w:w="6980" w:type="dxa"/>
            <w:vAlign w:val="bottom"/>
          </w:tcPr>
          <w:p>
            <w:pPr>
              <w:ind w:left="20"/>
              <w:spacing w:after="0"/>
              <w:rPr>
                <w:sz w:val="20"/>
                <w:szCs w:val="20"/>
                <w:color w:val="auto"/>
              </w:rPr>
            </w:pPr>
            <w:r>
              <w:rPr>
                <w:rFonts w:ascii="Arial" w:cs="Arial" w:eastAsia="Arial" w:hAnsi="Arial"/>
                <w:sz w:val="14"/>
                <w:szCs w:val="14"/>
                <w:color w:val="auto"/>
              </w:rPr>
              <w:t>Acquisitions</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0.3</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180"/>
        </w:trPr>
        <w:tc>
          <w:tcPr>
            <w:tcW w:w="6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171"/>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Ending balance</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3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Stand-by letters of credit, bank guarantees and bonds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0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2022 and 2021, the outstanding value of bonds, letters of credit and bank guarantees totaled $99.7 million and $104.5 million, respectively.</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Our management, with the participation of our Chief Executive Officer and our Chief Financial Officer, evaluated the effectiveness of the design and operation of our disclosure controls and procedures as of the end of the year ended December 31, 2022, pursuant to Rule 13a-15(b) of the Securities Exchange Act of 1934 (“the Exchange Act”). Based upon their evaluation, our Chief Executive Officer and our Chief Financial Officer concluded that our disclosure controls and procedures were effective as of the year ended December 31, 2022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report of management required under this ITEM 9A is contained in ITEM 8 of this Annual Report on Form 10-K under the caption “Management’s Report on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Attestation Report of Independent Registered Public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The attestation report required under this ITEM 9A is contained in ITEM 8 of this Annual Report on Form 10-K under the caption “Report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During the year ended December 31, 2022 we completed the acquisition of Manitowoc Ice. As part of our ongoing integration activities associated with the Manitowoc Ice acquisition, we are reviewing the internal controls and procedures of Manitowoc Ice and working to augment our company-wide controls to reflect the risks inherent in the acquisition. There were no other changes in our internal control over financial reporting that occurred during the quarter ended December 31, 2022 that has materially affected, or is reasonably likely to materially affect, our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53" w:lineRule="exact"/>
        <w:rPr>
          <w:sz w:val="20"/>
          <w:szCs w:val="20"/>
          <w:color w:val="auto"/>
        </w:rPr>
      </w:pPr>
    </w:p>
    <w:p>
      <w:pPr>
        <w:ind w:right="4820"/>
        <w:spacing w:after="0" w:line="477" w:lineRule="auto"/>
        <w:rPr>
          <w:sz w:val="20"/>
          <w:szCs w:val="20"/>
          <w:color w:val="auto"/>
        </w:rPr>
      </w:pPr>
      <w:r>
        <w:rPr>
          <w:rFonts w:ascii="Arial" w:cs="Arial" w:eastAsia="Arial" w:hAnsi="Arial"/>
          <w:sz w:val="14"/>
          <w:szCs w:val="14"/>
          <w:b w:val="1"/>
          <w:bCs w:val="1"/>
          <w:color w:val="auto"/>
        </w:rPr>
        <w:t xml:space="preserve">ITEM 9C. DISCLOSURE REGARDING FOREIGN JURISDICTIONS THAT PREVENT INSPECTIONS </w:t>
      </w:r>
      <w:r>
        <w:rPr>
          <w:rFonts w:ascii="Arial" w:cs="Arial" w:eastAsia="Arial" w:hAnsi="Arial"/>
          <w:sz w:val="14"/>
          <w:szCs w:val="14"/>
          <w:color w:val="auto"/>
        </w:rPr>
        <w:t>Not applicable.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79" w:name="page80"/>
    <w:bookmarkEnd w:id="79"/>
    <w:p>
      <w:pPr>
        <w:ind w:left="5360"/>
        <w:spacing w:after="0"/>
        <w:rPr>
          <w:sz w:val="20"/>
          <w:szCs w:val="20"/>
          <w:color w:val="auto"/>
        </w:rPr>
      </w:pPr>
      <w:r>
        <w:rPr>
          <w:rFonts w:ascii="Arial" w:cs="Arial" w:eastAsia="Arial" w:hAnsi="Arial"/>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4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required under this item with respect to directors is contained in our Proxy Statement for our 2023 annual general meeting of shareholders under the captions “Corporate Governance Matters” and “Proposal 1 Re-elect Director Nominees”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Information required under this item with respect to executive officers is contained in Part I of this Form 10-K under the caption “Information About Our Executive Officers.”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Arial" w:cs="Arial" w:eastAsia="Arial" w:hAnsi="Arial"/>
          <w:sz w:val="14"/>
          <w:szCs w:val="14"/>
          <w:u w:val="single" w:color="auto"/>
          <w:color w:val="auto"/>
        </w:rPr>
        <w:t>http://pentair.com/en/about-us/leadership/corporate-governance</w:t>
      </w:r>
      <w:r>
        <w:rPr>
          <w:rFonts w:ascii="Arial" w:cs="Arial" w:eastAsia="Arial" w:hAnsi="Arial"/>
          <w:sz w:val="14"/>
          <w:szCs w:val="14"/>
          <w:color w:val="auto"/>
        </w:rPr>
        <w:t xml:space="preserve">. We intend to satisfy the disclosure requirements under Item 5.05 of Form 8-K regarding amendments to or waivers from, Pentair’s Code of Business Conduct and Ethics by posting such information on our website at </w:t>
      </w:r>
      <w:r>
        <w:rPr>
          <w:rFonts w:ascii="Arial" w:cs="Arial" w:eastAsia="Arial" w:hAnsi="Arial"/>
          <w:sz w:val="14"/>
          <w:szCs w:val="14"/>
          <w:u w:val="single" w:color="auto"/>
          <w:color w:val="auto"/>
        </w:rPr>
        <w:t>http://pentair.com/en/about-us/leadership/corporate-governance</w:t>
      </w:r>
      <w:r>
        <w:rPr>
          <w:rFonts w:ascii="Arial" w:cs="Arial" w:eastAsia="Arial" w:hAnsi="Arial"/>
          <w:sz w:val="14"/>
          <w:szCs w:val="14"/>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We are not including the information contained on our website as part of, or incorporating it by reference into, this report.</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40"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Information required under this item is contained in our Proxy Statement for our 2023 annual general meeting of shareholders under the captions “Compensation Discussion and Analysis,” “Compensation Committee Report,” “Executive Compensation Tables” and “Corporate Governance Matters - Director Compensation”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Information required under this item with respect to security ownership is contained in our Proxy Statement for our 2023 annual general meeting of shareholders under the caption “Security Ownership”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as of December 31, 2022, information about compensation plans under which our equity securities are authorized for issuance: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00" w:type="dxa"/>
            <w:vAlign w:val="bottom"/>
          </w:tcPr>
          <w:p>
            <w:pPr>
              <w:jc w:val="center"/>
              <w:ind w:right="29"/>
              <w:spacing w:after="0"/>
              <w:rPr>
                <w:sz w:val="20"/>
                <w:szCs w:val="20"/>
                <w:color w:val="auto"/>
              </w:rPr>
            </w:pPr>
            <w:r>
              <w:rPr>
                <w:rFonts w:ascii="Arial" w:cs="Arial" w:eastAsia="Arial" w:hAnsi="Arial"/>
                <w:sz w:val="14"/>
                <w:szCs w:val="14"/>
                <w:color w:val="auto"/>
                <w:w w:val="93"/>
              </w:rPr>
              <w:t>Number of securities</w:t>
            </w:r>
          </w:p>
        </w:tc>
        <w:tc>
          <w:tcPr>
            <w:tcW w:w="340" w:type="dxa"/>
            <w:vAlign w:val="bottom"/>
          </w:tcPr>
          <w:p>
            <w:pPr>
              <w:spacing w:after="0"/>
              <w:rPr>
                <w:sz w:val="14"/>
                <w:szCs w:val="14"/>
                <w:color w:val="auto"/>
              </w:rPr>
            </w:pPr>
          </w:p>
        </w:tc>
      </w:tr>
      <w:tr>
        <w:trPr>
          <w:trHeight w:val="138"/>
        </w:trPr>
        <w:tc>
          <w:tcPr>
            <w:tcW w:w="38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tcPr>
          <w:p>
            <w:pPr>
              <w:jc w:val="center"/>
              <w:ind w:right="29"/>
              <w:spacing w:after="0" w:line="138" w:lineRule="exact"/>
              <w:rPr>
                <w:sz w:val="20"/>
                <w:szCs w:val="20"/>
                <w:color w:val="auto"/>
              </w:rPr>
            </w:pPr>
            <w:r>
              <w:rPr>
                <w:rFonts w:ascii="Arial" w:cs="Arial" w:eastAsia="Arial" w:hAnsi="Arial"/>
                <w:sz w:val="14"/>
                <w:szCs w:val="14"/>
                <w:color w:val="auto"/>
                <w:w w:val="93"/>
              </w:rPr>
              <w:t>remaining available for</w:t>
            </w:r>
          </w:p>
        </w:tc>
        <w:tc>
          <w:tcPr>
            <w:tcW w:w="34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10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89"/>
              </w:rPr>
              <w:t>future issuance under</w:t>
            </w:r>
          </w:p>
        </w:tc>
        <w:tc>
          <w:tcPr>
            <w:tcW w:w="340" w:type="dxa"/>
            <w:vAlign w:val="bottom"/>
          </w:tcPr>
          <w:p>
            <w:pPr>
              <w:spacing w:after="0"/>
              <w:rPr>
                <w:sz w:val="12"/>
                <w:szCs w:val="12"/>
                <w:color w:val="auto"/>
              </w:rPr>
            </w:pPr>
          </w:p>
        </w:tc>
      </w:tr>
      <w:tr>
        <w:trPr>
          <w:trHeight w:val="138"/>
        </w:trPr>
        <w:tc>
          <w:tcPr>
            <w:tcW w:w="3860" w:type="dxa"/>
            <w:vAlign w:val="bottom"/>
          </w:tcPr>
          <w:p>
            <w:pPr>
              <w:spacing w:after="0"/>
              <w:rPr>
                <w:sz w:val="12"/>
                <w:szCs w:val="12"/>
                <w:color w:val="auto"/>
              </w:rPr>
            </w:pPr>
          </w:p>
        </w:tc>
        <w:tc>
          <w:tcPr>
            <w:tcW w:w="2260" w:type="dxa"/>
            <w:vAlign w:val="bottom"/>
          </w:tcPr>
          <w:p>
            <w:pPr>
              <w:jc w:val="center"/>
              <w:spacing w:after="0" w:line="138" w:lineRule="exact"/>
              <w:rPr>
                <w:sz w:val="20"/>
                <w:szCs w:val="20"/>
                <w:color w:val="auto"/>
              </w:rPr>
            </w:pPr>
            <w:r>
              <w:rPr>
                <w:rFonts w:ascii="Arial" w:cs="Arial" w:eastAsia="Arial" w:hAnsi="Arial"/>
                <w:sz w:val="14"/>
                <w:szCs w:val="14"/>
                <w:color w:val="auto"/>
                <w:w w:val="91"/>
              </w:rPr>
              <w:t>Number of securities to</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jc w:val="center"/>
              <w:ind w:right="149"/>
              <w:spacing w:after="0" w:line="138" w:lineRule="exact"/>
              <w:rPr>
                <w:sz w:val="20"/>
                <w:szCs w:val="20"/>
                <w:color w:val="auto"/>
              </w:rPr>
            </w:pPr>
            <w:r>
              <w:rPr>
                <w:rFonts w:ascii="Arial" w:cs="Arial" w:eastAsia="Arial" w:hAnsi="Arial"/>
                <w:sz w:val="14"/>
                <w:szCs w:val="14"/>
                <w:color w:val="auto"/>
                <w:w w:val="89"/>
              </w:rPr>
              <w:t>Weighted-average</w:t>
            </w:r>
          </w:p>
        </w:tc>
        <w:tc>
          <w:tcPr>
            <w:tcW w:w="460" w:type="dxa"/>
            <w:vAlign w:val="bottom"/>
          </w:tcPr>
          <w:p>
            <w:pPr>
              <w:spacing w:after="0"/>
              <w:rPr>
                <w:sz w:val="12"/>
                <w:szCs w:val="12"/>
                <w:color w:val="auto"/>
              </w:rPr>
            </w:pPr>
          </w:p>
        </w:tc>
        <w:tc>
          <w:tcPr>
            <w:tcW w:w="2100" w:type="dxa"/>
            <w:vAlign w:val="bottom"/>
          </w:tcPr>
          <w:p>
            <w:pPr>
              <w:jc w:val="center"/>
              <w:ind w:right="29"/>
              <w:spacing w:after="0" w:line="138" w:lineRule="exact"/>
              <w:rPr>
                <w:sz w:val="20"/>
                <w:szCs w:val="20"/>
                <w:color w:val="auto"/>
              </w:rPr>
            </w:pPr>
            <w:r>
              <w:rPr>
                <w:rFonts w:ascii="Arial" w:cs="Arial" w:eastAsia="Arial" w:hAnsi="Arial"/>
                <w:sz w:val="14"/>
                <w:szCs w:val="14"/>
                <w:color w:val="auto"/>
                <w:w w:val="90"/>
              </w:rPr>
              <w:t>equity compensation</w:t>
            </w:r>
          </w:p>
        </w:tc>
        <w:tc>
          <w:tcPr>
            <w:tcW w:w="340" w:type="dxa"/>
            <w:vAlign w:val="bottom"/>
          </w:tcPr>
          <w:p>
            <w:pPr>
              <w:spacing w:after="0"/>
              <w:rPr>
                <w:sz w:val="12"/>
                <w:szCs w:val="12"/>
                <w:color w:val="auto"/>
              </w:rPr>
            </w:pPr>
          </w:p>
        </w:tc>
      </w:tr>
      <w:tr>
        <w:trPr>
          <w:trHeight w:val="138"/>
        </w:trPr>
        <w:tc>
          <w:tcPr>
            <w:tcW w:w="3860" w:type="dxa"/>
            <w:vAlign w:val="bottom"/>
          </w:tcPr>
          <w:p>
            <w:pPr>
              <w:spacing w:after="0"/>
              <w:rPr>
                <w:sz w:val="11"/>
                <w:szCs w:val="11"/>
                <w:color w:val="auto"/>
              </w:rPr>
            </w:pPr>
          </w:p>
        </w:tc>
        <w:tc>
          <w:tcPr>
            <w:tcW w:w="2260" w:type="dxa"/>
            <w:vAlign w:val="bottom"/>
          </w:tcPr>
          <w:p>
            <w:pPr>
              <w:jc w:val="center"/>
              <w:spacing w:after="0" w:line="138" w:lineRule="exact"/>
              <w:rPr>
                <w:sz w:val="20"/>
                <w:szCs w:val="20"/>
                <w:color w:val="auto"/>
              </w:rPr>
            </w:pPr>
            <w:r>
              <w:rPr>
                <w:rFonts w:ascii="Arial" w:cs="Arial" w:eastAsia="Arial" w:hAnsi="Arial"/>
                <w:sz w:val="14"/>
                <w:szCs w:val="14"/>
                <w:color w:val="auto"/>
                <w:w w:val="88"/>
              </w:rPr>
              <w:t>be issued upon exercise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jc w:val="center"/>
              <w:ind w:right="149"/>
              <w:spacing w:after="0" w:line="138" w:lineRule="exact"/>
              <w:rPr>
                <w:sz w:val="20"/>
                <w:szCs w:val="20"/>
                <w:color w:val="auto"/>
              </w:rPr>
            </w:pPr>
            <w:r>
              <w:rPr>
                <w:rFonts w:ascii="Arial" w:cs="Arial" w:eastAsia="Arial" w:hAnsi="Arial"/>
                <w:sz w:val="14"/>
                <w:szCs w:val="14"/>
                <w:color w:val="auto"/>
                <w:w w:val="92"/>
              </w:rPr>
              <w:t>exercise price of</w:t>
            </w:r>
          </w:p>
        </w:tc>
        <w:tc>
          <w:tcPr>
            <w:tcW w:w="460" w:type="dxa"/>
            <w:vAlign w:val="bottom"/>
          </w:tcPr>
          <w:p>
            <w:pPr>
              <w:spacing w:after="0"/>
              <w:rPr>
                <w:sz w:val="11"/>
                <w:szCs w:val="11"/>
                <w:color w:val="auto"/>
              </w:rPr>
            </w:pPr>
          </w:p>
        </w:tc>
        <w:tc>
          <w:tcPr>
            <w:tcW w:w="2100" w:type="dxa"/>
            <w:vAlign w:val="bottom"/>
          </w:tcPr>
          <w:p>
            <w:pPr>
              <w:jc w:val="center"/>
              <w:ind w:right="29"/>
              <w:spacing w:after="0" w:line="138" w:lineRule="exact"/>
              <w:rPr>
                <w:sz w:val="20"/>
                <w:szCs w:val="20"/>
                <w:color w:val="auto"/>
              </w:rPr>
            </w:pPr>
            <w:r>
              <w:rPr>
                <w:rFonts w:ascii="Arial" w:cs="Arial" w:eastAsia="Arial" w:hAnsi="Arial"/>
                <w:sz w:val="14"/>
                <w:szCs w:val="14"/>
                <w:color w:val="auto"/>
                <w:w w:val="90"/>
              </w:rPr>
              <w:t>plans (excluding</w:t>
            </w:r>
          </w:p>
        </w:tc>
        <w:tc>
          <w:tcPr>
            <w:tcW w:w="340" w:type="dxa"/>
            <w:vAlign w:val="bottom"/>
          </w:tcPr>
          <w:p>
            <w:pPr>
              <w:spacing w:after="0"/>
              <w:rPr>
                <w:sz w:val="11"/>
                <w:szCs w:val="11"/>
                <w:color w:val="auto"/>
              </w:rPr>
            </w:pPr>
          </w:p>
        </w:tc>
      </w:tr>
      <w:tr>
        <w:trPr>
          <w:trHeight w:val="148"/>
        </w:trPr>
        <w:tc>
          <w:tcPr>
            <w:tcW w:w="3860" w:type="dxa"/>
            <w:vAlign w:val="bottom"/>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color w:val="auto"/>
                <w:w w:val="92"/>
              </w:rPr>
              <w:t>of outstanding options,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90"/>
              </w:rPr>
              <w:t>outstanding options,</w:t>
            </w:r>
          </w:p>
        </w:tc>
        <w:tc>
          <w:tcPr>
            <w:tcW w:w="460" w:type="dxa"/>
            <w:vAlign w:val="bottom"/>
          </w:tcPr>
          <w:p>
            <w:pPr>
              <w:spacing w:after="0"/>
              <w:rPr>
                <w:sz w:val="12"/>
                <w:szCs w:val="12"/>
                <w:color w:val="auto"/>
              </w:rPr>
            </w:pPr>
          </w:p>
        </w:tc>
        <w:tc>
          <w:tcPr>
            <w:tcW w:w="2100" w:type="dxa"/>
            <w:vAlign w:val="bottom"/>
          </w:tcPr>
          <w:p>
            <w:pPr>
              <w:jc w:val="center"/>
              <w:ind w:right="29"/>
              <w:spacing w:after="0" w:line="149" w:lineRule="exact"/>
              <w:rPr>
                <w:sz w:val="20"/>
                <w:szCs w:val="20"/>
                <w:color w:val="auto"/>
              </w:rPr>
            </w:pPr>
            <w:r>
              <w:rPr>
                <w:rFonts w:ascii="Arial" w:cs="Arial" w:eastAsia="Arial" w:hAnsi="Arial"/>
                <w:sz w:val="14"/>
                <w:szCs w:val="14"/>
                <w:color w:val="auto"/>
                <w:w w:val="91"/>
              </w:rPr>
              <w:t>securities reflected in</w:t>
            </w:r>
          </w:p>
        </w:tc>
        <w:tc>
          <w:tcPr>
            <w:tcW w:w="340" w:type="dxa"/>
            <w:vAlign w:val="bottom"/>
          </w:tcPr>
          <w:p>
            <w:pPr>
              <w:spacing w:after="0"/>
              <w:rPr>
                <w:sz w:val="12"/>
                <w:szCs w:val="12"/>
                <w:color w:val="auto"/>
              </w:rPr>
            </w:pPr>
          </w:p>
        </w:tc>
      </w:tr>
      <w:tr>
        <w:trPr>
          <w:trHeight w:val="138"/>
        </w:trPr>
        <w:tc>
          <w:tcPr>
            <w:tcW w:w="3860" w:type="dxa"/>
            <w:vAlign w:val="bottom"/>
          </w:tcPr>
          <w:p>
            <w:pPr>
              <w:spacing w:after="0"/>
              <w:rPr>
                <w:sz w:val="12"/>
                <w:szCs w:val="12"/>
                <w:color w:val="auto"/>
              </w:rPr>
            </w:pPr>
          </w:p>
        </w:tc>
        <w:tc>
          <w:tcPr>
            <w:tcW w:w="2260" w:type="dxa"/>
            <w:vAlign w:val="bottom"/>
          </w:tcPr>
          <w:p>
            <w:pPr>
              <w:jc w:val="center"/>
              <w:spacing w:after="0" w:line="138" w:lineRule="exact"/>
              <w:rPr>
                <w:sz w:val="20"/>
                <w:szCs w:val="20"/>
                <w:color w:val="auto"/>
              </w:rPr>
            </w:pPr>
            <w:r>
              <w:rPr>
                <w:rFonts w:ascii="Arial" w:cs="Arial" w:eastAsia="Arial" w:hAnsi="Arial"/>
                <w:sz w:val="14"/>
                <w:szCs w:val="14"/>
                <w:color w:val="auto"/>
                <w:w w:val="90"/>
              </w:rPr>
              <w:t>warrants and rights</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tcPr>
          <w:p>
            <w:pPr>
              <w:jc w:val="center"/>
              <w:ind w:right="149"/>
              <w:spacing w:after="0" w:line="138" w:lineRule="exact"/>
              <w:rPr>
                <w:sz w:val="20"/>
                <w:szCs w:val="20"/>
                <w:color w:val="auto"/>
              </w:rPr>
            </w:pPr>
            <w:r>
              <w:rPr>
                <w:rFonts w:ascii="Arial" w:cs="Arial" w:eastAsia="Arial" w:hAnsi="Arial"/>
                <w:sz w:val="14"/>
                <w:szCs w:val="14"/>
                <w:color w:val="auto"/>
                <w:w w:val="92"/>
              </w:rPr>
              <w:t>warrants and rights</w:t>
            </w:r>
          </w:p>
        </w:tc>
        <w:tc>
          <w:tcPr>
            <w:tcW w:w="460" w:type="dxa"/>
            <w:vAlign w:val="bottom"/>
          </w:tcPr>
          <w:p>
            <w:pPr>
              <w:spacing w:after="0"/>
              <w:rPr>
                <w:sz w:val="12"/>
                <w:szCs w:val="12"/>
                <w:color w:val="auto"/>
              </w:rPr>
            </w:pPr>
          </w:p>
        </w:tc>
        <w:tc>
          <w:tcPr>
            <w:tcW w:w="2100" w:type="dxa"/>
            <w:vAlign w:val="bottom"/>
          </w:tcPr>
          <w:p>
            <w:pPr>
              <w:jc w:val="center"/>
              <w:ind w:right="29"/>
              <w:spacing w:after="0" w:line="138" w:lineRule="exact"/>
              <w:rPr>
                <w:sz w:val="20"/>
                <w:szCs w:val="20"/>
                <w:color w:val="auto"/>
              </w:rPr>
            </w:pPr>
            <w:r>
              <w:rPr>
                <w:rFonts w:ascii="Arial" w:cs="Arial" w:eastAsia="Arial" w:hAnsi="Arial"/>
                <w:sz w:val="14"/>
                <w:szCs w:val="14"/>
                <w:color w:val="auto"/>
                <w:w w:val="95"/>
              </w:rPr>
              <w:t>column (a))</w:t>
            </w:r>
          </w:p>
        </w:tc>
        <w:tc>
          <w:tcPr>
            <w:tcW w:w="340" w:type="dxa"/>
            <w:vAlign w:val="bottom"/>
          </w:tcPr>
          <w:p>
            <w:pPr>
              <w:spacing w:after="0"/>
              <w:rPr>
                <w:sz w:val="12"/>
                <w:szCs w:val="12"/>
                <w:color w:val="auto"/>
              </w:rPr>
            </w:pPr>
          </w:p>
        </w:tc>
      </w:tr>
      <w:tr>
        <w:trPr>
          <w:trHeight w:val="19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Plan category</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color w:val="auto"/>
              </w:rPr>
              <w:t>(b)</w:t>
            </w:r>
          </w:p>
        </w:tc>
        <w:tc>
          <w:tcPr>
            <w:tcW w:w="46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w w:val="97"/>
              </w:rPr>
              <w:t>(c)</w:t>
            </w:r>
          </w:p>
        </w:tc>
        <w:tc>
          <w:tcPr>
            <w:tcW w:w="340" w:type="dxa"/>
            <w:vAlign w:val="bottom"/>
            <w:tcBorders>
              <w:bottom w:val="single" w:sz="8" w:color="auto"/>
            </w:tcBorders>
          </w:tcPr>
          <w:p>
            <w:pPr>
              <w:spacing w:after="0"/>
              <w:rPr>
                <w:sz w:val="16"/>
                <w:szCs w:val="16"/>
                <w:color w:val="auto"/>
              </w:rPr>
            </w:pPr>
          </w:p>
        </w:tc>
      </w:tr>
      <w:tr>
        <w:trPr>
          <w:trHeight w:val="171"/>
        </w:trPr>
        <w:tc>
          <w:tcPr>
            <w:tcW w:w="38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compensation plans approved by security holders:</w:t>
            </w:r>
          </w:p>
        </w:tc>
        <w:tc>
          <w:tcPr>
            <w:tcW w:w="2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r>
      <w:tr>
        <w:trPr>
          <w:trHeight w:val="180"/>
        </w:trPr>
        <w:tc>
          <w:tcPr>
            <w:tcW w:w="3860" w:type="dxa"/>
            <w:vAlign w:val="bottom"/>
          </w:tcPr>
          <w:p>
            <w:pPr>
              <w:ind w:left="280"/>
              <w:spacing w:after="0"/>
              <w:rPr>
                <w:sz w:val="20"/>
                <w:szCs w:val="20"/>
                <w:color w:val="auto"/>
              </w:rPr>
            </w:pPr>
            <w:r>
              <w:rPr>
                <w:rFonts w:ascii="Arial" w:cs="Arial" w:eastAsia="Arial" w:hAnsi="Arial"/>
                <w:sz w:val="14"/>
                <w:szCs w:val="14"/>
                <w:color w:val="auto"/>
              </w:rPr>
              <w:t>2020 Share and Incentive Plan</w:t>
            </w:r>
          </w:p>
        </w:tc>
        <w:tc>
          <w:tcPr>
            <w:tcW w:w="2260" w:type="dxa"/>
            <w:vAlign w:val="bottom"/>
          </w:tcPr>
          <w:p>
            <w:pPr>
              <w:jc w:val="right"/>
              <w:spacing w:after="0"/>
              <w:rPr>
                <w:sz w:val="20"/>
                <w:szCs w:val="20"/>
                <w:color w:val="auto"/>
              </w:rPr>
            </w:pPr>
            <w:r>
              <w:rPr>
                <w:rFonts w:ascii="Arial" w:cs="Arial" w:eastAsia="Arial" w:hAnsi="Arial"/>
                <w:sz w:val="14"/>
                <w:szCs w:val="14"/>
                <w:color w:val="auto"/>
              </w:rPr>
              <w:t>1,236,329</w:t>
            </w:r>
          </w:p>
        </w:tc>
        <w:tc>
          <w:tcPr>
            <w:tcW w:w="240" w:type="dxa"/>
            <w:vAlign w:val="bottom"/>
          </w:tcPr>
          <w:p>
            <w:pPr>
              <w:jc w:val="right"/>
              <w:ind w:right="54"/>
              <w:spacing w:after="0"/>
              <w:rPr>
                <w:sz w:val="20"/>
                <w:szCs w:val="20"/>
                <w:color w:val="auto"/>
              </w:rPr>
            </w:pPr>
            <w:r>
              <w:rPr>
                <w:rFonts w:ascii="Arial" w:cs="Arial" w:eastAsia="Arial" w:hAnsi="Arial"/>
                <w:sz w:val="9"/>
                <w:szCs w:val="9"/>
                <w:color w:val="auto"/>
              </w:rPr>
              <w:t>(1)</w:t>
            </w:r>
          </w:p>
        </w:tc>
        <w:tc>
          <w:tcPr>
            <w:tcW w:w="3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59.02</w:t>
            </w:r>
          </w:p>
        </w:tc>
        <w:tc>
          <w:tcPr>
            <w:tcW w:w="460" w:type="dxa"/>
            <w:vAlign w:val="bottom"/>
          </w:tcPr>
          <w:p>
            <w:pPr>
              <w:jc w:val="right"/>
              <w:ind w:right="274"/>
              <w:spacing w:after="0"/>
              <w:rPr>
                <w:sz w:val="20"/>
                <w:szCs w:val="20"/>
                <w:color w:val="auto"/>
              </w:rPr>
            </w:pPr>
            <w:r>
              <w:rPr>
                <w:rFonts w:ascii="Arial" w:cs="Arial" w:eastAsia="Arial" w:hAnsi="Arial"/>
                <w:sz w:val="9"/>
                <w:szCs w:val="9"/>
                <w:color w:val="auto"/>
              </w:rPr>
              <w:t>(2)</w:t>
            </w:r>
          </w:p>
        </w:tc>
        <w:tc>
          <w:tcPr>
            <w:tcW w:w="2100" w:type="dxa"/>
            <w:vAlign w:val="bottom"/>
          </w:tcPr>
          <w:p>
            <w:pPr>
              <w:jc w:val="right"/>
              <w:spacing w:after="0"/>
              <w:rPr>
                <w:sz w:val="20"/>
                <w:szCs w:val="20"/>
                <w:color w:val="auto"/>
              </w:rPr>
            </w:pPr>
            <w:r>
              <w:rPr>
                <w:rFonts w:ascii="Arial" w:cs="Arial" w:eastAsia="Arial" w:hAnsi="Arial"/>
                <w:sz w:val="14"/>
                <w:szCs w:val="14"/>
                <w:color w:val="auto"/>
              </w:rPr>
              <w:t>4,869,297</w:t>
            </w:r>
          </w:p>
        </w:tc>
        <w:tc>
          <w:tcPr>
            <w:tcW w:w="340" w:type="dxa"/>
            <w:vAlign w:val="bottom"/>
          </w:tcPr>
          <w:p>
            <w:pPr>
              <w:jc w:val="right"/>
              <w:ind w:right="154"/>
              <w:spacing w:after="0"/>
              <w:rPr>
                <w:sz w:val="20"/>
                <w:szCs w:val="20"/>
                <w:color w:val="auto"/>
              </w:rPr>
            </w:pPr>
            <w:r>
              <w:rPr>
                <w:rFonts w:ascii="Arial" w:cs="Arial" w:eastAsia="Arial" w:hAnsi="Arial"/>
                <w:sz w:val="9"/>
                <w:szCs w:val="9"/>
                <w:color w:val="auto"/>
              </w:rPr>
              <w:t>(3)</w:t>
            </w:r>
          </w:p>
        </w:tc>
      </w:tr>
      <w:tr>
        <w:trPr>
          <w:trHeight w:val="180"/>
        </w:trPr>
        <w:tc>
          <w:tcPr>
            <w:tcW w:w="386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rPr>
              <w:t>2012 Stock and Incentive Plan</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2,187,017</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9"/>
                <w:szCs w:val="9"/>
                <w:color w:val="auto"/>
              </w:rPr>
              <w:t>(4)</w:t>
            </w:r>
          </w:p>
        </w:tc>
        <w:tc>
          <w:tcPr>
            <w:tcW w:w="3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41.16</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9"/>
                <w:szCs w:val="9"/>
                <w:color w:val="auto"/>
              </w:rPr>
              <w:t>(2)</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198,155</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9"/>
                <w:szCs w:val="9"/>
                <w:color w:val="auto"/>
              </w:rPr>
              <w:t>(5)</w:t>
            </w:r>
          </w:p>
        </w:tc>
      </w:tr>
      <w:tr>
        <w:trPr>
          <w:trHeight w:val="171"/>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3,423,346</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44.86</w:t>
            </w:r>
          </w:p>
        </w:tc>
        <w:tc>
          <w:tcPr>
            <w:tcW w:w="460" w:type="dxa"/>
            <w:vAlign w:val="bottom"/>
            <w:tcBorders>
              <w:bottom w:val="single" w:sz="8" w:color="auto"/>
            </w:tcBorders>
          </w:tcPr>
          <w:p>
            <w:pPr>
              <w:jc w:val="right"/>
              <w:ind w:right="274"/>
              <w:spacing w:after="0"/>
              <w:rPr>
                <w:sz w:val="20"/>
                <w:szCs w:val="20"/>
                <w:color w:val="auto"/>
              </w:rPr>
            </w:pPr>
            <w:r>
              <w:rPr>
                <w:rFonts w:ascii="Arial" w:cs="Arial" w:eastAsia="Arial" w:hAnsi="Arial"/>
                <w:sz w:val="9"/>
                <w:szCs w:val="9"/>
                <w:color w:val="auto"/>
              </w:rPr>
              <w:t>(2)</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5,067,452</w:t>
            </w:r>
          </w:p>
        </w:tc>
        <w:tc>
          <w:tcPr>
            <w:tcW w:w="340" w:type="dxa"/>
            <w:vAlign w:val="bottom"/>
            <w:tcBorders>
              <w:bottom w:val="single" w:sz="8" w:color="auto"/>
            </w:tcBorders>
          </w:tcPr>
          <w:p>
            <w:pPr>
              <w:spacing w:after="0"/>
              <w:rPr>
                <w:sz w:val="14"/>
                <w:szCs w:val="14"/>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40" w:hanging="235"/>
        <w:spacing w:after="0"/>
        <w:tabs>
          <w:tab w:leader="none" w:pos="2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Consists of 510,873 shares subject to stock options, 477,618 shares subject to restricted stock units, and 247,838 shares subject to performance share awards.</w:t>
      </w:r>
    </w:p>
    <w:p>
      <w:pPr>
        <w:spacing w:after="0" w:line="90"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Represents the weighted average exercise price of outstanding stock options and does not take into account outstanding restricted stock units or performance share units.</w:t>
      </w:r>
    </w:p>
    <w:p>
      <w:pPr>
        <w:spacing w:after="0" w:line="90"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Represents securities remaining available for issuance under the 2020 Share and Incentive Plan.</w:t>
      </w:r>
    </w:p>
    <w:p>
      <w:pPr>
        <w:spacing w:after="0" w:line="90" w:lineRule="exact"/>
        <w:rPr>
          <w:rFonts w:ascii="Arial" w:cs="Arial" w:eastAsia="Arial" w:hAnsi="Arial"/>
          <w:sz w:val="18"/>
          <w:szCs w:val="18"/>
          <w:color w:val="auto"/>
          <w:vertAlign w:val="superscript"/>
        </w:rPr>
      </w:pPr>
    </w:p>
    <w:p>
      <w:pPr>
        <w:ind w:left="240" w:hanging="235"/>
        <w:spacing w:after="0"/>
        <w:tabs>
          <w:tab w:leader="none" w:pos="24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Consists of 1,954,892 shares subject to stock options, 118,976 shares subject to restricted stock units, and 113,149 shares subject to performance share awards.</w:t>
      </w:r>
    </w:p>
    <w:p>
      <w:pPr>
        <w:spacing w:after="0" w:line="117" w:lineRule="exact"/>
        <w:rPr>
          <w:rFonts w:ascii="Arial" w:cs="Arial" w:eastAsia="Arial" w:hAnsi="Arial"/>
          <w:sz w:val="18"/>
          <w:szCs w:val="18"/>
          <w:color w:val="auto"/>
          <w:vertAlign w:val="superscript"/>
        </w:rPr>
      </w:pPr>
    </w:p>
    <w:p>
      <w:pPr>
        <w:ind w:left="260" w:hanging="255"/>
        <w:spacing w:after="0" w:line="228" w:lineRule="auto"/>
        <w:tabs>
          <w:tab w:leader="none" w:pos="250" w:val="left"/>
        </w:tabs>
        <w:numPr>
          <w:ilvl w:val="0"/>
          <w:numId w:val="53"/>
        </w:numPr>
        <w:rPr>
          <w:rFonts w:ascii="Arial" w:cs="Arial" w:eastAsia="Arial" w:hAnsi="Arial"/>
          <w:sz w:val="18"/>
          <w:szCs w:val="18"/>
          <w:color w:val="auto"/>
          <w:vertAlign w:val="superscript"/>
        </w:rPr>
      </w:pPr>
      <w:r>
        <w:rPr>
          <w:rFonts w:ascii="Arial" w:cs="Arial" w:eastAsia="Arial" w:hAnsi="Arial"/>
          <w:sz w:val="14"/>
          <w:szCs w:val="14"/>
          <w:color w:val="auto"/>
        </w:rPr>
        <w:t>The 2012 Stock and Incentive Plan was terminated in 2020. Stock options, restricted stock units and performance share awards previously granted under the 2012 Stock and Incentive Plan remain outstanding, but no further options or shares may be granted under this plan.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Information required under this item is contained in our Proxy Statement for our 2023 annual general meeting of shareholders under the captions “Proposal 1 Re-elect Director Nominees - Director Independence” and “Corporate Governance Matters - The Board’s Role and Responsibilities - Policies and Procedures Regarding Related Person Transactions” and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14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Information required under this item is contained in our Proxy Statement for our 2023 annual general meeting of shareholders under the caption “Proposal 3 Ratify, by Nonbinding, Advisory Vote, the Appointment of Deloitte &amp; Touche LLP (PCAOB ID No. 34) as the Independent Auditor of Pentair plc and to Authorize, by Binding Vote, the Audit and Finance Committee of the Board of Directors to Set the Auditor’s Remuneration”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auto"/>
        </w:rPr>
        <w:t>PART IV</w:t>
      </w:r>
    </w:p>
    <w:p>
      <w:pPr>
        <w:spacing w:after="0" w:line="136"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b w:val="1"/>
          <w:bCs w:val="1"/>
          <w:color w:val="auto"/>
        </w:rPr>
        <w:t>ITEM 15.</w:t>
        <w:tab/>
        <w:t>EXHIBITS AND FINANCIAL STATEMENT SCHEDULES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List of documents filed as part of this report: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(1) Financial Statements</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Consolidated Statements of Operations and Comprehensive Income for the years ended December 31, 2022, 2021 and 2020</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Consolidated Balance Sheets as of December 31, 2022 and 2021</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Consolidated Statements of Cash Flows for the years ended December 31, 2022, 2021 and 2020</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Consolidated Statements of Changes in Equity for the years ended December 31, 2022, 2021 and 2020</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Notes to Consolidated Financial Statements</w:t>
      </w:r>
    </w:p>
    <w:p>
      <w:pPr>
        <w:spacing w:after="0" w:line="164" w:lineRule="exact"/>
        <w:rPr>
          <w:sz w:val="20"/>
          <w:szCs w:val="20"/>
          <w:color w:val="auto"/>
        </w:rPr>
      </w:pPr>
    </w:p>
    <w:p>
      <w:pPr>
        <w:ind w:left="1020" w:right="8780" w:hanging="506"/>
        <w:spacing w:after="0" w:line="445" w:lineRule="auto"/>
        <w:tabs>
          <w:tab w:leader="none" w:pos="711"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Financial Statement Schedule </w:t>
      </w:r>
      <w:r>
        <w:rPr>
          <w:rFonts w:ascii="Arial" w:cs="Arial" w:eastAsia="Arial" w:hAnsi="Arial"/>
          <w:sz w:val="14"/>
          <w:szCs w:val="14"/>
          <w:color w:val="auto"/>
        </w:rPr>
        <w:t>None.</w:t>
      </w:r>
    </w:p>
    <w:p>
      <w:pPr>
        <w:spacing w:after="0" w:line="1" w:lineRule="exact"/>
        <w:rPr>
          <w:sz w:val="20"/>
          <w:szCs w:val="20"/>
          <w:color w:val="auto"/>
        </w:rPr>
      </w:pPr>
    </w:p>
    <w:p>
      <w:pPr>
        <w:ind w:left="1020"/>
        <w:spacing w:after="0" w:line="281" w:lineRule="auto"/>
        <w:rPr>
          <w:sz w:val="20"/>
          <w:szCs w:val="20"/>
          <w:color w:val="auto"/>
        </w:rPr>
      </w:pPr>
      <w:r>
        <w:rPr>
          <w:rFonts w:ascii="Arial" w:cs="Arial" w:eastAsia="Arial" w:hAnsi="Arial"/>
          <w:sz w:val="14"/>
          <w:szCs w:val="14"/>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(3) 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rPr>
              <w:t>The exhibits of this Annual Report on Form 10-K included herein are set forth below.</w:t>
            </w:r>
          </w:p>
        </w:tc>
        <w:tc>
          <w:tcPr>
            <w:tcW w:w="0" w:type="dxa"/>
            <w:vAlign w:val="bottom"/>
          </w:tcPr>
          <w:p>
            <w:pPr>
              <w:spacing w:after="0"/>
              <w:rPr>
                <w:sz w:val="1"/>
                <w:szCs w:val="1"/>
                <w:color w:val="auto"/>
              </w:rPr>
            </w:pPr>
          </w:p>
        </w:tc>
      </w:tr>
      <w:tr>
        <w:trPr>
          <w:trHeight w:val="166"/>
        </w:trPr>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042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1"/>
        </w:trPr>
        <w:tc>
          <w:tcPr>
            <w:tcW w:w="860" w:type="dxa"/>
            <w:vAlign w:val="bottom"/>
            <w:gridSpan w:val="3"/>
          </w:tcPr>
          <w:p>
            <w:pPr>
              <w:jc w:val="center"/>
              <w:spacing w:after="0"/>
              <w:rPr>
                <w:rFonts w:ascii="Arial" w:cs="Arial" w:eastAsia="Arial" w:hAnsi="Arial"/>
                <w:sz w:val="14"/>
                <w:szCs w:val="14"/>
                <w:b w:val="1"/>
                <w:bCs w:val="1"/>
                <w:color w:val="0000FF"/>
                <w:w w:val="81"/>
              </w:rPr>
            </w:pPr>
            <w:hyperlink r:id="rId103">
              <w:r>
                <w:rPr>
                  <w:rFonts w:ascii="Arial" w:cs="Arial" w:eastAsia="Arial" w:hAnsi="Arial"/>
                  <w:sz w:val="14"/>
                  <w:szCs w:val="14"/>
                  <w:b w:val="1"/>
                  <w:bCs w:val="1"/>
                  <w:color w:val="0000FF"/>
                  <w:w w:val="81"/>
                </w:rPr>
                <w:t>3.</w:t>
              </w:r>
              <w:r>
                <w:rPr>
                  <w:rFonts w:ascii="Arial" w:cs="Arial" w:eastAsia="Arial" w:hAnsi="Arial"/>
                  <w:sz w:val="14"/>
                  <w:szCs w:val="14"/>
                  <w:b w:val="1"/>
                  <w:bCs w:val="1"/>
                  <w:u w:val="single" w:color="auto"/>
                  <w:color w:val="0000FF"/>
                  <w:w w:val="81"/>
                </w:rPr>
                <w:t>1</w:t>
              </w:r>
            </w:hyperlink>
          </w:p>
        </w:tc>
        <w:tc>
          <w:tcPr>
            <w:tcW w:w="10420" w:type="dxa"/>
            <w:vAlign w:val="bottom"/>
          </w:tcPr>
          <w:p>
            <w:pPr>
              <w:ind w:left="160"/>
              <w:spacing w:after="0"/>
              <w:rPr>
                <w:sz w:val="20"/>
                <w:szCs w:val="20"/>
                <w:color w:val="auto"/>
              </w:rPr>
            </w:pPr>
            <w:r>
              <w:rPr>
                <w:rFonts w:ascii="Arial" w:cs="Arial" w:eastAsia="Arial" w:hAnsi="Arial"/>
                <w:sz w:val="14"/>
                <w:szCs w:val="14"/>
                <w:color w:val="auto"/>
                <w:w w:val="95"/>
              </w:rPr>
              <w:t>Amended and Restated Memorandum and Articles of Association of Pentair plc (Incorporated by reference to Exhibit 3.1 to the Current Report on Form 8-K of Pentair plc filed</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20" w:type="dxa"/>
            <w:vAlign w:val="bottom"/>
            <w:vMerge w:val="restart"/>
          </w:tcPr>
          <w:p>
            <w:pPr>
              <w:ind w:left="160"/>
              <w:spacing w:after="0"/>
              <w:rPr>
                <w:sz w:val="20"/>
                <w:szCs w:val="20"/>
                <w:color w:val="auto"/>
              </w:rPr>
            </w:pPr>
            <w:r>
              <w:rPr>
                <w:rFonts w:ascii="Arial" w:cs="Arial" w:eastAsia="Arial" w:hAnsi="Arial"/>
                <w:sz w:val="14"/>
                <w:szCs w:val="14"/>
                <w:color w:val="auto"/>
              </w:rPr>
              <w:t>with the Commission on May 9, 2017 (File No. 001-11625)).</w:t>
            </w:r>
          </w:p>
        </w:tc>
        <w:tc>
          <w:tcPr>
            <w:tcW w:w="0" w:type="dxa"/>
            <w:vAlign w:val="bottom"/>
          </w:tcPr>
          <w:p>
            <w:pPr>
              <w:spacing w:after="0" w:line="20" w:lineRule="exact"/>
              <w:rPr>
                <w:sz w:val="1"/>
                <w:szCs w:val="1"/>
                <w:color w:val="auto"/>
              </w:rPr>
            </w:pPr>
          </w:p>
        </w:tc>
      </w:tr>
      <w:tr>
        <w:trPr>
          <w:trHeight w:val="160"/>
        </w:trPr>
        <w:tc>
          <w:tcPr>
            <w:tcW w:w="860" w:type="dxa"/>
            <w:vAlign w:val="bottom"/>
            <w:gridSpan w:val="3"/>
            <w:vMerge w:val="restart"/>
          </w:tcPr>
          <w:p>
            <w:pPr>
              <w:jc w:val="center"/>
              <w:spacing w:after="0"/>
              <w:rPr>
                <w:rFonts w:ascii="Arial" w:cs="Arial" w:eastAsia="Arial" w:hAnsi="Arial"/>
                <w:sz w:val="14"/>
                <w:szCs w:val="14"/>
                <w:b w:val="1"/>
                <w:bCs w:val="1"/>
                <w:color w:val="0000FF"/>
                <w:w w:val="81"/>
              </w:rPr>
            </w:pPr>
            <w:hyperlink r:id="rId104">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1</w:t>
              </w:r>
            </w:hyperlink>
          </w:p>
        </w:tc>
        <w:tc>
          <w:tcPr>
            <w:tcW w:w="10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60" w:type="dxa"/>
            <w:vAlign w:val="bottom"/>
            <w:gridSpan w:val="3"/>
            <w:vMerge w:val="continue"/>
          </w:tcPr>
          <w:p>
            <w:pPr>
              <w:spacing w:after="0"/>
              <w:rPr>
                <w:sz w:val="16"/>
                <w:szCs w:val="16"/>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w w:val="95"/>
              </w:rPr>
              <w:t>Amended and Restated Credit Agreement, dated as of December 16, 2021, among Pentair plc, Pentair Finance S.à r.l., Pentair, Inc. and the lenders and agents party thereto</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20" w:type="dxa"/>
            <w:vAlign w:val="bottom"/>
            <w:vMerge w:val="restart"/>
          </w:tcPr>
          <w:p>
            <w:pPr>
              <w:ind w:left="160"/>
              <w:spacing w:after="0"/>
              <w:rPr>
                <w:sz w:val="20"/>
                <w:szCs w:val="20"/>
                <w:color w:val="auto"/>
              </w:rPr>
            </w:pPr>
            <w:r>
              <w:rPr>
                <w:rFonts w:ascii="Arial" w:cs="Arial" w:eastAsia="Arial" w:hAnsi="Arial"/>
                <w:sz w:val="14"/>
                <w:szCs w:val="14"/>
                <w:color w:val="auto"/>
              </w:rPr>
              <w:t>(Incorporated by reference to Exhibit 4.1 to the Current Report on Form 8-K of Pentair plc filed with the Commission on December 20, 2021 (File No. 001-11625)).</w:t>
            </w:r>
          </w:p>
        </w:tc>
        <w:tc>
          <w:tcPr>
            <w:tcW w:w="0" w:type="dxa"/>
            <w:vAlign w:val="bottom"/>
          </w:tcPr>
          <w:p>
            <w:pPr>
              <w:spacing w:after="0" w:line="20" w:lineRule="exact"/>
              <w:rPr>
                <w:sz w:val="1"/>
                <w:szCs w:val="1"/>
                <w:color w:val="auto"/>
              </w:rPr>
            </w:pPr>
          </w:p>
        </w:tc>
      </w:tr>
      <w:tr>
        <w:trPr>
          <w:trHeight w:val="160"/>
        </w:trPr>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2</w:t>
            </w:r>
          </w:p>
        </w:tc>
        <w:tc>
          <w:tcPr>
            <w:tcW w:w="10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60" w:type="dxa"/>
            <w:vAlign w:val="bottom"/>
            <w:gridSpan w:val="3"/>
            <w:vMerge w:val="continue"/>
          </w:tcPr>
          <w:p>
            <w:pPr>
              <w:spacing w:after="0"/>
              <w:rPr>
                <w:sz w:val="16"/>
                <w:szCs w:val="16"/>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w w:val="94"/>
              </w:rPr>
              <w:t>Amendment No. 1, dated as of December 23, 2022, to Amended and Restated Credit Agreement, dated as of December 16, 2021, among Pentair plc, Pentair Finance S.à r.l.,</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20" w:type="dxa"/>
            <w:vAlign w:val="bottom"/>
            <w:vMerge w:val="restart"/>
          </w:tcPr>
          <w:p>
            <w:pPr>
              <w:ind w:left="160"/>
              <w:spacing w:after="0"/>
              <w:rPr>
                <w:sz w:val="20"/>
                <w:szCs w:val="20"/>
                <w:color w:val="auto"/>
              </w:rPr>
            </w:pPr>
            <w:r>
              <w:rPr>
                <w:rFonts w:ascii="Arial" w:cs="Arial" w:eastAsia="Arial" w:hAnsi="Arial"/>
                <w:sz w:val="14"/>
                <w:szCs w:val="14"/>
                <w:color w:val="auto"/>
              </w:rPr>
              <w:t>Pentair, Inc. and the lenders and agents party thereto.</w:t>
            </w:r>
          </w:p>
        </w:tc>
        <w:tc>
          <w:tcPr>
            <w:tcW w:w="0" w:type="dxa"/>
            <w:vAlign w:val="bottom"/>
          </w:tcPr>
          <w:p>
            <w:pPr>
              <w:spacing w:after="0" w:line="20" w:lineRule="exact"/>
              <w:rPr>
                <w:sz w:val="1"/>
                <w:szCs w:val="1"/>
                <w:color w:val="auto"/>
              </w:rPr>
            </w:pPr>
          </w:p>
        </w:tc>
      </w:tr>
      <w:tr>
        <w:trPr>
          <w:trHeight w:val="171"/>
        </w:trPr>
        <w:tc>
          <w:tcPr>
            <w:tcW w:w="860" w:type="dxa"/>
            <w:vAlign w:val="bottom"/>
            <w:gridSpan w:val="3"/>
            <w:vMerge w:val="restart"/>
          </w:tcPr>
          <w:p>
            <w:pPr>
              <w:jc w:val="center"/>
              <w:spacing w:after="0"/>
              <w:rPr>
                <w:rFonts w:ascii="Arial" w:cs="Arial" w:eastAsia="Arial" w:hAnsi="Arial"/>
                <w:sz w:val="14"/>
                <w:szCs w:val="14"/>
                <w:b w:val="1"/>
                <w:bCs w:val="1"/>
                <w:color w:val="0000FF"/>
                <w:w w:val="81"/>
              </w:rPr>
            </w:pPr>
            <w:hyperlink r:id="rId105">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3</w:t>
              </w:r>
            </w:hyperlink>
          </w:p>
        </w:tc>
        <w:tc>
          <w:tcPr>
            <w:tcW w:w="10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 w:type="dxa"/>
            <w:vAlign w:val="bottom"/>
            <w:gridSpan w:val="3"/>
            <w:vMerge w:val="continue"/>
          </w:tcPr>
          <w:p>
            <w:pPr>
              <w:spacing w:after="0"/>
              <w:rPr>
                <w:sz w:val="18"/>
                <w:szCs w:val="18"/>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w w:val="92"/>
              </w:rPr>
              <w:t>Indenture, dated as of September 16, 2015, among Pentair Finance S.A. (as Issuer), Pentair plc (as Parent and Guarantor), Pentair Investments Switzerland GmbH (as Guarantor)</w:t>
            </w: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10420" w:type="dxa"/>
            <w:vAlign w:val="bottom"/>
          </w:tcPr>
          <w:p>
            <w:pPr>
              <w:ind w:left="160"/>
              <w:spacing w:after="0" w:line="118" w:lineRule="exact"/>
              <w:rPr>
                <w:sz w:val="20"/>
                <w:szCs w:val="20"/>
                <w:color w:val="auto"/>
              </w:rPr>
            </w:pPr>
            <w:r>
              <w:rPr>
                <w:rFonts w:ascii="Arial" w:cs="Arial" w:eastAsia="Arial" w:hAnsi="Arial"/>
                <w:sz w:val="13"/>
                <w:szCs w:val="13"/>
                <w:color w:val="auto"/>
              </w:rPr>
              <w:t>and U.S. Bank National Association (as Trustee) (Incorporated by reference to Exhibit 4.1 to the Current Report on Form 8-K of Pentair plc filed with the Commission on</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rPr>
              <w:t>September 16, 2015 (File No. 001-11625)).</w:t>
            </w:r>
          </w:p>
        </w:tc>
        <w:tc>
          <w:tcPr>
            <w:tcW w:w="0" w:type="dxa"/>
            <w:vAlign w:val="bottom"/>
          </w:tcPr>
          <w:p>
            <w:pPr>
              <w:spacing w:after="0"/>
              <w:rPr>
                <w:sz w:val="1"/>
                <w:szCs w:val="1"/>
                <w:color w:val="auto"/>
              </w:rPr>
            </w:pPr>
          </w:p>
        </w:tc>
      </w:tr>
      <w:tr>
        <w:trPr>
          <w:trHeight w:val="191"/>
        </w:trPr>
        <w:tc>
          <w:tcPr>
            <w:tcW w:w="860" w:type="dxa"/>
            <w:vAlign w:val="bottom"/>
            <w:gridSpan w:val="3"/>
          </w:tcPr>
          <w:p>
            <w:pPr>
              <w:jc w:val="center"/>
              <w:spacing w:after="0"/>
              <w:rPr>
                <w:rFonts w:ascii="Arial" w:cs="Arial" w:eastAsia="Arial" w:hAnsi="Arial"/>
                <w:sz w:val="14"/>
                <w:szCs w:val="14"/>
                <w:b w:val="1"/>
                <w:bCs w:val="1"/>
                <w:color w:val="0000FF"/>
                <w:w w:val="81"/>
              </w:rPr>
            </w:pPr>
            <w:hyperlink r:id="rId106">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4</w:t>
              </w:r>
            </w:hyperlink>
          </w:p>
        </w:tc>
        <w:tc>
          <w:tcPr>
            <w:tcW w:w="10420" w:type="dxa"/>
            <w:vAlign w:val="bottom"/>
          </w:tcPr>
          <w:p>
            <w:pPr>
              <w:ind w:left="160"/>
              <w:spacing w:after="0"/>
              <w:rPr>
                <w:sz w:val="20"/>
                <w:szCs w:val="20"/>
                <w:color w:val="auto"/>
              </w:rPr>
            </w:pPr>
            <w:r>
              <w:rPr>
                <w:rFonts w:ascii="Arial" w:cs="Arial" w:eastAsia="Arial" w:hAnsi="Arial"/>
                <w:sz w:val="14"/>
                <w:szCs w:val="14"/>
                <w:color w:val="auto"/>
                <w:w w:val="93"/>
              </w:rPr>
              <w:t>Third Supplemental Indenture, dated as of September 16, 2015, among Pentair Finance S.A. (as Issuer), Pentair plc (as Parent and Guarantor), Pentair Investments Switzerland</w:t>
            </w: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10420" w:type="dxa"/>
            <w:vAlign w:val="bottom"/>
          </w:tcPr>
          <w:p>
            <w:pPr>
              <w:ind w:left="160"/>
              <w:spacing w:after="0" w:line="118" w:lineRule="exact"/>
              <w:rPr>
                <w:sz w:val="20"/>
                <w:szCs w:val="20"/>
                <w:color w:val="auto"/>
              </w:rPr>
            </w:pPr>
            <w:r>
              <w:rPr>
                <w:rFonts w:ascii="Arial" w:cs="Arial" w:eastAsia="Arial" w:hAnsi="Arial"/>
                <w:sz w:val="13"/>
                <w:szCs w:val="13"/>
                <w:color w:val="auto"/>
              </w:rPr>
              <w:t>GmbH (as Guarantor) and U.S. Bank National Association (as Trustee) (Incorporated by reference to Exhibit 4.4 to the Current Report on Form 8-K of Pentair plc filed with the</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rPr>
              <w:t>Commission on September 16, 2015 (File No. 001-11625)).</w:t>
            </w:r>
          </w:p>
        </w:tc>
        <w:tc>
          <w:tcPr>
            <w:tcW w:w="0" w:type="dxa"/>
            <w:vAlign w:val="bottom"/>
          </w:tcPr>
          <w:p>
            <w:pPr>
              <w:spacing w:after="0"/>
              <w:rPr>
                <w:sz w:val="1"/>
                <w:szCs w:val="1"/>
                <w:color w:val="auto"/>
              </w:rPr>
            </w:pPr>
          </w:p>
        </w:tc>
      </w:tr>
      <w:tr>
        <w:trPr>
          <w:trHeight w:val="191"/>
        </w:trPr>
        <w:tc>
          <w:tcPr>
            <w:tcW w:w="860" w:type="dxa"/>
            <w:vAlign w:val="bottom"/>
            <w:gridSpan w:val="3"/>
          </w:tcPr>
          <w:p>
            <w:pPr>
              <w:jc w:val="center"/>
              <w:spacing w:after="0"/>
              <w:rPr>
                <w:rFonts w:ascii="Arial" w:cs="Arial" w:eastAsia="Arial" w:hAnsi="Arial"/>
                <w:sz w:val="14"/>
                <w:szCs w:val="14"/>
                <w:b w:val="1"/>
                <w:bCs w:val="1"/>
                <w:color w:val="0000FF"/>
                <w:w w:val="81"/>
              </w:rPr>
            </w:pPr>
            <w:hyperlink r:id="rId107">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5</w:t>
              </w:r>
            </w:hyperlink>
          </w:p>
        </w:tc>
        <w:tc>
          <w:tcPr>
            <w:tcW w:w="10420" w:type="dxa"/>
            <w:vAlign w:val="bottom"/>
          </w:tcPr>
          <w:p>
            <w:pPr>
              <w:ind w:left="160"/>
              <w:spacing w:after="0"/>
              <w:rPr>
                <w:sz w:val="20"/>
                <w:szCs w:val="20"/>
                <w:color w:val="auto"/>
              </w:rPr>
            </w:pPr>
            <w:r>
              <w:rPr>
                <w:rFonts w:ascii="Arial" w:cs="Arial" w:eastAsia="Arial" w:hAnsi="Arial"/>
                <w:sz w:val="14"/>
                <w:szCs w:val="14"/>
                <w:color w:val="auto"/>
                <w:w w:val="92"/>
              </w:rPr>
              <w:t>Fifth Supplemental Indenture, dated as of May 26, 2017, among Pentair Finance S.A., Pentair plc, Pentair Investments Switzerland GmbH and U.S. Bank National Association, as</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20" w:type="dxa"/>
            <w:vAlign w:val="bottom"/>
            <w:vMerge w:val="restart"/>
          </w:tcPr>
          <w:p>
            <w:pPr>
              <w:ind w:left="160"/>
              <w:spacing w:after="0"/>
              <w:rPr>
                <w:sz w:val="20"/>
                <w:szCs w:val="20"/>
                <w:color w:val="auto"/>
              </w:rPr>
            </w:pPr>
            <w:r>
              <w:rPr>
                <w:rFonts w:ascii="Arial" w:cs="Arial" w:eastAsia="Arial" w:hAnsi="Arial"/>
                <w:sz w:val="14"/>
                <w:szCs w:val="14"/>
                <w:color w:val="auto"/>
              </w:rPr>
              <w:t>trustee (Incorporated by reference to Exhibit 4.3 to the Current Report on Form 8-K of Pentair plc filed with the Commission on May 31, 2017 (File No. 001-11625)).</w:t>
            </w:r>
          </w:p>
        </w:tc>
        <w:tc>
          <w:tcPr>
            <w:tcW w:w="0" w:type="dxa"/>
            <w:vAlign w:val="bottom"/>
          </w:tcPr>
          <w:p>
            <w:pPr>
              <w:spacing w:after="0" w:line="20" w:lineRule="exact"/>
              <w:rPr>
                <w:sz w:val="1"/>
                <w:szCs w:val="1"/>
                <w:color w:val="auto"/>
              </w:rPr>
            </w:pPr>
          </w:p>
        </w:tc>
      </w:tr>
      <w:tr>
        <w:trPr>
          <w:trHeight w:val="160"/>
        </w:trPr>
        <w:tc>
          <w:tcPr>
            <w:tcW w:w="860" w:type="dxa"/>
            <w:vAlign w:val="bottom"/>
            <w:gridSpan w:val="3"/>
            <w:vMerge w:val="restart"/>
          </w:tcPr>
          <w:p>
            <w:pPr>
              <w:jc w:val="center"/>
              <w:spacing w:after="0"/>
              <w:rPr>
                <w:rFonts w:ascii="Arial" w:cs="Arial" w:eastAsia="Arial" w:hAnsi="Arial"/>
                <w:sz w:val="14"/>
                <w:szCs w:val="14"/>
                <w:b w:val="1"/>
                <w:bCs w:val="1"/>
                <w:color w:val="0000FF"/>
                <w:w w:val="81"/>
              </w:rPr>
            </w:pPr>
            <w:hyperlink r:id="rId108">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6</w:t>
              </w:r>
            </w:hyperlink>
          </w:p>
        </w:tc>
        <w:tc>
          <w:tcPr>
            <w:tcW w:w="10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60" w:type="dxa"/>
            <w:vAlign w:val="bottom"/>
            <w:gridSpan w:val="3"/>
            <w:vMerge w:val="continue"/>
          </w:tcPr>
          <w:p>
            <w:pPr>
              <w:spacing w:after="0"/>
              <w:rPr>
                <w:sz w:val="16"/>
                <w:szCs w:val="16"/>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w w:val="91"/>
              </w:rPr>
              <w:t>Sixth Supplemental Indenture, dated as of June 21, 2019, among Pentair Finance S.à r.l. (as Issuer), Pentair plc (as Parent and Guarantor), Pentair Investments Switzerland GmbH</w:t>
            </w: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320" w:type="dxa"/>
            <w:vAlign w:val="bottom"/>
          </w:tcPr>
          <w:p>
            <w:pPr>
              <w:spacing w:after="0"/>
              <w:rPr>
                <w:sz w:val="10"/>
                <w:szCs w:val="10"/>
                <w:color w:val="auto"/>
              </w:rPr>
            </w:pPr>
          </w:p>
        </w:tc>
        <w:tc>
          <w:tcPr>
            <w:tcW w:w="10420" w:type="dxa"/>
            <w:vAlign w:val="bottom"/>
          </w:tcPr>
          <w:p>
            <w:pPr>
              <w:ind w:left="160"/>
              <w:spacing w:after="0" w:line="118" w:lineRule="exact"/>
              <w:rPr>
                <w:sz w:val="20"/>
                <w:szCs w:val="20"/>
                <w:color w:val="auto"/>
              </w:rPr>
            </w:pPr>
            <w:r>
              <w:rPr>
                <w:rFonts w:ascii="Arial" w:cs="Arial" w:eastAsia="Arial" w:hAnsi="Arial"/>
                <w:sz w:val="13"/>
                <w:szCs w:val="13"/>
                <w:color w:val="auto"/>
              </w:rPr>
              <w:t>(as Guarantor) and U.S. Bank National Association (as Trustee) (Incorporated by reference to Exhibit 4.2 to the Current Report on Form 8-K of Pentair plc filed with the</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20" w:type="dxa"/>
            <w:vAlign w:val="bottom"/>
          </w:tcPr>
          <w:p>
            <w:pPr>
              <w:ind w:left="160"/>
              <w:spacing w:after="0"/>
              <w:rPr>
                <w:sz w:val="20"/>
                <w:szCs w:val="20"/>
                <w:color w:val="auto"/>
              </w:rPr>
            </w:pPr>
            <w:r>
              <w:rPr>
                <w:rFonts w:ascii="Arial" w:cs="Arial" w:eastAsia="Arial" w:hAnsi="Arial"/>
                <w:sz w:val="14"/>
                <w:szCs w:val="14"/>
                <w:color w:val="auto"/>
              </w:rPr>
              <w:t>Commission on June 21, 2019 (File No. 001-11625)).</w:t>
            </w:r>
          </w:p>
        </w:tc>
        <w:tc>
          <w:tcPr>
            <w:tcW w:w="0" w:type="dxa"/>
            <w:vAlign w:val="bottom"/>
          </w:tcPr>
          <w:p>
            <w:pPr>
              <w:spacing w:after="0"/>
              <w:rPr>
                <w:sz w:val="1"/>
                <w:szCs w:val="1"/>
                <w:color w:val="auto"/>
              </w:rPr>
            </w:pPr>
          </w:p>
        </w:tc>
      </w:tr>
      <w:tr>
        <w:trPr>
          <w:trHeight w:val="72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20" w:type="dxa"/>
            <w:vAlign w:val="bottom"/>
          </w:tcPr>
          <w:p>
            <w:pPr>
              <w:ind w:left="472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87"/>
        </w:trPr>
        <w:tc>
          <w:tcPr>
            <w:tcW w:w="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61"/>
        </w:trPr>
        <w:tc>
          <w:tcPr>
            <w:tcW w:w="580" w:type="dxa"/>
            <w:vAlign w:val="bottom"/>
            <w:gridSpan w:val="3"/>
          </w:tcPr>
          <w:p>
            <w:pPr>
              <w:jc w:val="center"/>
              <w:ind w:left="269"/>
              <w:spacing w:after="0"/>
              <w:rPr>
                <w:rFonts w:ascii="Arial" w:cs="Arial" w:eastAsia="Arial" w:hAnsi="Arial"/>
                <w:sz w:val="14"/>
                <w:szCs w:val="14"/>
                <w:b w:val="1"/>
                <w:bCs w:val="1"/>
                <w:color w:val="0000FF"/>
                <w:w w:val="81"/>
              </w:rPr>
            </w:pPr>
            <w:hyperlink r:id="rId111">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7</w:t>
              </w:r>
            </w:hyperlink>
          </w:p>
        </w:tc>
        <w:tc>
          <w:tcPr>
            <w:tcW w:w="240" w:type="dxa"/>
            <w:vAlign w:val="bottom"/>
          </w:tcPr>
          <w:p>
            <w:pPr>
              <w:spacing w:after="0"/>
              <w:rPr>
                <w:sz w:val="14"/>
                <w:szCs w:val="14"/>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3"/>
              </w:rPr>
              <w:t>Seventh Supplemental Indenture, dated as of June 22, 2020, among Pentair Finance S.à r.l. (as Issuer), Pentair plc (as Parent and Guarantor), Pentair Investments Switzerland</w:t>
            </w: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60" w:type="dxa"/>
            <w:vAlign w:val="bottom"/>
          </w:tcPr>
          <w:p>
            <w:pPr>
              <w:ind w:left="200"/>
              <w:spacing w:after="0" w:line="118" w:lineRule="exact"/>
              <w:rPr>
                <w:sz w:val="20"/>
                <w:szCs w:val="20"/>
                <w:color w:val="auto"/>
              </w:rPr>
            </w:pPr>
            <w:r>
              <w:rPr>
                <w:rFonts w:ascii="Arial" w:cs="Arial" w:eastAsia="Arial" w:hAnsi="Arial"/>
                <w:sz w:val="13"/>
                <w:szCs w:val="13"/>
                <w:color w:val="auto"/>
              </w:rPr>
              <w:t>GmbH (as Guarantor) and U.S. Bank National Association (as Trustee) (Incorporated by reference to Exhibit 4.2 to the Quarterly Report on Form 10-Q of Pentair plc filed with the</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Commission on July 23, 2020 (File No. 001-11625)).</w:t>
            </w:r>
          </w:p>
        </w:tc>
        <w:tc>
          <w:tcPr>
            <w:tcW w:w="0" w:type="dxa"/>
            <w:vAlign w:val="bottom"/>
          </w:tcPr>
          <w:p>
            <w:pPr>
              <w:spacing w:after="0"/>
              <w:rPr>
                <w:sz w:val="1"/>
                <w:szCs w:val="1"/>
                <w:color w:val="auto"/>
              </w:rPr>
            </w:pPr>
          </w:p>
        </w:tc>
      </w:tr>
      <w:tr>
        <w:trPr>
          <w:trHeight w:val="191"/>
        </w:trPr>
        <w:tc>
          <w:tcPr>
            <w:tcW w:w="580" w:type="dxa"/>
            <w:vAlign w:val="bottom"/>
            <w:gridSpan w:val="3"/>
          </w:tcPr>
          <w:p>
            <w:pPr>
              <w:jc w:val="center"/>
              <w:ind w:left="269"/>
              <w:spacing w:after="0"/>
              <w:rPr>
                <w:rFonts w:ascii="Arial" w:cs="Arial" w:eastAsia="Arial" w:hAnsi="Arial"/>
                <w:sz w:val="14"/>
                <w:szCs w:val="14"/>
                <w:b w:val="1"/>
                <w:bCs w:val="1"/>
                <w:color w:val="0000FF"/>
                <w:w w:val="81"/>
              </w:rPr>
            </w:pPr>
            <w:hyperlink r:id="rId112">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8</w:t>
              </w:r>
            </w:hyperlink>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2"/>
              </w:rPr>
              <w:t>Eighth Supplemental Indenture, dated as of July 8, 2022, among Pentair Finance S.à r.l., Pentair plc and U.S. Bank Trust Company, National Association, as trustee (Incorporated</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by reference to Exhibit 4.3 to the Current Report on Form 8-K of Pentair plc filed with the Commission on July 8, 2022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1"/>
              </w:rPr>
            </w:pPr>
            <w:hyperlink r:id="rId113">
              <w:r>
                <w:rPr>
                  <w:rFonts w:ascii="Arial" w:cs="Arial" w:eastAsia="Arial" w:hAnsi="Arial"/>
                  <w:sz w:val="14"/>
                  <w:szCs w:val="14"/>
                  <w:b w:val="1"/>
                  <w:bCs w:val="1"/>
                  <w:color w:val="0000FF"/>
                  <w:w w:val="81"/>
                </w:rPr>
                <w:t>4.</w:t>
              </w:r>
              <w:r>
                <w:rPr>
                  <w:rFonts w:ascii="Arial" w:cs="Arial" w:eastAsia="Arial" w:hAnsi="Arial"/>
                  <w:sz w:val="14"/>
                  <w:szCs w:val="14"/>
                  <w:b w:val="1"/>
                  <w:bCs w:val="1"/>
                  <w:u w:val="single" w:color="auto"/>
                  <w:color w:val="0000FF"/>
                  <w:w w:val="81"/>
                </w:rPr>
                <w:t>9</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2"/>
              </w:rPr>
              <w:t>Loan Agreement, dated as of March 24, 2022, among Pentair plc, Pentair Finance S.à r.l., and the lenders and agents party thereto (Incorporated by reference to Exhibit 4.1 to the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Current Report on Form 8-K of Pentair plc filed with the Commission on March 25, 2022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14">
              <w:r>
                <w:rPr>
                  <w:rFonts w:ascii="Arial" w:cs="Arial" w:eastAsia="Arial" w:hAnsi="Arial"/>
                  <w:sz w:val="14"/>
                  <w:szCs w:val="14"/>
                  <w:b w:val="1"/>
                  <w:bCs w:val="1"/>
                  <w:color w:val="0000FF"/>
                  <w:w w:val="87"/>
                </w:rPr>
                <w:t>4.</w:t>
              </w:r>
              <w:r>
                <w:rPr>
                  <w:rFonts w:ascii="Arial" w:cs="Arial" w:eastAsia="Arial" w:hAnsi="Arial"/>
                  <w:sz w:val="14"/>
                  <w:szCs w:val="14"/>
                  <w:b w:val="1"/>
                  <w:bCs w:val="1"/>
                  <w:u w:val="single" w:color="auto"/>
                  <w:color w:val="0000FF"/>
                  <w:w w:val="87"/>
                </w:rPr>
                <w:t>10</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1"/>
              </w:rPr>
              <w:t>Amendment No. 1, dated as of June 30, 2022, to Loan Agreement, among Pentair plc, Pentair Finance S.à r.l., and the lenders and agents party thereto (Incorporated by reference to</w:t>
            </w:r>
          </w:p>
        </w:tc>
        <w:tc>
          <w:tcPr>
            <w:tcW w:w="0" w:type="dxa"/>
            <w:vAlign w:val="bottom"/>
          </w:tcPr>
          <w:p>
            <w:pPr>
              <w:spacing w:after="0"/>
              <w:rPr>
                <w:sz w:val="1"/>
                <w:szCs w:val="1"/>
                <w:color w:val="auto"/>
              </w:rPr>
            </w:pPr>
          </w:p>
        </w:tc>
      </w:tr>
      <w:tr>
        <w:trPr>
          <w:trHeight w:val="160"/>
        </w:trPr>
        <w:tc>
          <w:tcPr>
            <w:tcW w:w="380" w:type="dxa"/>
            <w:vAlign w:val="bottom"/>
            <w:vMerge w:val="restart"/>
          </w:tcPr>
          <w:p>
            <w:pPr>
              <w:spacing w:after="0"/>
              <w:rPr>
                <w:sz w:val="13"/>
                <w:szCs w:val="13"/>
                <w:color w:val="auto"/>
              </w:rPr>
            </w:pPr>
          </w:p>
        </w:tc>
        <w:tc>
          <w:tcPr>
            <w:tcW w:w="200" w:type="dxa"/>
            <w:vAlign w:val="bottom"/>
            <w:tcBorders>
              <w:top w:val="single" w:sz="8" w:color="0000FF"/>
            </w:tcBorders>
            <w:gridSpan w:val="2"/>
            <w:vMerge w:val="restart"/>
          </w:tcPr>
          <w:p>
            <w:pPr>
              <w:jc w:val="center"/>
              <w:spacing w:after="0"/>
              <w:rPr>
                <w:sz w:val="20"/>
                <w:szCs w:val="20"/>
                <w:color w:val="auto"/>
              </w:rPr>
            </w:pPr>
            <w:r>
              <w:rPr>
                <w:rFonts w:ascii="Arial" w:cs="Arial" w:eastAsia="Arial" w:hAnsi="Arial"/>
                <w:sz w:val="14"/>
                <w:szCs w:val="14"/>
                <w:b w:val="1"/>
                <w:bCs w:val="1"/>
                <w:color w:val="0000FF"/>
                <w:w w:val="73"/>
              </w:rPr>
              <w:t>4.</w:t>
            </w:r>
            <w:r>
              <w:rPr>
                <w:rFonts w:ascii="Arial" w:cs="Arial" w:eastAsia="Arial" w:hAnsi="Arial"/>
                <w:sz w:val="14"/>
                <w:szCs w:val="14"/>
                <w:b w:val="1"/>
                <w:bCs w:val="1"/>
                <w:u w:val="single" w:color="auto"/>
                <w:color w:val="0000FF"/>
                <w:w w:val="73"/>
              </w:rPr>
              <w:t>11</w:t>
            </w:r>
          </w:p>
        </w:tc>
        <w:tc>
          <w:tcPr>
            <w:tcW w:w="240" w:type="dxa"/>
            <w:vAlign w:val="bottom"/>
          </w:tcPr>
          <w:p>
            <w:pPr>
              <w:spacing w:after="0"/>
              <w:rPr>
                <w:sz w:val="13"/>
                <w:szCs w:val="13"/>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Exhibit 4.1 to the Current Report on Form 8-K of Pentair plc filed with the Commission on June 30, 2022 (File No. 001-11625)).</w:t>
            </w:r>
          </w:p>
        </w:tc>
        <w:tc>
          <w:tcPr>
            <w:tcW w:w="0" w:type="dxa"/>
            <w:vAlign w:val="bottom"/>
          </w:tcPr>
          <w:p>
            <w:pPr>
              <w:spacing w:after="0"/>
              <w:rPr>
                <w:sz w:val="1"/>
                <w:szCs w:val="1"/>
                <w:color w:val="auto"/>
              </w:rPr>
            </w:pPr>
          </w:p>
        </w:tc>
      </w:tr>
      <w:tr>
        <w:trPr>
          <w:trHeight w:val="191"/>
        </w:trPr>
        <w:tc>
          <w:tcPr>
            <w:tcW w:w="380" w:type="dxa"/>
            <w:vAlign w:val="bottom"/>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Description of Securities.</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0" w:type="dxa"/>
            <w:vAlign w:val="bottom"/>
            <w:gridSpan w:val="3"/>
          </w:tcPr>
          <w:p>
            <w:pPr>
              <w:jc w:val="center"/>
              <w:ind w:left="269"/>
              <w:spacing w:after="0"/>
              <w:rPr>
                <w:rFonts w:ascii="Arial" w:cs="Arial" w:eastAsia="Arial" w:hAnsi="Arial"/>
                <w:sz w:val="14"/>
                <w:szCs w:val="14"/>
                <w:b w:val="1"/>
                <w:bCs w:val="1"/>
                <w:color w:val="0000FF"/>
                <w:w w:val="87"/>
              </w:rPr>
            </w:pPr>
            <w:hyperlink r:id="rId115">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1</w:t>
              </w:r>
            </w:hyperlink>
          </w:p>
        </w:tc>
        <w:tc>
          <w:tcPr>
            <w:tcW w:w="240" w:type="dxa"/>
            <w:vAlign w:val="bottom"/>
          </w:tcPr>
          <w:p>
            <w:pPr>
              <w:spacing w:after="0"/>
              <w:rPr>
                <w:sz w:val="19"/>
                <w:szCs w:val="19"/>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3"/>
              </w:rPr>
              <w:t>Tax Matters Agreement, dated as of April 27, 2018, by and between Pentair plc and nVent Electric plc (Incorporated by reference to Exhibit 2.2 to the Current Report on Form 8-K</w:t>
            </w:r>
          </w:p>
        </w:tc>
        <w:tc>
          <w:tcPr>
            <w:tcW w:w="0" w:type="dxa"/>
            <w:vAlign w:val="bottom"/>
          </w:tcPr>
          <w:p>
            <w:pPr>
              <w:spacing w:after="0"/>
              <w:rPr>
                <w:sz w:val="1"/>
                <w:szCs w:val="1"/>
                <w:color w:val="auto"/>
              </w:rPr>
            </w:pPr>
          </w:p>
        </w:tc>
      </w:tr>
      <w:tr>
        <w:trPr>
          <w:trHeight w:val="181"/>
        </w:trPr>
        <w:tc>
          <w:tcPr>
            <w:tcW w:w="380" w:type="dxa"/>
            <w:vAlign w:val="bottom"/>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Pr>
          <w:p>
            <w:pPr>
              <w:spacing w:after="0"/>
              <w:rPr>
                <w:sz w:val="15"/>
                <w:szCs w:val="15"/>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of Pentair plc filed with the Commission on April 30, 2018 (File No. 001-11625)).</w:t>
            </w:r>
          </w:p>
        </w:tc>
        <w:tc>
          <w:tcPr>
            <w:tcW w:w="0" w:type="dxa"/>
            <w:vAlign w:val="bottom"/>
          </w:tcPr>
          <w:p>
            <w:pPr>
              <w:spacing w:after="0"/>
              <w:rPr>
                <w:sz w:val="1"/>
                <w:szCs w:val="1"/>
                <w:color w:val="auto"/>
              </w:rPr>
            </w:pPr>
          </w:p>
        </w:tc>
      </w:tr>
      <w:tr>
        <w:trPr>
          <w:trHeight w:val="213"/>
        </w:trPr>
        <w:tc>
          <w:tcPr>
            <w:tcW w:w="580" w:type="dxa"/>
            <w:vAlign w:val="bottom"/>
            <w:gridSpan w:val="3"/>
          </w:tcPr>
          <w:p>
            <w:pPr>
              <w:jc w:val="center"/>
              <w:ind w:left="269"/>
              <w:spacing w:after="0"/>
              <w:rPr>
                <w:rFonts w:ascii="Arial" w:cs="Arial" w:eastAsia="Arial" w:hAnsi="Arial"/>
                <w:sz w:val="14"/>
                <w:szCs w:val="14"/>
                <w:b w:val="1"/>
                <w:bCs w:val="1"/>
                <w:color w:val="0000FF"/>
                <w:w w:val="87"/>
              </w:rPr>
            </w:pPr>
            <w:hyperlink r:id="rId116">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2</w:t>
              </w:r>
            </w:hyperlink>
          </w:p>
        </w:tc>
        <w:tc>
          <w:tcPr>
            <w:tcW w:w="240" w:type="dxa"/>
            <w:vAlign w:val="bottom"/>
          </w:tcPr>
          <w:p>
            <w:pPr>
              <w:spacing w:after="0"/>
              <w:rPr>
                <w:sz w:val="18"/>
                <w:szCs w:val="18"/>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2"/>
              </w:rPr>
              <w:t>Pentair plc 2012 Stock and Incentive Plan, as amended and restated effective as of January 1, 2017. (Incorporated by reference to Exhibit 10.2 to the Annual Report on Form 10-K</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of Pentair plc for the year ended December 31, 2016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17">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3</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4"/>
              </w:rPr>
              <w:t>Form of Executive Officer Stock Option Grant Agreement for grants made prior to January 1, 2017 (Incorporated by reference to Exhibit 10.7 in the Current Report on Form 8-K</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of Pentair plc filed with the Commission on June 3, 2014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18">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4</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7"/>
              </w:rPr>
              <w:t>Form of Non-Employee Director Stock Option Grant Agreement (Incorporated by reference to Exhibit 10.10 in the Current Report on Form 8-K of Pentair plc filed with the</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Commission on June 3, 2014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19">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5</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3"/>
              </w:rPr>
              <w:t>Form of Key Executive Employment and Severance Agreement for John L. Stauch (Incorporated by reference to Exhibit 10.1 in the Quarterly Report on Form 10-Q of Pentair plc</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for the quarter ended June 30, 2018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20">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6</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9"/>
              </w:rPr>
              <w:t>Form of Key Executive Employment and Severance Agreement for Karla C. Robertson, Philip M. Rolchigo, Robert P. Fishman, Jerome O. Pedretti and Stephen J. Pilla</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(Incorporated by reference to Exhibit 10.3 in the Quarterly Report on Form 10-Q of Pentair plc for the quarter ended June 30, 2018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21">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7</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5"/>
              </w:rPr>
              <w:t>Amendment to Key Executive Employment and Severance Agreement, as of January 1, 2021, for John L. Stauch, Karla C. Robertson, Philip M. Rolchigo, Robert P. Fishman,</w:t>
            </w:r>
          </w:p>
        </w:tc>
        <w:tc>
          <w:tcPr>
            <w:tcW w:w="0" w:type="dxa"/>
            <w:vAlign w:val="bottom"/>
          </w:tcPr>
          <w:p>
            <w:pPr>
              <w:spacing w:after="0"/>
              <w:rPr>
                <w:sz w:val="1"/>
                <w:szCs w:val="1"/>
                <w:color w:val="auto"/>
              </w:rPr>
            </w:pPr>
          </w:p>
        </w:tc>
      </w:tr>
      <w:tr>
        <w:trPr>
          <w:trHeight w:val="118"/>
        </w:trPr>
        <w:tc>
          <w:tcPr>
            <w:tcW w:w="380" w:type="dxa"/>
            <w:vAlign w:val="bottom"/>
          </w:tcPr>
          <w:p>
            <w:pPr>
              <w:spacing w:after="0"/>
              <w:rPr>
                <w:sz w:val="10"/>
                <w:szCs w:val="10"/>
                <w:color w:val="auto"/>
              </w:rPr>
            </w:pPr>
          </w:p>
        </w:tc>
        <w:tc>
          <w:tcPr>
            <w:tcW w:w="16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40" w:type="dxa"/>
            <w:vAlign w:val="bottom"/>
          </w:tcPr>
          <w:p>
            <w:pPr>
              <w:spacing w:after="0"/>
              <w:rPr>
                <w:sz w:val="10"/>
                <w:szCs w:val="10"/>
                <w:color w:val="auto"/>
              </w:rPr>
            </w:pPr>
          </w:p>
        </w:tc>
        <w:tc>
          <w:tcPr>
            <w:tcW w:w="10460" w:type="dxa"/>
            <w:vAlign w:val="bottom"/>
          </w:tcPr>
          <w:p>
            <w:pPr>
              <w:ind w:left="200"/>
              <w:spacing w:after="0" w:line="118" w:lineRule="exact"/>
              <w:rPr>
                <w:sz w:val="20"/>
                <w:szCs w:val="20"/>
                <w:color w:val="auto"/>
              </w:rPr>
            </w:pPr>
            <w:r>
              <w:rPr>
                <w:rFonts w:ascii="Arial" w:cs="Arial" w:eastAsia="Arial" w:hAnsi="Arial"/>
                <w:sz w:val="13"/>
                <w:szCs w:val="13"/>
                <w:color w:val="auto"/>
              </w:rPr>
              <w:t>Jerome O. Pedretti and Stephen J. Pilla (Incorporated by reference to Exhibit 10.32 to the Annual Report on Form 10-K of Pentair plc for the year ended December 31, 2020 (File</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No. 001-11625)).*</w:t>
            </w:r>
          </w:p>
        </w:tc>
        <w:tc>
          <w:tcPr>
            <w:tcW w:w="0" w:type="dxa"/>
            <w:vAlign w:val="bottom"/>
          </w:tcPr>
          <w:p>
            <w:pPr>
              <w:spacing w:after="0"/>
              <w:rPr>
                <w:sz w:val="1"/>
                <w:szCs w:val="1"/>
                <w:color w:val="auto"/>
              </w:rPr>
            </w:pPr>
          </w:p>
        </w:tc>
      </w:tr>
      <w:tr>
        <w:trPr>
          <w:trHeight w:val="191"/>
        </w:trPr>
        <w:tc>
          <w:tcPr>
            <w:tcW w:w="580" w:type="dxa"/>
            <w:vAlign w:val="bottom"/>
            <w:gridSpan w:val="3"/>
          </w:tcPr>
          <w:p>
            <w:pPr>
              <w:jc w:val="center"/>
              <w:ind w:left="269"/>
              <w:spacing w:after="0"/>
              <w:rPr>
                <w:rFonts w:ascii="Arial" w:cs="Arial" w:eastAsia="Arial" w:hAnsi="Arial"/>
                <w:sz w:val="14"/>
                <w:szCs w:val="14"/>
                <w:b w:val="1"/>
                <w:bCs w:val="1"/>
                <w:color w:val="0000FF"/>
                <w:w w:val="87"/>
              </w:rPr>
            </w:pPr>
            <w:hyperlink r:id="rId122">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8</w:t>
              </w:r>
            </w:hyperlink>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7"/>
              </w:rPr>
              <w:t>Form of Key Executive Employment and Severance Agreement for Adrian C. Chiu, Tanya L. Hooper and De’Mon Wiggins (Incorporated by reference to Exhibit 10.8 to the</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Annual Report on Form 10-K of Pentair plc for the year ended December 31, 2021 (File No. 001-11625)).*</w:t>
            </w:r>
          </w:p>
        </w:tc>
        <w:tc>
          <w:tcPr>
            <w:tcW w:w="0" w:type="dxa"/>
            <w:vAlign w:val="bottom"/>
          </w:tcPr>
          <w:p>
            <w:pPr>
              <w:spacing w:after="0" w:line="20" w:lineRule="exact"/>
              <w:rPr>
                <w:sz w:val="1"/>
                <w:szCs w:val="1"/>
                <w:color w:val="auto"/>
              </w:rPr>
            </w:pPr>
          </w:p>
        </w:tc>
      </w:tr>
      <w:tr>
        <w:trPr>
          <w:trHeight w:val="160"/>
        </w:trPr>
        <w:tc>
          <w:tcPr>
            <w:tcW w:w="580" w:type="dxa"/>
            <w:vAlign w:val="bottom"/>
            <w:gridSpan w:val="3"/>
            <w:vMerge w:val="restart"/>
          </w:tcPr>
          <w:p>
            <w:pPr>
              <w:jc w:val="center"/>
              <w:ind w:left="269"/>
              <w:spacing w:after="0"/>
              <w:rPr>
                <w:rFonts w:ascii="Arial" w:cs="Arial" w:eastAsia="Arial" w:hAnsi="Arial"/>
                <w:sz w:val="14"/>
                <w:szCs w:val="14"/>
                <w:b w:val="1"/>
                <w:bCs w:val="1"/>
                <w:color w:val="0000FF"/>
                <w:w w:val="87"/>
              </w:rPr>
            </w:pPr>
            <w:hyperlink r:id="rId123">
              <w:r>
                <w:rPr>
                  <w:rFonts w:ascii="Arial" w:cs="Arial" w:eastAsia="Arial" w:hAnsi="Arial"/>
                  <w:sz w:val="14"/>
                  <w:szCs w:val="14"/>
                  <w:b w:val="1"/>
                  <w:bCs w:val="1"/>
                  <w:color w:val="0000FF"/>
                  <w:w w:val="87"/>
                </w:rPr>
                <w:t>10.</w:t>
              </w:r>
              <w:r>
                <w:rPr>
                  <w:rFonts w:ascii="Arial" w:cs="Arial" w:eastAsia="Arial" w:hAnsi="Arial"/>
                  <w:sz w:val="14"/>
                  <w:szCs w:val="14"/>
                  <w:b w:val="1"/>
                  <w:bCs w:val="1"/>
                  <w:u w:val="single" w:color="auto"/>
                  <w:color w:val="0000FF"/>
                  <w:w w:val="87"/>
                </w:rPr>
                <w:t>9</w:t>
              </w:r>
            </w:hyperlink>
          </w:p>
        </w:tc>
        <w:tc>
          <w:tcPr>
            <w:tcW w:w="240" w:type="dxa"/>
            <w:vAlign w:val="bottom"/>
          </w:tcPr>
          <w:p>
            <w:pPr>
              <w:spacing w:after="0"/>
              <w:rPr>
                <w:sz w:val="13"/>
                <w:szCs w:val="13"/>
                <w:color w:val="auto"/>
              </w:rPr>
            </w:pPr>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3"/>
              </w:rPr>
              <w:t>Pentair plc Compensation Plan for Non-Employee Directors, as amended and restated (Incorporated by reference to Exhibit 10.6 in the Current Report on Form 8-K of Pentair plc</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filed with the Commission on June 3, 2014 (File No. 001-11625)).*</w:t>
            </w:r>
          </w:p>
        </w:tc>
        <w:tc>
          <w:tcPr>
            <w:tcW w:w="0" w:type="dxa"/>
            <w:vAlign w:val="bottom"/>
          </w:tcPr>
          <w:p>
            <w:pPr>
              <w:spacing w:after="0" w:line="20" w:lineRule="exact"/>
              <w:rPr>
                <w:sz w:val="1"/>
                <w:szCs w:val="1"/>
                <w:color w:val="auto"/>
              </w:rPr>
            </w:pPr>
          </w:p>
        </w:tc>
      </w:tr>
      <w:tr>
        <w:trPr>
          <w:trHeight w:val="160"/>
        </w:trPr>
        <w:tc>
          <w:tcPr>
            <w:tcW w:w="380" w:type="dxa"/>
            <w:vAlign w:val="bottom"/>
            <w:vMerge w:val="restart"/>
          </w:tcPr>
          <w:p>
            <w:pPr>
              <w:spacing w:after="0"/>
              <w:rPr>
                <w:sz w:val="13"/>
                <w:szCs w:val="13"/>
                <w:color w:val="auto"/>
              </w:rPr>
            </w:pPr>
          </w:p>
        </w:tc>
        <w:tc>
          <w:tcPr>
            <w:tcW w:w="440" w:type="dxa"/>
            <w:vAlign w:val="bottom"/>
            <w:gridSpan w:val="3"/>
            <w:vMerge w:val="restart"/>
          </w:tcPr>
          <w:p>
            <w:pPr>
              <w:jc w:val="center"/>
              <w:ind w:right="200"/>
              <w:spacing w:after="0"/>
              <w:rPr>
                <w:rFonts w:ascii="Arial" w:cs="Arial" w:eastAsia="Arial" w:hAnsi="Arial"/>
                <w:sz w:val="13"/>
                <w:szCs w:val="13"/>
                <w:b w:val="1"/>
                <w:bCs w:val="1"/>
                <w:color w:val="0000FF"/>
                <w:w w:val="73"/>
              </w:rPr>
            </w:pPr>
            <w:hyperlink r:id="rId124">
              <w:r>
                <w:rPr>
                  <w:rFonts w:ascii="Arial" w:cs="Arial" w:eastAsia="Arial" w:hAnsi="Arial"/>
                  <w:sz w:val="13"/>
                  <w:szCs w:val="13"/>
                  <w:b w:val="1"/>
                  <w:bCs w:val="1"/>
                  <w:color w:val="0000FF"/>
                  <w:w w:val="73"/>
                </w:rPr>
                <w:t>10.</w:t>
              </w:r>
              <w:r>
                <w:rPr>
                  <w:rFonts w:ascii="Arial" w:cs="Arial" w:eastAsia="Arial" w:hAnsi="Arial"/>
                  <w:sz w:val="13"/>
                  <w:szCs w:val="13"/>
                  <w:b w:val="1"/>
                  <w:bCs w:val="1"/>
                  <w:u w:val="single" w:color="auto"/>
                  <w:color w:val="0000FF"/>
                  <w:w w:val="73"/>
                </w:rPr>
                <w:t>10</w:t>
              </w:r>
            </w:hyperlink>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1"/>
              </w:rPr>
              <w:t>Pentair plc Employee Stock Purchase and Bonus Plan, as amended and restated effective as of January 1, 2021. (Incorporated by reference to Exhibit 10.11 to the Annual Report on</w:t>
            </w:r>
          </w:p>
        </w:tc>
        <w:tc>
          <w:tcPr>
            <w:tcW w:w="0" w:type="dxa"/>
            <w:vAlign w:val="bottom"/>
          </w:tcPr>
          <w:p>
            <w:pPr>
              <w:spacing w:after="0"/>
              <w:rPr>
                <w:sz w:val="1"/>
                <w:szCs w:val="1"/>
                <w:color w:val="auto"/>
              </w:rPr>
            </w:pPr>
          </w:p>
        </w:tc>
      </w:tr>
      <w:tr>
        <w:trPr>
          <w:trHeight w:val="160"/>
        </w:trPr>
        <w:tc>
          <w:tcPr>
            <w:tcW w:w="380" w:type="dxa"/>
            <w:vAlign w:val="bottom"/>
            <w:vMerge w:val="restart"/>
          </w:tcPr>
          <w:p>
            <w:pPr>
              <w:spacing w:after="0"/>
              <w:rPr>
                <w:sz w:val="13"/>
                <w:szCs w:val="13"/>
                <w:color w:val="auto"/>
              </w:rPr>
            </w:pPr>
          </w:p>
        </w:tc>
        <w:tc>
          <w:tcPr>
            <w:tcW w:w="200" w:type="dxa"/>
            <w:vAlign w:val="bottom"/>
            <w:tcBorders>
              <w:top w:val="single" w:sz="8" w:color="0000FF"/>
            </w:tcBorders>
            <w:gridSpan w:val="2"/>
            <w:vMerge w:val="restart"/>
          </w:tcPr>
          <w:p>
            <w:pPr>
              <w:jc w:val="center"/>
              <w:spacing w:after="0"/>
              <w:rPr>
                <w:rFonts w:ascii="Arial" w:cs="Arial" w:eastAsia="Arial" w:hAnsi="Arial"/>
                <w:sz w:val="13"/>
                <w:szCs w:val="13"/>
                <w:b w:val="1"/>
                <w:bCs w:val="1"/>
                <w:color w:val="0000FF"/>
                <w:w w:val="73"/>
              </w:rPr>
            </w:pPr>
            <w:hyperlink r:id="rId125">
              <w:r>
                <w:rPr>
                  <w:rFonts w:ascii="Arial" w:cs="Arial" w:eastAsia="Arial" w:hAnsi="Arial"/>
                  <w:sz w:val="13"/>
                  <w:szCs w:val="13"/>
                  <w:b w:val="1"/>
                  <w:bCs w:val="1"/>
                  <w:color w:val="0000FF"/>
                  <w:w w:val="73"/>
                </w:rPr>
                <w:t>10.</w:t>
              </w:r>
              <w:r>
                <w:rPr>
                  <w:rFonts w:ascii="Arial" w:cs="Arial" w:eastAsia="Arial" w:hAnsi="Arial"/>
                  <w:sz w:val="13"/>
                  <w:szCs w:val="13"/>
                  <w:b w:val="1"/>
                  <w:bCs w:val="1"/>
                  <w:u w:val="single" w:color="auto"/>
                  <w:color w:val="0000FF"/>
                  <w:w w:val="73"/>
                </w:rPr>
                <w:t>11</w:t>
              </w:r>
            </w:hyperlink>
          </w:p>
        </w:tc>
        <w:tc>
          <w:tcPr>
            <w:tcW w:w="240" w:type="dxa"/>
            <w:vAlign w:val="bottom"/>
          </w:tcPr>
          <w:p>
            <w:pPr>
              <w:spacing w:after="0"/>
              <w:rPr>
                <w:sz w:val="13"/>
                <w:szCs w:val="13"/>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Form 10-K of Pentair plc for the year ended December 31, 2020 (File No. 001-11625)).*</w:t>
            </w:r>
          </w:p>
        </w:tc>
        <w:tc>
          <w:tcPr>
            <w:tcW w:w="0" w:type="dxa"/>
            <w:vAlign w:val="bottom"/>
          </w:tcPr>
          <w:p>
            <w:pPr>
              <w:spacing w:after="0"/>
              <w:rPr>
                <w:sz w:val="1"/>
                <w:szCs w:val="1"/>
                <w:color w:val="auto"/>
              </w:rPr>
            </w:pPr>
          </w:p>
        </w:tc>
      </w:tr>
      <w:tr>
        <w:trPr>
          <w:trHeight w:val="196"/>
        </w:trPr>
        <w:tc>
          <w:tcPr>
            <w:tcW w:w="380" w:type="dxa"/>
            <w:vAlign w:val="bottom"/>
            <w:vMerge w:val="continue"/>
          </w:tcPr>
          <w:p>
            <w:pPr>
              <w:spacing w:after="0"/>
              <w:rPr>
                <w:sz w:val="16"/>
                <w:szCs w:val="16"/>
                <w:color w:val="auto"/>
              </w:rPr>
            </w:pPr>
          </w:p>
        </w:tc>
        <w:tc>
          <w:tcPr>
            <w:tcW w:w="200" w:type="dxa"/>
            <w:vAlign w:val="bottom"/>
            <w:tcBorders>
              <w:bottom w:val="single" w:sz="8" w:color="0000FF"/>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3"/>
              </w:rPr>
              <w:t>Pentair, Inc. Non-Qualified Deferred Compensation Plan, as amended and restated (Incorporated by reference to Exhibit 10.17 to the Annual Report on Form 10-K of Pentair plc</w:t>
            </w:r>
          </w:p>
        </w:tc>
        <w:tc>
          <w:tcPr>
            <w:tcW w:w="0" w:type="dxa"/>
            <w:vAlign w:val="bottom"/>
          </w:tcPr>
          <w:p>
            <w:pPr>
              <w:spacing w:after="0"/>
              <w:rPr>
                <w:sz w:val="1"/>
                <w:szCs w:val="1"/>
                <w:color w:val="auto"/>
              </w:rPr>
            </w:pPr>
          </w:p>
        </w:tc>
      </w:tr>
      <w:tr>
        <w:trPr>
          <w:trHeight w:val="160"/>
        </w:trPr>
        <w:tc>
          <w:tcPr>
            <w:tcW w:w="380" w:type="dxa"/>
            <w:vAlign w:val="bottom"/>
            <w:vMerge w:val="restart"/>
          </w:tcPr>
          <w:p>
            <w:pPr>
              <w:spacing w:after="0"/>
              <w:rPr>
                <w:sz w:val="13"/>
                <w:szCs w:val="13"/>
                <w:color w:val="auto"/>
              </w:rPr>
            </w:pPr>
          </w:p>
        </w:tc>
        <w:tc>
          <w:tcPr>
            <w:tcW w:w="440" w:type="dxa"/>
            <w:vAlign w:val="bottom"/>
            <w:gridSpan w:val="3"/>
            <w:vMerge w:val="restart"/>
          </w:tcPr>
          <w:p>
            <w:pPr>
              <w:jc w:val="center"/>
              <w:ind w:right="200"/>
              <w:spacing w:after="0"/>
              <w:rPr>
                <w:rFonts w:ascii="Arial" w:cs="Arial" w:eastAsia="Arial" w:hAnsi="Arial"/>
                <w:sz w:val="13"/>
                <w:szCs w:val="13"/>
                <w:b w:val="1"/>
                <w:bCs w:val="1"/>
                <w:color w:val="0000FF"/>
                <w:w w:val="73"/>
              </w:rPr>
            </w:pPr>
            <w:hyperlink r:id="rId126">
              <w:r>
                <w:rPr>
                  <w:rFonts w:ascii="Arial" w:cs="Arial" w:eastAsia="Arial" w:hAnsi="Arial"/>
                  <w:sz w:val="13"/>
                  <w:szCs w:val="13"/>
                  <w:b w:val="1"/>
                  <w:bCs w:val="1"/>
                  <w:color w:val="0000FF"/>
                  <w:w w:val="73"/>
                </w:rPr>
                <w:t>10.</w:t>
              </w:r>
              <w:r>
                <w:rPr>
                  <w:rFonts w:ascii="Arial" w:cs="Arial" w:eastAsia="Arial" w:hAnsi="Arial"/>
                  <w:sz w:val="13"/>
                  <w:szCs w:val="13"/>
                  <w:b w:val="1"/>
                  <w:bCs w:val="1"/>
                  <w:u w:val="single" w:color="auto"/>
                  <w:color w:val="0000FF"/>
                  <w:w w:val="73"/>
                </w:rPr>
                <w:t>12</w:t>
              </w:r>
            </w:hyperlink>
          </w:p>
        </w:tc>
        <w:tc>
          <w:tcPr>
            <w:tcW w:w="10460" w:type="dxa"/>
            <w:vAlign w:val="bottom"/>
          </w:tcPr>
          <w:p>
            <w:pPr>
              <w:ind w:left="200"/>
              <w:spacing w:after="0"/>
              <w:rPr>
                <w:sz w:val="20"/>
                <w:szCs w:val="20"/>
                <w:color w:val="auto"/>
              </w:rPr>
            </w:pPr>
            <w:r>
              <w:rPr>
                <w:rFonts w:ascii="Arial" w:cs="Arial" w:eastAsia="Arial" w:hAnsi="Arial"/>
                <w:sz w:val="14"/>
                <w:szCs w:val="14"/>
                <w:color w:val="auto"/>
              </w:rPr>
              <w:t>for the year ended December 31, 2018 (File No. 001-11625)).*</w:t>
            </w:r>
          </w:p>
        </w:tc>
        <w:tc>
          <w:tcPr>
            <w:tcW w:w="0" w:type="dxa"/>
            <w:vAlign w:val="bottom"/>
          </w:tcPr>
          <w:p>
            <w:pPr>
              <w:spacing w:after="0"/>
              <w:rPr>
                <w:sz w:val="1"/>
                <w:szCs w:val="1"/>
                <w:color w:val="auto"/>
              </w:rPr>
            </w:pPr>
          </w:p>
        </w:tc>
      </w:tr>
      <w:tr>
        <w:trPr>
          <w:trHeight w:val="191"/>
        </w:trPr>
        <w:tc>
          <w:tcPr>
            <w:tcW w:w="38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2"/>
              </w:rPr>
              <w:t>Trust Agreement for Pentair, Inc. Non-Qualified Deferred Compensation Plan between Pentair, Inc. and Fidelity Management Trust Company (Incorporated by reference to Exhibit</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460" w:type="dxa"/>
            <w:vAlign w:val="bottom"/>
            <w:vMerge w:val="restart"/>
          </w:tcPr>
          <w:p>
            <w:pPr>
              <w:ind w:left="200"/>
              <w:spacing w:after="0"/>
              <w:rPr>
                <w:sz w:val="20"/>
                <w:szCs w:val="20"/>
                <w:color w:val="auto"/>
              </w:rPr>
            </w:pPr>
            <w:r>
              <w:rPr>
                <w:rFonts w:ascii="Arial" w:cs="Arial" w:eastAsia="Arial" w:hAnsi="Arial"/>
                <w:sz w:val="14"/>
                <w:szCs w:val="14"/>
                <w:color w:val="auto"/>
              </w:rPr>
              <w:t>10.18 contained in the Annual Report on Form 10-K of Pentair, Inc. for the year ended December 31, 1995 (File No. 000-04689)).*</w:t>
            </w:r>
          </w:p>
        </w:tc>
        <w:tc>
          <w:tcPr>
            <w:tcW w:w="0" w:type="dxa"/>
            <w:vAlign w:val="bottom"/>
          </w:tcPr>
          <w:p>
            <w:pPr>
              <w:spacing w:after="0" w:line="20" w:lineRule="exact"/>
              <w:rPr>
                <w:sz w:val="1"/>
                <w:szCs w:val="1"/>
                <w:color w:val="auto"/>
              </w:rPr>
            </w:pPr>
          </w:p>
        </w:tc>
      </w:tr>
      <w:tr>
        <w:trPr>
          <w:trHeight w:val="160"/>
        </w:trPr>
        <w:tc>
          <w:tcPr>
            <w:tcW w:w="380" w:type="dxa"/>
            <w:vAlign w:val="bottom"/>
            <w:vMerge w:val="restart"/>
          </w:tcPr>
          <w:p>
            <w:pPr>
              <w:spacing w:after="0"/>
              <w:rPr>
                <w:sz w:val="13"/>
                <w:szCs w:val="13"/>
                <w:color w:val="auto"/>
              </w:rPr>
            </w:pPr>
          </w:p>
        </w:tc>
        <w:tc>
          <w:tcPr>
            <w:tcW w:w="440" w:type="dxa"/>
            <w:vAlign w:val="bottom"/>
            <w:gridSpan w:val="3"/>
            <w:vMerge w:val="restart"/>
          </w:tcPr>
          <w:p>
            <w:pPr>
              <w:jc w:val="center"/>
              <w:ind w:right="200"/>
              <w:spacing w:after="0"/>
              <w:rPr>
                <w:rFonts w:ascii="Arial" w:cs="Arial" w:eastAsia="Arial" w:hAnsi="Arial"/>
                <w:sz w:val="13"/>
                <w:szCs w:val="13"/>
                <w:b w:val="1"/>
                <w:bCs w:val="1"/>
                <w:color w:val="0000FF"/>
                <w:w w:val="73"/>
              </w:rPr>
            </w:pPr>
            <w:hyperlink r:id="rId127">
              <w:r>
                <w:rPr>
                  <w:rFonts w:ascii="Arial" w:cs="Arial" w:eastAsia="Arial" w:hAnsi="Arial"/>
                  <w:sz w:val="13"/>
                  <w:szCs w:val="13"/>
                  <w:b w:val="1"/>
                  <w:bCs w:val="1"/>
                  <w:color w:val="0000FF"/>
                  <w:w w:val="73"/>
                </w:rPr>
                <w:t>10.</w:t>
              </w:r>
              <w:r>
                <w:rPr>
                  <w:rFonts w:ascii="Arial" w:cs="Arial" w:eastAsia="Arial" w:hAnsi="Arial"/>
                  <w:sz w:val="13"/>
                  <w:szCs w:val="13"/>
                  <w:b w:val="1"/>
                  <w:bCs w:val="1"/>
                  <w:u w:val="single" w:color="auto"/>
                  <w:color w:val="0000FF"/>
                  <w:w w:val="73"/>
                </w:rPr>
                <w:t>13</w:t>
              </w:r>
            </w:hyperlink>
          </w:p>
        </w:tc>
        <w:tc>
          <w:tcPr>
            <w:tcW w:w="10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8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w w:val="94"/>
              </w:rPr>
              <w:t>Pentair, Inc. Supplemental Executive Retirement Plan effective January 1, 2009, as amended and restated (Incorporated by reference to Exhibit 10.13 in the Current Report on</w:t>
            </w:r>
          </w:p>
        </w:tc>
        <w:tc>
          <w:tcPr>
            <w:tcW w:w="0" w:type="dxa"/>
            <w:vAlign w:val="bottom"/>
          </w:tcPr>
          <w:p>
            <w:pPr>
              <w:spacing w:after="0"/>
              <w:rPr>
                <w:sz w:val="1"/>
                <w:szCs w:val="1"/>
                <w:color w:val="auto"/>
              </w:rPr>
            </w:pPr>
          </w:p>
        </w:tc>
      </w:tr>
      <w:tr>
        <w:trPr>
          <w:trHeight w:val="160"/>
        </w:trPr>
        <w:tc>
          <w:tcPr>
            <w:tcW w:w="3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460" w:type="dxa"/>
            <w:vAlign w:val="bottom"/>
          </w:tcPr>
          <w:p>
            <w:pPr>
              <w:ind w:left="200"/>
              <w:spacing w:after="0"/>
              <w:rPr>
                <w:sz w:val="20"/>
                <w:szCs w:val="20"/>
                <w:color w:val="auto"/>
              </w:rPr>
            </w:pPr>
            <w:r>
              <w:rPr>
                <w:rFonts w:ascii="Arial" w:cs="Arial" w:eastAsia="Arial" w:hAnsi="Arial"/>
                <w:sz w:val="14"/>
                <w:szCs w:val="14"/>
                <w:color w:val="auto"/>
              </w:rPr>
              <w:t>Form 8-K of Pentair plc filed with the Commission on June 3, 2014 (File No. 001-11625)).*</w:t>
            </w:r>
          </w:p>
        </w:tc>
        <w:tc>
          <w:tcPr>
            <w:tcW w:w="0" w:type="dxa"/>
            <w:vAlign w:val="bottom"/>
          </w:tcPr>
          <w:p>
            <w:pPr>
              <w:spacing w:after="0"/>
              <w:rPr>
                <w:sz w:val="1"/>
                <w:szCs w:val="1"/>
                <w:color w:val="auto"/>
              </w:rPr>
            </w:pPr>
          </w:p>
        </w:tc>
      </w:tr>
      <w:tr>
        <w:trPr>
          <w:trHeight w:val="72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60" w:type="dxa"/>
            <w:vAlign w:val="bottom"/>
          </w:tcPr>
          <w:p>
            <w:pPr>
              <w:ind w:left="47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87"/>
        </w:trPr>
        <w:tc>
          <w:tcPr>
            <w:tcW w:w="3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61"/>
        </w:trPr>
        <w:tc>
          <w:tcPr>
            <w:tcW w:w="520" w:type="dxa"/>
            <w:vAlign w:val="bottom"/>
            <w:gridSpan w:val="2"/>
          </w:tcPr>
          <w:p>
            <w:pPr>
              <w:jc w:val="right"/>
              <w:ind w:right="200"/>
              <w:spacing w:after="0"/>
              <w:rPr>
                <w:rFonts w:ascii="Arial" w:cs="Arial" w:eastAsia="Arial" w:hAnsi="Arial"/>
                <w:sz w:val="14"/>
                <w:szCs w:val="14"/>
                <w:b w:val="1"/>
                <w:bCs w:val="1"/>
                <w:color w:val="0000FF"/>
                <w:w w:val="85"/>
              </w:rPr>
            </w:pPr>
            <w:hyperlink r:id="rId130">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14</w:t>
              </w:r>
            </w:hyperlink>
          </w:p>
        </w:tc>
        <w:tc>
          <w:tcPr>
            <w:tcW w:w="10400" w:type="dxa"/>
            <w:vAlign w:val="bottom"/>
          </w:tcPr>
          <w:p>
            <w:pPr>
              <w:ind w:left="200"/>
              <w:spacing w:after="0"/>
              <w:rPr>
                <w:sz w:val="20"/>
                <w:szCs w:val="20"/>
                <w:color w:val="auto"/>
              </w:rPr>
            </w:pPr>
            <w:r>
              <w:rPr>
                <w:rFonts w:ascii="Arial" w:cs="Arial" w:eastAsia="Arial" w:hAnsi="Arial"/>
                <w:sz w:val="14"/>
                <w:szCs w:val="14"/>
                <w:color w:val="auto"/>
                <w:w w:val="91"/>
              </w:rPr>
              <w:t>Pentair, Inc. Restoration Plan effective January 1, 2009, as amended and restated (Incorporated by reference to Exhibit 10.14 in the Current Report on Form 8-K of Pentair plc filed</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with the Commission on June 3, 2014 (File No. 001-11625)).*</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31">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15</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4"/>
              </w:rPr>
              <w:t>Form of Deed of Indemnification for directors and executive officers of Pentair plc (Incorporated by reference to Exhibit 10.15 in the Current Report on Form 8-K of Pentair plc</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filed with the Commission on June 3, 2014 (File No. 001-11625)).*</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32">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16</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3"/>
              </w:rPr>
              <w:t>Form of Indemnification Agreement for directors and executive officers of Pentair plc (Incorporated by reference to Exhibit 10.16 in the Current Report on Form 8-K of Pentair plc</w:t>
            </w:r>
          </w:p>
        </w:tc>
        <w:tc>
          <w:tcPr>
            <w:tcW w:w="0" w:type="dxa"/>
            <w:vAlign w:val="bottom"/>
          </w:tcPr>
          <w:p>
            <w:pPr>
              <w:spacing w:after="0"/>
              <w:rPr>
                <w:sz w:val="1"/>
                <w:szCs w:val="1"/>
                <w:color w:val="auto"/>
              </w:rPr>
            </w:pPr>
          </w:p>
        </w:tc>
      </w:tr>
      <w:tr>
        <w:trPr>
          <w:trHeight w:val="160"/>
        </w:trPr>
        <w:tc>
          <w:tcPr>
            <w:tcW w:w="320" w:type="dxa"/>
            <w:vAlign w:val="bottom"/>
            <w:tcBorders>
              <w:top w:val="single" w:sz="8" w:color="0000FF"/>
            </w:tcBorders>
            <w:vMerge w:val="restart"/>
          </w:tcPr>
          <w:p>
            <w:pPr>
              <w:jc w:val="right"/>
              <w:spacing w:after="0"/>
              <w:rPr>
                <w:rFonts w:ascii="Arial" w:cs="Arial" w:eastAsia="Arial" w:hAnsi="Arial"/>
                <w:sz w:val="14"/>
                <w:szCs w:val="14"/>
                <w:b w:val="1"/>
                <w:bCs w:val="1"/>
                <w:color w:val="0000FF"/>
                <w:w w:val="85"/>
              </w:rPr>
            </w:pPr>
            <w:hyperlink r:id="rId133">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17</w:t>
              </w:r>
            </w:hyperlink>
          </w:p>
        </w:tc>
        <w:tc>
          <w:tcPr>
            <w:tcW w:w="200" w:type="dxa"/>
            <w:vAlign w:val="bottom"/>
          </w:tcPr>
          <w:p>
            <w:pPr>
              <w:spacing w:after="0"/>
              <w:rPr>
                <w:sz w:val="13"/>
                <w:szCs w:val="13"/>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rPr>
              <w:t>filed with the Commission on June 3, 2014 (File No. 001-11625)).*</w:t>
            </w:r>
          </w:p>
        </w:tc>
        <w:tc>
          <w:tcPr>
            <w:tcW w:w="0" w:type="dxa"/>
            <w:vAlign w:val="bottom"/>
          </w:tcPr>
          <w:p>
            <w:pPr>
              <w:spacing w:after="0"/>
              <w:rPr>
                <w:sz w:val="1"/>
                <w:szCs w:val="1"/>
                <w:color w:val="auto"/>
              </w:rPr>
            </w:pPr>
          </w:p>
        </w:tc>
      </w:tr>
      <w:tr>
        <w:trPr>
          <w:trHeight w:val="198"/>
        </w:trPr>
        <w:tc>
          <w:tcPr>
            <w:tcW w:w="320" w:type="dxa"/>
            <w:vAlign w:val="bottom"/>
            <w:tcBorders>
              <w:bottom w:val="single" w:sz="8" w:color="0000FF"/>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2"/>
              </w:rPr>
              <w:t>Form of Executive Officer Stock Option Grant Agreement for grants made on or after January 1, 2017 and prior to February 26, 2018 (Incorporated by reference to Exhibit 10.31 to</w:t>
            </w: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rPr>
              <w:t>the Annual Report on Form 10-K of Pentair plc for the year ended December 31, 2016 (File No. 001-11625)).*</w:t>
            </w:r>
          </w:p>
        </w:tc>
        <w:tc>
          <w:tcPr>
            <w:tcW w:w="0" w:type="dxa"/>
            <w:vAlign w:val="bottom"/>
          </w:tcPr>
          <w:p>
            <w:pPr>
              <w:spacing w:after="0"/>
              <w:rPr>
                <w:sz w:val="1"/>
                <w:szCs w:val="1"/>
                <w:color w:val="auto"/>
              </w:rPr>
            </w:pPr>
          </w:p>
        </w:tc>
      </w:tr>
      <w:tr>
        <w:trPr>
          <w:trHeight w:val="223"/>
        </w:trPr>
        <w:tc>
          <w:tcPr>
            <w:tcW w:w="520" w:type="dxa"/>
            <w:vAlign w:val="bottom"/>
            <w:gridSpan w:val="2"/>
          </w:tcPr>
          <w:p>
            <w:pPr>
              <w:jc w:val="right"/>
              <w:ind w:right="200"/>
              <w:spacing w:after="0"/>
              <w:rPr>
                <w:rFonts w:ascii="Arial" w:cs="Arial" w:eastAsia="Arial" w:hAnsi="Arial"/>
                <w:sz w:val="14"/>
                <w:szCs w:val="14"/>
                <w:b w:val="1"/>
                <w:bCs w:val="1"/>
                <w:color w:val="0000FF"/>
                <w:w w:val="85"/>
              </w:rPr>
            </w:pPr>
            <w:hyperlink r:id="rId134">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18</w:t>
              </w:r>
            </w:hyperlink>
          </w:p>
        </w:tc>
        <w:tc>
          <w:tcPr>
            <w:tcW w:w="10400" w:type="dxa"/>
            <w:vAlign w:val="bottom"/>
          </w:tcPr>
          <w:p>
            <w:pPr>
              <w:ind w:left="200"/>
              <w:spacing w:after="0"/>
              <w:rPr>
                <w:sz w:val="20"/>
                <w:szCs w:val="20"/>
                <w:color w:val="auto"/>
              </w:rPr>
            </w:pPr>
            <w:r>
              <w:rPr>
                <w:rFonts w:ascii="Arial" w:cs="Arial" w:eastAsia="Arial" w:hAnsi="Arial"/>
                <w:sz w:val="14"/>
                <w:szCs w:val="14"/>
                <w:color w:val="auto"/>
                <w:w w:val="94"/>
              </w:rPr>
              <w:t>Form of Executive Officer Stock Option Award Agreement for grants made on or after February 26, 2018 and prior to May 5, 2020 (Incorporated by reference to Exhibit 10.4 to</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the Quarterly Report on Form 10-Q of Pentair plc for the quarter ended March 31, 2018 (File No. 001-11625)).*</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35">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19</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2"/>
              </w:rPr>
              <w:t>Pentair plc 2020 Share and Incentive Plan, effective as of May 5, 2020 (Incorporated by reference to Appendix B to the Definitive Proxy Statement on Schedule 14A of Pentair plc</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filed on March 20, 2020 (File No. 001-11625)).*</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36">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20</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4"/>
              </w:rPr>
              <w:t>Form of Employee Restricted Stock Unit Award Agreement under the Pentair plc 2020 Share and Incentive Plan (Incorporated by reference to Exhibit 99.1 to the Registration</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rPr>
              <w:t>Statement on Form S-8 of Pentair plc (Reg. No. 333-238544)).*</w:t>
            </w:r>
          </w:p>
        </w:tc>
        <w:tc>
          <w:tcPr>
            <w:tcW w:w="0" w:type="dxa"/>
            <w:vAlign w:val="bottom"/>
          </w:tcPr>
          <w:p>
            <w:pPr>
              <w:spacing w:after="0"/>
              <w:rPr>
                <w:sz w:val="1"/>
                <w:szCs w:val="1"/>
                <w:color w:val="auto"/>
              </w:rPr>
            </w:pPr>
          </w:p>
        </w:tc>
      </w:tr>
      <w:tr>
        <w:trPr>
          <w:trHeight w:val="213"/>
        </w:trPr>
        <w:tc>
          <w:tcPr>
            <w:tcW w:w="520" w:type="dxa"/>
            <w:vAlign w:val="bottom"/>
            <w:gridSpan w:val="2"/>
          </w:tcPr>
          <w:p>
            <w:pPr>
              <w:jc w:val="right"/>
              <w:ind w:right="200"/>
              <w:spacing w:after="0"/>
              <w:rPr>
                <w:rFonts w:ascii="Arial" w:cs="Arial" w:eastAsia="Arial" w:hAnsi="Arial"/>
                <w:sz w:val="14"/>
                <w:szCs w:val="14"/>
                <w:b w:val="1"/>
                <w:bCs w:val="1"/>
                <w:color w:val="0000FF"/>
                <w:w w:val="85"/>
              </w:rPr>
            </w:pPr>
            <w:hyperlink r:id="rId137">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21</w:t>
              </w:r>
            </w:hyperlink>
          </w:p>
        </w:tc>
        <w:tc>
          <w:tcPr>
            <w:tcW w:w="10400" w:type="dxa"/>
            <w:vAlign w:val="bottom"/>
          </w:tcPr>
          <w:p>
            <w:pPr>
              <w:ind w:left="200"/>
              <w:spacing w:after="0"/>
              <w:rPr>
                <w:sz w:val="20"/>
                <w:szCs w:val="20"/>
                <w:color w:val="auto"/>
              </w:rPr>
            </w:pPr>
            <w:r>
              <w:rPr>
                <w:rFonts w:ascii="Arial" w:cs="Arial" w:eastAsia="Arial" w:hAnsi="Arial"/>
                <w:sz w:val="14"/>
                <w:szCs w:val="14"/>
                <w:color w:val="auto"/>
                <w:w w:val="94"/>
              </w:rPr>
              <w:t>Form of Non-Employee Director Restricted Stock Unit Award Agreement under the Pentair plc 2020 Share and Incentive Plan (Incorporated by reference to Exhibit 99.2 to the</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rPr>
              <w:t>Registration Statement on Form S-8 of Pentair plc (Reg. No. 333-238544)).*</w:t>
            </w:r>
          </w:p>
        </w:tc>
        <w:tc>
          <w:tcPr>
            <w:tcW w:w="0" w:type="dxa"/>
            <w:vAlign w:val="bottom"/>
          </w:tcPr>
          <w:p>
            <w:pPr>
              <w:spacing w:after="0"/>
              <w:rPr>
                <w:sz w:val="1"/>
                <w:szCs w:val="1"/>
                <w:color w:val="auto"/>
              </w:rPr>
            </w:pPr>
          </w:p>
        </w:tc>
      </w:tr>
      <w:tr>
        <w:trPr>
          <w:trHeight w:val="213"/>
        </w:trPr>
        <w:tc>
          <w:tcPr>
            <w:tcW w:w="520" w:type="dxa"/>
            <w:vAlign w:val="bottom"/>
            <w:gridSpan w:val="2"/>
          </w:tcPr>
          <w:p>
            <w:pPr>
              <w:jc w:val="right"/>
              <w:ind w:right="200"/>
              <w:spacing w:after="0"/>
              <w:rPr>
                <w:rFonts w:ascii="Arial" w:cs="Arial" w:eastAsia="Arial" w:hAnsi="Arial"/>
                <w:sz w:val="14"/>
                <w:szCs w:val="14"/>
                <w:b w:val="1"/>
                <w:bCs w:val="1"/>
                <w:color w:val="0000FF"/>
                <w:w w:val="85"/>
              </w:rPr>
            </w:pPr>
            <w:hyperlink r:id="rId138">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22</w:t>
              </w:r>
            </w:hyperlink>
          </w:p>
        </w:tc>
        <w:tc>
          <w:tcPr>
            <w:tcW w:w="10400" w:type="dxa"/>
            <w:vAlign w:val="bottom"/>
          </w:tcPr>
          <w:p>
            <w:pPr>
              <w:ind w:left="200"/>
              <w:spacing w:after="0"/>
              <w:rPr>
                <w:sz w:val="20"/>
                <w:szCs w:val="20"/>
                <w:color w:val="auto"/>
              </w:rPr>
            </w:pPr>
            <w:r>
              <w:rPr>
                <w:rFonts w:ascii="Arial" w:cs="Arial" w:eastAsia="Arial" w:hAnsi="Arial"/>
                <w:sz w:val="14"/>
                <w:szCs w:val="14"/>
                <w:color w:val="auto"/>
                <w:w w:val="91"/>
              </w:rPr>
              <w:t>Form of Key Talent Award Agreement under the Pentair plc 2020 Share and Incentive Plan (Incorporated by reference to Exhibit 99.3 to the Registration Statement on Form S-8 of</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Pentair plc (Reg. No. 333-238544)).*</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39">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23</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2"/>
              </w:rPr>
              <w:t>Form of Stock Option Award Agreement under the Pentair plc 2020 Share and Incentive Plan (Incorporated by reference to Exhibit 99.4 to the Registration Statement on Form S-8</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of Pentair plc (Reg. No. 333-238544)).*</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40">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24</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1"/>
              </w:rPr>
              <w:t>Form of Performance Share Unit Award Agreement under the Pentair plc 2020 Share and Incentive Plan (Incorporated by reference to Exhibit 99.5 to the Registration Statement on</w:t>
            </w:r>
          </w:p>
        </w:tc>
        <w:tc>
          <w:tcPr>
            <w:tcW w:w="0" w:type="dxa"/>
            <w:vAlign w:val="bottom"/>
          </w:tcPr>
          <w:p>
            <w:pPr>
              <w:spacing w:after="0"/>
              <w:rPr>
                <w:sz w:val="1"/>
                <w:szCs w:val="1"/>
                <w:color w:val="auto"/>
              </w:rPr>
            </w:pPr>
          </w:p>
        </w:tc>
      </w:tr>
      <w:tr>
        <w:trPr>
          <w:trHeight w:val="181"/>
        </w:trPr>
        <w:tc>
          <w:tcPr>
            <w:tcW w:w="320" w:type="dxa"/>
            <w:vAlign w:val="bottom"/>
            <w:tcBorders>
              <w:top w:val="single" w:sz="8" w:color="0000FF"/>
            </w:tcBorders>
          </w:tcPr>
          <w:p>
            <w:pPr>
              <w:spacing w:after="0"/>
              <w:rPr>
                <w:sz w:val="15"/>
                <w:szCs w:val="15"/>
                <w:color w:val="auto"/>
              </w:rPr>
            </w:pPr>
          </w:p>
        </w:tc>
        <w:tc>
          <w:tcPr>
            <w:tcW w:w="200" w:type="dxa"/>
            <w:vAlign w:val="bottom"/>
          </w:tcPr>
          <w:p>
            <w:pPr>
              <w:spacing w:after="0"/>
              <w:rPr>
                <w:sz w:val="15"/>
                <w:szCs w:val="15"/>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rPr>
              <w:t>Form S-8 of Pentair plc (Reg. No. 333-238544)).*</w:t>
            </w:r>
          </w:p>
        </w:tc>
        <w:tc>
          <w:tcPr>
            <w:tcW w:w="0" w:type="dxa"/>
            <w:vAlign w:val="bottom"/>
          </w:tcPr>
          <w:p>
            <w:pPr>
              <w:spacing w:after="0"/>
              <w:rPr>
                <w:sz w:val="1"/>
                <w:szCs w:val="1"/>
                <w:color w:val="auto"/>
              </w:rPr>
            </w:pPr>
          </w:p>
        </w:tc>
      </w:tr>
      <w:tr>
        <w:trPr>
          <w:trHeight w:val="213"/>
        </w:trPr>
        <w:tc>
          <w:tcPr>
            <w:tcW w:w="520" w:type="dxa"/>
            <w:vAlign w:val="bottom"/>
            <w:gridSpan w:val="2"/>
          </w:tcPr>
          <w:p>
            <w:pPr>
              <w:jc w:val="right"/>
              <w:ind w:right="200"/>
              <w:spacing w:after="0"/>
              <w:rPr>
                <w:rFonts w:ascii="Arial" w:cs="Arial" w:eastAsia="Arial" w:hAnsi="Arial"/>
                <w:sz w:val="14"/>
                <w:szCs w:val="14"/>
                <w:b w:val="1"/>
                <w:bCs w:val="1"/>
                <w:color w:val="0000FF"/>
                <w:w w:val="85"/>
              </w:rPr>
            </w:pPr>
            <w:hyperlink r:id="rId141">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25</w:t>
              </w:r>
            </w:hyperlink>
          </w:p>
        </w:tc>
        <w:tc>
          <w:tcPr>
            <w:tcW w:w="10400" w:type="dxa"/>
            <w:vAlign w:val="bottom"/>
          </w:tcPr>
          <w:p>
            <w:pPr>
              <w:ind w:left="200"/>
              <w:spacing w:after="0"/>
              <w:rPr>
                <w:sz w:val="20"/>
                <w:szCs w:val="20"/>
                <w:color w:val="auto"/>
              </w:rPr>
            </w:pPr>
            <w:r>
              <w:rPr>
                <w:rFonts w:ascii="Arial" w:cs="Arial" w:eastAsia="Arial" w:hAnsi="Arial"/>
                <w:sz w:val="14"/>
                <w:szCs w:val="14"/>
                <w:color w:val="auto"/>
                <w:w w:val="92"/>
              </w:rPr>
              <w:t>Pentair plc Executive Officer Severance Plan (Incorporated by reference to Exhibit 10.30 to the Annual Report on Form 10-K of Pentair plc for the year ended December 31, 2020</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(File No. 001-11625)).*</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42">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26</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5"/>
              </w:rPr>
              <w:t>Amendment No. 1 to the Pentair plc 2020 Share and Incentive Plan (Incorporated by reference to Exhibit 10.31 to the Annual Report on Form 10-K of Pentair plc for the year</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0" w:type="dxa"/>
            <w:vAlign w:val="bottom"/>
            <w:vMerge w:val="restart"/>
          </w:tcPr>
          <w:p>
            <w:pPr>
              <w:ind w:left="200"/>
              <w:spacing w:after="0"/>
              <w:rPr>
                <w:sz w:val="20"/>
                <w:szCs w:val="20"/>
                <w:color w:val="auto"/>
              </w:rPr>
            </w:pPr>
            <w:r>
              <w:rPr>
                <w:rFonts w:ascii="Arial" w:cs="Arial" w:eastAsia="Arial" w:hAnsi="Arial"/>
                <w:sz w:val="14"/>
                <w:szCs w:val="14"/>
                <w:color w:val="auto"/>
              </w:rPr>
              <w:t>ended December 31, 2020 (File No. 001-11625)).*</w:t>
            </w:r>
          </w:p>
        </w:tc>
        <w:tc>
          <w:tcPr>
            <w:tcW w:w="0" w:type="dxa"/>
            <w:vAlign w:val="bottom"/>
          </w:tcPr>
          <w:p>
            <w:pPr>
              <w:spacing w:after="0" w:line="20" w:lineRule="exact"/>
              <w:rPr>
                <w:sz w:val="1"/>
                <w:szCs w:val="1"/>
                <w:color w:val="auto"/>
              </w:rPr>
            </w:pPr>
          </w:p>
        </w:tc>
      </w:tr>
      <w:tr>
        <w:trPr>
          <w:trHeight w:val="160"/>
        </w:trPr>
        <w:tc>
          <w:tcPr>
            <w:tcW w:w="520" w:type="dxa"/>
            <w:vAlign w:val="bottom"/>
            <w:gridSpan w:val="2"/>
            <w:vMerge w:val="restart"/>
          </w:tcPr>
          <w:p>
            <w:pPr>
              <w:jc w:val="right"/>
              <w:ind w:right="200"/>
              <w:spacing w:after="0"/>
              <w:rPr>
                <w:rFonts w:ascii="Arial" w:cs="Arial" w:eastAsia="Arial" w:hAnsi="Arial"/>
                <w:sz w:val="14"/>
                <w:szCs w:val="14"/>
                <w:b w:val="1"/>
                <w:bCs w:val="1"/>
                <w:color w:val="0000FF"/>
                <w:w w:val="85"/>
              </w:rPr>
            </w:pPr>
            <w:hyperlink r:id="rId143">
              <w:r>
                <w:rPr>
                  <w:rFonts w:ascii="Arial" w:cs="Arial" w:eastAsia="Arial" w:hAnsi="Arial"/>
                  <w:sz w:val="14"/>
                  <w:szCs w:val="14"/>
                  <w:b w:val="1"/>
                  <w:bCs w:val="1"/>
                  <w:color w:val="0000FF"/>
                  <w:w w:val="85"/>
                </w:rPr>
                <w:t>10.</w:t>
              </w:r>
              <w:r>
                <w:rPr>
                  <w:rFonts w:ascii="Arial" w:cs="Arial" w:eastAsia="Arial" w:hAnsi="Arial"/>
                  <w:sz w:val="14"/>
                  <w:szCs w:val="14"/>
                  <w:b w:val="1"/>
                  <w:bCs w:val="1"/>
                  <w:u w:val="single" w:color="auto"/>
                  <w:color w:val="0000FF"/>
                  <w:w w:val="85"/>
                </w:rPr>
                <w:t>27</w:t>
              </w:r>
            </w:hyperlink>
          </w:p>
        </w:tc>
        <w:tc>
          <w:tcPr>
            <w:tcW w:w="10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20" w:type="dxa"/>
            <w:vAlign w:val="bottom"/>
            <w:gridSpan w:val="2"/>
            <w:vMerge w:val="continue"/>
          </w:tcPr>
          <w:p>
            <w:pPr>
              <w:spacing w:after="0"/>
              <w:rPr>
                <w:sz w:val="16"/>
                <w:szCs w:val="16"/>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w w:val="93"/>
              </w:rPr>
              <w:t>Purchase Agreement, dated March 2, 2022, by and between Welbilt, Inc., Pentair Commercial Ice LLC, and Pentair plc (Incorporated by reference to Exhibit 10.1 to the Current</w:t>
            </w:r>
          </w:p>
        </w:tc>
        <w:tc>
          <w:tcPr>
            <w:tcW w:w="0" w:type="dxa"/>
            <w:vAlign w:val="bottom"/>
          </w:tcPr>
          <w:p>
            <w:pPr>
              <w:spacing w:after="0"/>
              <w:rPr>
                <w:sz w:val="1"/>
                <w:szCs w:val="1"/>
                <w:color w:val="auto"/>
              </w:rPr>
            </w:pPr>
          </w:p>
        </w:tc>
      </w:tr>
      <w:tr>
        <w:trPr>
          <w:trHeight w:val="160"/>
        </w:trPr>
        <w:tc>
          <w:tcPr>
            <w:tcW w:w="32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0400" w:type="dxa"/>
            <w:vAlign w:val="bottom"/>
          </w:tcPr>
          <w:p>
            <w:pPr>
              <w:ind w:left="200"/>
              <w:spacing w:after="0"/>
              <w:rPr>
                <w:sz w:val="20"/>
                <w:szCs w:val="20"/>
                <w:color w:val="auto"/>
              </w:rPr>
            </w:pPr>
            <w:r>
              <w:rPr>
                <w:rFonts w:ascii="Arial" w:cs="Arial" w:eastAsia="Arial" w:hAnsi="Arial"/>
                <w:sz w:val="14"/>
                <w:szCs w:val="14"/>
                <w:color w:val="auto"/>
              </w:rPr>
              <w:t>Report on Form 8-K of Pentair plc filed with the Commission on March 4, 2022 (File No. 001-11625)).</w:t>
            </w: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720" w:hanging="630"/>
        <w:spacing w:after="0"/>
        <w:tabs>
          <w:tab w:leader="none" w:pos="720" w:val="left"/>
        </w:tabs>
        <w:numPr>
          <w:ilvl w:val="0"/>
          <w:numId w:val="55"/>
        </w:numPr>
        <w:rPr>
          <w:rFonts w:ascii="Arial" w:cs="Arial" w:eastAsia="Arial" w:hAnsi="Arial"/>
          <w:sz w:val="14"/>
          <w:szCs w:val="14"/>
          <w:b w:val="1"/>
          <w:bCs w:val="1"/>
          <w:u w:val="single" w:color="auto"/>
          <w:color w:val="0000FF"/>
        </w:rPr>
      </w:pPr>
      <w:r>
        <w:rPr>
          <w:rFonts w:ascii="Arial" w:cs="Arial" w:eastAsia="Arial" w:hAnsi="Arial"/>
          <w:sz w:val="14"/>
          <w:szCs w:val="14"/>
          <w:color w:val="auto"/>
        </w:rPr>
        <w:t>List of Pentair plc subsidiaries.</w:t>
      </w:r>
    </w:p>
    <w:p>
      <w:pPr>
        <w:spacing w:after="0" w:line="72" w:lineRule="exact"/>
        <w:rPr>
          <w:rFonts w:ascii="Arial" w:cs="Arial" w:eastAsia="Arial" w:hAnsi="Arial"/>
          <w:sz w:val="14"/>
          <w:szCs w:val="14"/>
          <w:b w:val="1"/>
          <w:bCs w:val="1"/>
          <w:u w:val="single" w:color="auto"/>
          <w:color w:val="0000FF"/>
        </w:rPr>
      </w:pPr>
    </w:p>
    <w:p>
      <w:pPr>
        <w:ind w:left="720" w:right="220" w:hanging="630"/>
        <w:spacing w:after="0" w:line="265" w:lineRule="auto"/>
        <w:tabs>
          <w:tab w:leader="none" w:pos="720" w:val="left"/>
        </w:tabs>
        <w:numPr>
          <w:ilvl w:val="0"/>
          <w:numId w:val="55"/>
        </w:numPr>
        <w:rPr>
          <w:rFonts w:ascii="Arial" w:cs="Arial" w:eastAsia="Arial" w:hAnsi="Arial"/>
          <w:sz w:val="14"/>
          <w:szCs w:val="14"/>
          <w:b w:val="1"/>
          <w:bCs w:val="1"/>
          <w:u w:val="single" w:color="auto"/>
          <w:color w:val="0000FF"/>
        </w:rPr>
      </w:pPr>
      <w:r>
        <w:rPr>
          <w:rFonts w:ascii="Arial" w:cs="Arial" w:eastAsia="Arial" w:hAnsi="Arial"/>
          <w:sz w:val="14"/>
          <w:szCs w:val="14"/>
          <w:color w:val="auto"/>
        </w:rPr>
        <w:t>List of Guarantors and Subsidiary Issuers of Guaranteed Securities. (Incorporated by reference to Exhibit 22 to the Quarterly Report on Form 10-Q of Pentair plc for the quarter ended September 30, 2022 (File No. 001-11625)).</w:t>
      </w:r>
    </w:p>
    <w:p>
      <w:pPr>
        <w:spacing w:after="0" w:line="47" w:lineRule="exact"/>
        <w:rPr>
          <w:rFonts w:ascii="Arial" w:cs="Arial" w:eastAsia="Arial" w:hAnsi="Arial"/>
          <w:sz w:val="14"/>
          <w:szCs w:val="14"/>
          <w:b w:val="1"/>
          <w:bCs w:val="1"/>
          <w:u w:val="single" w:color="auto"/>
          <w:color w:val="0000FF"/>
        </w:rPr>
      </w:pPr>
    </w:p>
    <w:p>
      <w:pPr>
        <w:ind w:left="720" w:hanging="630"/>
        <w:spacing w:after="0"/>
        <w:tabs>
          <w:tab w:leader="none" w:pos="720" w:val="left"/>
        </w:tabs>
        <w:numPr>
          <w:ilvl w:val="0"/>
          <w:numId w:val="55"/>
        </w:numPr>
        <w:rPr>
          <w:rFonts w:ascii="Arial" w:cs="Arial" w:eastAsia="Arial" w:hAnsi="Arial"/>
          <w:sz w:val="14"/>
          <w:szCs w:val="14"/>
          <w:b w:val="1"/>
          <w:bCs w:val="1"/>
          <w:u w:val="single" w:color="auto"/>
          <w:color w:val="0000FF"/>
        </w:rPr>
      </w:pPr>
      <w:r>
        <w:rPr>
          <w:rFonts w:ascii="Arial" w:cs="Arial" w:eastAsia="Arial" w:hAnsi="Arial"/>
          <w:sz w:val="14"/>
          <w:szCs w:val="14"/>
          <w:color w:val="auto"/>
        </w:rPr>
        <w:t>Consent of Independent Registered Public Accounting Firm — Deloitte &amp; Touche LLP.</w:t>
      </w:r>
    </w:p>
    <w:p>
      <w:pPr>
        <w:spacing w:after="0" w:line="61" w:lineRule="exact"/>
        <w:rPr>
          <w:rFonts w:ascii="Arial" w:cs="Arial" w:eastAsia="Arial" w:hAnsi="Arial"/>
          <w:sz w:val="14"/>
          <w:szCs w:val="14"/>
          <w:b w:val="1"/>
          <w:bCs w:val="1"/>
          <w:u w:val="single" w:color="auto"/>
          <w:color w:val="0000FF"/>
        </w:rPr>
      </w:pPr>
    </w:p>
    <w:p>
      <w:pPr>
        <w:ind w:left="720" w:hanging="630"/>
        <w:spacing w:after="0"/>
        <w:tabs>
          <w:tab w:leader="none" w:pos="720" w:val="left"/>
        </w:tabs>
        <w:numPr>
          <w:ilvl w:val="0"/>
          <w:numId w:val="55"/>
        </w:numPr>
        <w:rPr>
          <w:rFonts w:ascii="Arial" w:cs="Arial" w:eastAsia="Arial" w:hAnsi="Arial"/>
          <w:sz w:val="14"/>
          <w:szCs w:val="14"/>
          <w:b w:val="1"/>
          <w:bCs w:val="1"/>
          <w:u w:val="single" w:color="auto"/>
          <w:color w:val="0000FF"/>
        </w:rPr>
      </w:pPr>
      <w:r>
        <w:rPr>
          <w:rFonts w:ascii="Arial" w:cs="Arial" w:eastAsia="Arial" w:hAnsi="Arial"/>
          <w:sz w:val="14"/>
          <w:szCs w:val="14"/>
          <w:color w:val="auto"/>
        </w:rPr>
        <w:t>Power of attorney.</w:t>
      </w:r>
    </w:p>
    <w:p>
      <w:pPr>
        <w:spacing w:after="0" w:line="5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4"/>
          <w:szCs w:val="14"/>
          <w:b w:val="1"/>
          <w:bCs w:val="1"/>
          <w:u w:val="single" w:color="auto"/>
          <w:color w:val="0000FF"/>
        </w:rPr>
        <w:t>31.1</w:t>
      </w:r>
      <w:r>
        <w:rPr>
          <w:sz w:val="20"/>
          <w:szCs w:val="20"/>
          <w:color w:val="auto"/>
        </w:rPr>
        <w:tab/>
      </w:r>
      <w:r>
        <w:rPr>
          <w:rFonts w:ascii="Arial" w:cs="Arial" w:eastAsia="Arial" w:hAnsi="Arial"/>
          <w:sz w:val="13"/>
          <w:szCs w:val="13"/>
          <w:color w:val="auto"/>
        </w:rPr>
        <w:t>Certification of Chief Executive Officer.</w:t>
      </w:r>
    </w:p>
    <w:p>
      <w:pPr>
        <w:spacing w:after="0" w:line="6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4"/>
          <w:szCs w:val="14"/>
          <w:b w:val="1"/>
          <w:bCs w:val="1"/>
          <w:u w:val="single" w:color="auto"/>
          <w:color w:val="0000FF"/>
        </w:rPr>
        <w:t>31.2</w:t>
      </w:r>
      <w:r>
        <w:rPr>
          <w:sz w:val="20"/>
          <w:szCs w:val="20"/>
          <w:color w:val="auto"/>
        </w:rPr>
        <w:tab/>
      </w:r>
      <w:r>
        <w:rPr>
          <w:rFonts w:ascii="Arial" w:cs="Arial" w:eastAsia="Arial" w:hAnsi="Arial"/>
          <w:sz w:val="13"/>
          <w:szCs w:val="13"/>
          <w:color w:val="auto"/>
        </w:rPr>
        <w:t>Certification of Chief Financial Officer.</w:t>
      </w:r>
    </w:p>
    <w:p>
      <w:pPr>
        <w:spacing w:after="0" w:line="6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4"/>
          <w:szCs w:val="14"/>
          <w:b w:val="1"/>
          <w:bCs w:val="1"/>
          <w:u w:val="single" w:color="auto"/>
          <w:color w:val="0000FF"/>
        </w:rPr>
        <w:t>32.1</w:t>
      </w:r>
      <w:r>
        <w:rPr>
          <w:sz w:val="20"/>
          <w:szCs w:val="20"/>
          <w:color w:val="auto"/>
        </w:rPr>
        <w:tab/>
      </w:r>
      <w:r>
        <w:rPr>
          <w:rFonts w:ascii="Arial" w:cs="Arial" w:eastAsia="Arial" w:hAnsi="Arial"/>
          <w:sz w:val="12"/>
          <w:szCs w:val="12"/>
          <w:color w:val="auto"/>
        </w:rPr>
        <w:t>Certification of Chief Executive Officer, Pursuant to 18 U.S.C. Section 1350, as Adopted Pursuant to Section 906 of the Sarbanes-Oxley Act of 2002.</w:t>
      </w:r>
    </w:p>
    <w:p>
      <w:pPr>
        <w:spacing w:after="0" w:line="6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4"/>
          <w:szCs w:val="14"/>
          <w:b w:val="1"/>
          <w:bCs w:val="1"/>
          <w:u w:val="single" w:color="auto"/>
          <w:color w:val="0000FF"/>
        </w:rPr>
        <w:t>32.2</w:t>
      </w:r>
      <w:r>
        <w:rPr>
          <w:sz w:val="20"/>
          <w:szCs w:val="20"/>
          <w:color w:val="auto"/>
        </w:rPr>
        <w:tab/>
      </w:r>
      <w:r>
        <w:rPr>
          <w:rFonts w:ascii="Arial" w:cs="Arial" w:eastAsia="Arial" w:hAnsi="Arial"/>
          <w:sz w:val="12"/>
          <w:szCs w:val="12"/>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64"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20"/>
          </w:cols>
          <w:pgMar w:left="600" w:top="753" w:right="379" w:bottom="1440" w:gutter="0" w:footer="0" w:header="0"/>
        </w:sectPr>
      </w:pPr>
    </w:p>
    <w:bookmarkStart w:id="84" w:name="page85"/>
    <w:bookmarkEnd w:id="84"/>
    <w:p>
      <w:pPr>
        <w:ind w:left="1020" w:hanging="665"/>
        <w:spacing w:after="0" w:line="238" w:lineRule="auto"/>
        <w:tabs>
          <w:tab w:leader="none" w:pos="1020" w:val="left"/>
        </w:tabs>
        <w:numPr>
          <w:ilvl w:val="0"/>
          <w:numId w:val="56"/>
        </w:numPr>
        <w:rPr>
          <w:rFonts w:ascii="Arial" w:cs="Arial" w:eastAsia="Arial" w:hAnsi="Arial"/>
          <w:sz w:val="13"/>
          <w:szCs w:val="13"/>
          <w:b w:val="1"/>
          <w:bCs w:val="1"/>
          <w:color w:val="auto"/>
        </w:rPr>
      </w:pPr>
      <w:r>
        <w:rPr>
          <w:rFonts w:ascii="Arial" w:cs="Arial" w:eastAsia="Arial" w:hAnsi="Arial"/>
          <w:sz w:val="13"/>
          <w:szCs w:val="13"/>
          <w:color w:val="auto"/>
        </w:rPr>
        <w:t>The following materials from Pentair plc’s Annual Report on Form 10-K for the year ended December 31, 2022 are filed herewith, formatted in iXBRL (Inline Extensible Business Reporting Language): (i) the Consolidated Statements of Operations and Comprehensive Income for the years ended December 31, 2022, 2021 and 2020, (ii) the Consolidated Balance Sheets as of December 31, 2022 and 2021, (iii) the Consolidated Statements of Cash Flows for the years ended December 31, 2022, 2021 and 2020, (iv) the Consolidated Statements of Changes in Equity for the years ended December 31, 2022, 2021 and 2020 and (v) the Notes to the Consolidated Financial Statements. The instance document does not appear in the interactive data file because its XBRL tags are embedded within the Inline XBRL document.</w:t>
      </w:r>
    </w:p>
    <w:p>
      <w:pPr>
        <w:spacing w:after="0" w:line="54" w:lineRule="exact"/>
        <w:rPr>
          <w:sz w:val="20"/>
          <w:szCs w:val="20"/>
          <w:color w:val="auto"/>
        </w:rPr>
      </w:pPr>
    </w:p>
    <w:p>
      <w:pPr>
        <w:ind w:left="20" w:right="5000" w:firstLine="335"/>
        <w:spacing w:after="0" w:line="455" w:lineRule="auto"/>
        <w:tabs>
          <w:tab w:leader="none" w:pos="1028" w:val="left"/>
        </w:tabs>
        <w:numPr>
          <w:ilvl w:val="1"/>
          <w:numId w:val="57"/>
        </w:numPr>
        <w:rPr>
          <w:rFonts w:ascii="Arial" w:cs="Arial" w:eastAsia="Arial" w:hAnsi="Arial"/>
          <w:sz w:val="14"/>
          <w:szCs w:val="14"/>
          <w:b w:val="1"/>
          <w:bCs w:val="1"/>
          <w:color w:val="auto"/>
        </w:rPr>
      </w:pPr>
      <w:r>
        <w:rPr>
          <w:rFonts w:ascii="Arial" w:cs="Arial" w:eastAsia="Arial" w:hAnsi="Arial"/>
          <w:sz w:val="14"/>
          <w:szCs w:val="14"/>
          <w:color w:val="auto"/>
        </w:rPr>
        <w:t>Cover Page Interactive Data File (formatted as Inline XBRL and contained in Exhibit 101). * Denotes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4819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5">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765" w:right="39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February 21, 2023.</w:t>
      </w:r>
    </w:p>
    <w:p>
      <w:pPr>
        <w:spacing w:after="0" w:line="6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PENTAIR PLC</w:t>
      </w: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4"/>
          <w:szCs w:val="14"/>
          <w:color w:val="auto"/>
        </w:rPr>
        <w:t>By /s/ Robert P.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12065</wp:posOffset>
            </wp:positionV>
            <wp:extent cx="355028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7">
                      <a:extLst>
                        <a:ext uri="{28A0092B-C50C-407E-A947-70E740481C1C}"/>
                      </a:extLst>
                    </a:blip>
                    <a:srcRect/>
                    <a:stretch>
                      <a:fillRect/>
                    </a:stretch>
                  </pic:blipFill>
                  <pic:spPr bwMode="auto">
                    <a:xfrm>
                      <a:off x="0" y="0"/>
                      <a:ext cx="3550285" cy="6985"/>
                    </a:xfrm>
                    <a:prstGeom prst="rect">
                      <a:avLst/>
                    </a:prstGeom>
                    <a:noFill/>
                  </pic:spPr>
                </pic:pic>
              </a:graphicData>
            </a:graphic>
          </wp:anchor>
        </w:drawing>
      </w:r>
    </w:p>
    <w:p>
      <w:pPr>
        <w:spacing w:after="0" w:line="1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Robert P. Fishman</w:t>
      </w:r>
    </w:p>
    <w:p>
      <w:pPr>
        <w:spacing w:after="0" w:line="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Executive Vice President, Chief Financial Officer and</w:t>
      </w:r>
    </w:p>
    <w:p>
      <w:pPr>
        <w:ind w:left="5680"/>
        <w:spacing w:after="0"/>
        <w:rPr>
          <w:sz w:val="20"/>
          <w:szCs w:val="20"/>
          <w:color w:val="auto"/>
        </w:rPr>
      </w:pPr>
      <w:r>
        <w:rPr>
          <w:rFonts w:ascii="Arial" w:cs="Arial" w:eastAsia="Arial" w:hAnsi="Arial"/>
          <w:sz w:val="14"/>
          <w:szCs w:val="14"/>
          <w:color w:val="auto"/>
        </w:rPr>
        <w:t>Chief Accounting Officer</w:t>
      </w:r>
    </w:p>
    <w:p>
      <w:pPr>
        <w:spacing w:after="0" w:line="13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indicated, on February 21,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2"/>
          </w:tcPr>
          <w:p>
            <w:pPr>
              <w:jc w:val="center"/>
              <w:ind w:right="2340"/>
              <w:spacing w:after="0"/>
              <w:rPr>
                <w:sz w:val="20"/>
                <w:szCs w:val="20"/>
                <w:color w:val="auto"/>
              </w:rPr>
            </w:pPr>
            <w:r>
              <w:rPr>
                <w:rFonts w:ascii="Arial" w:cs="Arial" w:eastAsia="Arial" w:hAnsi="Arial"/>
                <w:sz w:val="14"/>
                <w:szCs w:val="14"/>
                <w:b w:val="1"/>
                <w:bCs w:val="1"/>
                <w:color w:val="auto"/>
                <w:w w:val="89"/>
              </w:rPr>
              <w:t>Signature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66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2"/>
        </w:trPr>
        <w:tc>
          <w:tcPr>
            <w:tcW w:w="660" w:type="dxa"/>
            <w:vAlign w:val="bottom"/>
            <w:tcBorders>
              <w:bottom w:val="single" w:sz="8" w:color="auto"/>
            </w:tcBorders>
          </w:tcPr>
          <w:p>
            <w:pPr>
              <w:spacing w:after="0"/>
              <w:rPr>
                <w:sz w:val="16"/>
                <w:szCs w:val="16"/>
                <w:color w:val="auto"/>
              </w:rPr>
            </w:pPr>
          </w:p>
        </w:tc>
        <w:tc>
          <w:tcPr>
            <w:tcW w:w="460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4"/>
                <w:szCs w:val="14"/>
                <w:color w:val="auto"/>
                <w:w w:val="92"/>
              </w:rPr>
              <w:t>/s/ John L. Stauch</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President and Chief Executive Officer, Director</w:t>
            </w:r>
          </w:p>
        </w:tc>
      </w:tr>
      <w:tr>
        <w:trPr>
          <w:trHeight w:val="171"/>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color w:val="auto"/>
                <w:w w:val="89"/>
              </w:rPr>
              <w:t>John L. Stauch</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91"/>
        </w:trPr>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w w:val="92"/>
              </w:rPr>
              <w:t>Executive Vice President, Chief Financial Officer and</w:t>
            </w:r>
          </w:p>
        </w:tc>
      </w:tr>
      <w:tr>
        <w:trPr>
          <w:trHeight w:val="180"/>
        </w:trPr>
        <w:tc>
          <w:tcPr>
            <w:tcW w:w="6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360"/>
              <w:spacing w:after="0"/>
              <w:rPr>
                <w:sz w:val="20"/>
                <w:szCs w:val="20"/>
                <w:color w:val="auto"/>
              </w:rPr>
            </w:pPr>
            <w:r>
              <w:rPr>
                <w:rFonts w:ascii="Arial" w:cs="Arial" w:eastAsia="Arial" w:hAnsi="Arial"/>
                <w:sz w:val="14"/>
                <w:szCs w:val="14"/>
                <w:color w:val="auto"/>
                <w:w w:val="80"/>
              </w:rPr>
              <w:t>/s/</w:t>
            </w:r>
          </w:p>
        </w:tc>
        <w:tc>
          <w:tcPr>
            <w:tcW w:w="31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color w:val="auto"/>
              </w:rPr>
              <w:t>Robert P. Fishman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Chief Accounting Officer</w:t>
            </w:r>
          </w:p>
        </w:tc>
      </w:tr>
      <w:tr>
        <w:trPr>
          <w:trHeight w:val="171"/>
        </w:trPr>
        <w:tc>
          <w:tcPr>
            <w:tcW w:w="660" w:type="dxa"/>
            <w:vAlign w:val="bottom"/>
          </w:tcPr>
          <w:p>
            <w:pPr>
              <w:spacing w:after="0"/>
              <w:rPr>
                <w:sz w:val="14"/>
                <w:szCs w:val="14"/>
                <w:color w:val="auto"/>
              </w:rPr>
            </w:pPr>
          </w:p>
        </w:tc>
        <w:tc>
          <w:tcPr>
            <w:tcW w:w="4600" w:type="dxa"/>
            <w:vAlign w:val="bottom"/>
            <w:gridSpan w:val="4"/>
          </w:tcPr>
          <w:p>
            <w:pPr>
              <w:jc w:val="center"/>
              <w:ind w:right="640"/>
              <w:spacing w:after="0"/>
              <w:rPr>
                <w:sz w:val="20"/>
                <w:szCs w:val="20"/>
                <w:color w:val="auto"/>
              </w:rPr>
            </w:pPr>
            <w:r>
              <w:rPr>
                <w:rFonts w:ascii="Arial" w:cs="Arial" w:eastAsia="Arial" w:hAnsi="Arial"/>
                <w:sz w:val="14"/>
                <w:szCs w:val="14"/>
                <w:color w:val="auto"/>
                <w:w w:val="89"/>
              </w:rPr>
              <w:t>Robert P. Fishman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4600" w:type="dxa"/>
            <w:vAlign w:val="bottom"/>
            <w:gridSpan w:val="4"/>
          </w:tcPr>
          <w:p>
            <w:pPr>
              <w:jc w:val="center"/>
              <w:ind w:right="640"/>
              <w:spacing w:after="0"/>
              <w:rPr>
                <w:sz w:val="20"/>
                <w:szCs w:val="20"/>
                <w:color w:val="auto"/>
              </w:rPr>
            </w:pPr>
            <w:r>
              <w:rPr>
                <w:rFonts w:ascii="Arial" w:cs="Arial" w:eastAsia="Arial" w:hAnsi="Arial"/>
                <w:sz w:val="14"/>
                <w:szCs w:val="14"/>
                <w:color w:val="auto"/>
                <w:w w:val="90"/>
              </w:rPr>
              <w:t>Mona Abutaleb Stephenson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color w:val="auto"/>
                <w:w w:val="93"/>
              </w:rPr>
              <w:t>Melissa Barra</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color w:val="auto"/>
                <w:w w:val="95"/>
              </w:rPr>
              <w:t>Glynis A. Bryan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4600" w:type="dxa"/>
            <w:vAlign w:val="bottom"/>
            <w:gridSpan w:val="4"/>
          </w:tcPr>
          <w:p>
            <w:pPr>
              <w:jc w:val="center"/>
              <w:ind w:right="640"/>
              <w:spacing w:after="0"/>
              <w:rPr>
                <w:sz w:val="20"/>
                <w:szCs w:val="20"/>
                <w:color w:val="auto"/>
              </w:rPr>
            </w:pPr>
            <w:r>
              <w:rPr>
                <w:rFonts w:ascii="Arial" w:cs="Arial" w:eastAsia="Arial" w:hAnsi="Arial"/>
                <w:sz w:val="14"/>
                <w:szCs w:val="14"/>
                <w:color w:val="auto"/>
                <w:w w:val="94"/>
              </w:rPr>
              <w:t>T. Michael Glenn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4600" w:type="dxa"/>
            <w:vAlign w:val="bottom"/>
            <w:gridSpan w:val="4"/>
          </w:tcPr>
          <w:p>
            <w:pPr>
              <w:jc w:val="center"/>
              <w:ind w:right="640"/>
              <w:spacing w:after="0"/>
              <w:rPr>
                <w:sz w:val="20"/>
                <w:szCs w:val="20"/>
                <w:color w:val="auto"/>
              </w:rPr>
            </w:pPr>
            <w:r>
              <w:rPr>
                <w:rFonts w:ascii="Arial" w:cs="Arial" w:eastAsia="Arial" w:hAnsi="Arial"/>
                <w:sz w:val="14"/>
                <w:szCs w:val="14"/>
                <w:color w:val="auto"/>
                <w:w w:val="92"/>
              </w:rPr>
              <w:t>Theodore L. Harris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100" w:type="dxa"/>
            <w:vAlign w:val="bottom"/>
            <w:gridSpan w:val="3"/>
          </w:tcPr>
          <w:p>
            <w:pPr>
              <w:jc w:val="center"/>
              <w:ind w:right="2140"/>
              <w:spacing w:after="0"/>
              <w:rPr>
                <w:sz w:val="20"/>
                <w:szCs w:val="20"/>
                <w:color w:val="auto"/>
              </w:rPr>
            </w:pPr>
            <w:r>
              <w:rPr>
                <w:rFonts w:ascii="Arial" w:cs="Arial" w:eastAsia="Arial" w:hAnsi="Arial"/>
                <w:sz w:val="14"/>
                <w:szCs w:val="14"/>
                <w:color w:val="auto"/>
                <w:w w:val="93"/>
              </w:rPr>
              <w:t>David A. Jones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81"/>
        </w:trPr>
        <w:tc>
          <w:tcPr>
            <w:tcW w:w="660" w:type="dxa"/>
            <w:vAlign w:val="bottom"/>
          </w:tcPr>
          <w:p>
            <w:pPr>
              <w:spacing w:after="0"/>
              <w:rPr>
                <w:sz w:val="15"/>
                <w:szCs w:val="15"/>
                <w:color w:val="auto"/>
              </w:rPr>
            </w:pPr>
          </w:p>
        </w:tc>
        <w:tc>
          <w:tcPr>
            <w:tcW w:w="4600" w:type="dxa"/>
            <w:vAlign w:val="bottom"/>
            <w:gridSpan w:val="4"/>
          </w:tcPr>
          <w:p>
            <w:pPr>
              <w:jc w:val="center"/>
              <w:ind w:right="660"/>
              <w:spacing w:after="0"/>
              <w:rPr>
                <w:sz w:val="20"/>
                <w:szCs w:val="20"/>
                <w:color w:val="auto"/>
              </w:rPr>
            </w:pPr>
            <w:r>
              <w:rPr>
                <w:rFonts w:ascii="Arial" w:cs="Arial" w:eastAsia="Arial" w:hAnsi="Arial"/>
                <w:sz w:val="14"/>
                <w:szCs w:val="14"/>
                <w:color w:val="auto"/>
                <w:w w:val="95"/>
              </w:rPr>
              <w:t>Gregory E. Knight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34"/>
        </w:trPr>
        <w:tc>
          <w:tcPr>
            <w:tcW w:w="6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4600" w:type="dxa"/>
            <w:vAlign w:val="bottom"/>
            <w:gridSpan w:val="4"/>
          </w:tcPr>
          <w:p>
            <w:pPr>
              <w:jc w:val="center"/>
              <w:ind w:right="640"/>
              <w:spacing w:after="0"/>
              <w:rPr>
                <w:sz w:val="20"/>
                <w:szCs w:val="20"/>
                <w:color w:val="auto"/>
              </w:rPr>
            </w:pPr>
            <w:r>
              <w:rPr>
                <w:rFonts w:ascii="Arial" w:cs="Arial" w:eastAsia="Arial" w:hAnsi="Arial"/>
                <w:sz w:val="14"/>
                <w:szCs w:val="14"/>
                <w:color w:val="auto"/>
                <w:w w:val="90"/>
              </w:rPr>
              <w:t>Michael T. Speetzen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23"/>
        </w:trPr>
        <w:tc>
          <w:tcPr>
            <w:tcW w:w="6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w:t>
            </w:r>
          </w:p>
        </w:tc>
        <w:tc>
          <w:tcPr>
            <w:tcW w:w="2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4"/>
                <w:szCs w:val="14"/>
                <w:color w:val="auto"/>
              </w:rPr>
              <w:t>Director</w:t>
            </w:r>
          </w:p>
        </w:tc>
      </w:tr>
      <w:tr>
        <w:trPr>
          <w:trHeight w:val="171"/>
        </w:trPr>
        <w:tc>
          <w:tcPr>
            <w:tcW w:w="660" w:type="dxa"/>
            <w:vAlign w:val="bottom"/>
          </w:tcPr>
          <w:p>
            <w:pPr>
              <w:spacing w:after="0"/>
              <w:rPr>
                <w:sz w:val="14"/>
                <w:szCs w:val="14"/>
                <w:color w:val="auto"/>
              </w:rPr>
            </w:pPr>
          </w:p>
        </w:tc>
        <w:tc>
          <w:tcPr>
            <w:tcW w:w="4600" w:type="dxa"/>
            <w:vAlign w:val="bottom"/>
            <w:gridSpan w:val="4"/>
          </w:tcPr>
          <w:p>
            <w:pPr>
              <w:jc w:val="center"/>
              <w:ind w:right="640"/>
              <w:spacing w:after="0"/>
              <w:rPr>
                <w:sz w:val="20"/>
                <w:szCs w:val="20"/>
                <w:color w:val="auto"/>
              </w:rPr>
            </w:pPr>
            <w:r>
              <w:rPr>
                <w:rFonts w:ascii="Arial" w:cs="Arial" w:eastAsia="Arial" w:hAnsi="Arial"/>
                <w:sz w:val="14"/>
                <w:szCs w:val="14"/>
                <w:color w:val="auto"/>
                <w:w w:val="99"/>
              </w:rPr>
              <w:t>Billie I. Williamson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276"/>
        </w:trPr>
        <w:tc>
          <w:tcPr>
            <w:tcW w:w="2160" w:type="dxa"/>
            <w:vAlign w:val="bottom"/>
            <w:gridSpan w:val="2"/>
          </w:tcPr>
          <w:p>
            <w:pPr>
              <w:ind w:left="20"/>
              <w:spacing w:after="0"/>
              <w:rPr>
                <w:sz w:val="20"/>
                <w:szCs w:val="20"/>
                <w:color w:val="auto"/>
              </w:rPr>
            </w:pPr>
            <w:r>
              <w:rPr>
                <w:rFonts w:ascii="Arial" w:cs="Arial" w:eastAsia="Arial" w:hAnsi="Arial"/>
                <w:sz w:val="14"/>
                <w:szCs w:val="14"/>
                <w:color w:val="auto"/>
              </w:rPr>
              <w:t>*By</w:t>
            </w:r>
          </w:p>
        </w:tc>
        <w:tc>
          <w:tcPr>
            <w:tcW w:w="180" w:type="dxa"/>
            <w:vAlign w:val="bottom"/>
          </w:tcPr>
          <w:p>
            <w:pPr>
              <w:spacing w:after="0"/>
              <w:rPr>
                <w:sz w:val="24"/>
                <w:szCs w:val="24"/>
                <w:color w:val="auto"/>
              </w:rPr>
            </w:pPr>
          </w:p>
        </w:tc>
        <w:tc>
          <w:tcPr>
            <w:tcW w:w="2920" w:type="dxa"/>
            <w:vAlign w:val="bottom"/>
            <w:gridSpan w:val="2"/>
          </w:tcPr>
          <w:p>
            <w:pPr>
              <w:jc w:val="center"/>
              <w:ind w:right="1620"/>
              <w:spacing w:after="0"/>
              <w:rPr>
                <w:sz w:val="20"/>
                <w:szCs w:val="20"/>
                <w:color w:val="auto"/>
              </w:rPr>
            </w:pPr>
            <w:r>
              <w:rPr>
                <w:rFonts w:ascii="Arial" w:cs="Arial" w:eastAsia="Arial" w:hAnsi="Arial"/>
                <w:sz w:val="14"/>
                <w:szCs w:val="14"/>
                <w:color w:val="auto"/>
                <w:w w:val="91"/>
              </w:rPr>
              <w:t>/s/ Karla C. Robertson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71"/>
        </w:trPr>
        <w:tc>
          <w:tcPr>
            <w:tcW w:w="66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920" w:type="dxa"/>
            <w:vAlign w:val="bottom"/>
            <w:tcBorders>
              <w:top w:val="single" w:sz="8" w:color="auto"/>
            </w:tcBorders>
            <w:gridSpan w:val="2"/>
          </w:tcPr>
          <w:p>
            <w:pPr>
              <w:jc w:val="center"/>
              <w:ind w:right="1620"/>
              <w:spacing w:after="0"/>
              <w:rPr>
                <w:sz w:val="20"/>
                <w:szCs w:val="20"/>
                <w:color w:val="auto"/>
              </w:rPr>
            </w:pPr>
            <w:r>
              <w:rPr>
                <w:rFonts w:ascii="Arial" w:cs="Arial" w:eastAsia="Arial" w:hAnsi="Arial"/>
                <w:sz w:val="14"/>
                <w:szCs w:val="14"/>
                <w:color w:val="auto"/>
                <w:w w:val="92"/>
              </w:rPr>
              <w:t>Karla C. Robertson</w:t>
            </w: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tcPr>
          <w:p>
            <w:pPr>
              <w:spacing w:after="0"/>
              <w:rPr>
                <w:sz w:val="14"/>
                <w:szCs w:val="14"/>
                <w:color w:val="auto"/>
              </w:rPr>
            </w:pPr>
          </w:p>
        </w:tc>
      </w:tr>
      <w:tr>
        <w:trPr>
          <w:trHeight w:val="180"/>
        </w:trPr>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4"/>
                <w:szCs w:val="14"/>
                <w:color w:val="auto"/>
                <w:w w:val="96"/>
              </w:rPr>
              <w:t>Attorney-in-fact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870"/>
        </w:trPr>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60" w:type="dxa"/>
            <w:vAlign w:val="bottom"/>
            <w:gridSpan w:val="4"/>
          </w:tcPr>
          <w:p>
            <w:pPr>
              <w:jc w:val="right"/>
              <w:ind w:right="2700"/>
              <w:spacing w:after="0"/>
              <w:rPr>
                <w:sz w:val="20"/>
                <w:szCs w:val="20"/>
                <w:color w:val="auto"/>
              </w:rPr>
            </w:pPr>
            <w:r>
              <w:rPr>
                <w:rFonts w:ascii="Arial" w:cs="Arial" w:eastAsia="Arial" w:hAnsi="Arial"/>
                <w:sz w:val="14"/>
                <w:szCs w:val="14"/>
                <w:color w:val="auto"/>
              </w:rPr>
              <w:t>84</w:t>
            </w:r>
          </w:p>
        </w:tc>
      </w:tr>
    </w:tbl>
    <w:p>
      <w:pPr>
        <w:sectPr>
          <w:pgSz w:w="11900" w:h="16838" w:orient="portrait"/>
          <w:cols w:equalWidth="0" w:num="1">
            <w:col w:w="11280"/>
          </w:cols>
          <w:pgMar w:left="300" w:top="730" w:right="319" w:bottom="1440" w:gutter="0" w:footer="0" w:header="0"/>
        </w:sectPr>
      </w:pPr>
    </w:p>
    <w:bookmarkStart w:id="86" w:name="page87"/>
    <w:bookmarkEnd w:id="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rFonts w:ascii="Arial" w:cs="Arial" w:eastAsia="Arial" w:hAnsi="Arial"/>
          <w:sz w:val="14"/>
          <w:szCs w:val="14"/>
          <w:b w:val="1"/>
          <w:bCs w:val="1"/>
          <w:color w:val="auto"/>
        </w:rPr>
        <w:t>Exhibit 4.11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ORDINARY SHARES</w:t>
      </w:r>
    </w:p>
    <w:p>
      <w:pPr>
        <w:spacing w:after="0" w:line="129" w:lineRule="exact"/>
        <w:rPr>
          <w:sz w:val="20"/>
          <w:szCs w:val="20"/>
          <w:color w:val="auto"/>
        </w:rPr>
      </w:pPr>
    </w:p>
    <w:p>
      <w:pPr>
        <w:ind w:right="360" w:firstLine="509"/>
        <w:spacing w:after="0" w:line="270" w:lineRule="auto"/>
        <w:rPr>
          <w:sz w:val="20"/>
          <w:szCs w:val="20"/>
          <w:color w:val="auto"/>
        </w:rPr>
      </w:pPr>
      <w:r>
        <w:rPr>
          <w:rFonts w:ascii="Arial" w:cs="Arial" w:eastAsia="Arial" w:hAnsi="Arial"/>
          <w:sz w:val="13"/>
          <w:szCs w:val="13"/>
          <w:color w:val="auto"/>
        </w:rPr>
        <w:t>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Structure</w:t>
      </w:r>
    </w:p>
    <w:p>
      <w:pPr>
        <w:spacing w:after="0" w:line="129" w:lineRule="exact"/>
        <w:rPr>
          <w:sz w:val="20"/>
          <w:szCs w:val="20"/>
          <w:color w:val="auto"/>
        </w:rPr>
      </w:pPr>
    </w:p>
    <w:p>
      <w:pPr>
        <w:ind w:right="20" w:firstLine="509"/>
        <w:spacing w:after="0" w:line="226" w:lineRule="auto"/>
        <w:rPr>
          <w:sz w:val="20"/>
          <w:szCs w:val="20"/>
          <w:color w:val="auto"/>
        </w:rPr>
      </w:pPr>
      <w:r>
        <w:rPr>
          <w:rFonts w:ascii="Arial" w:cs="Arial" w:eastAsia="Arial" w:hAnsi="Arial"/>
          <w:sz w:val="14"/>
          <w:szCs w:val="14"/>
          <w:color w:val="auto"/>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spacing w:after="0" w:line="108" w:lineRule="exact"/>
        <w:rPr>
          <w:sz w:val="20"/>
          <w:szCs w:val="20"/>
          <w:color w:val="auto"/>
        </w:rPr>
      </w:pPr>
    </w:p>
    <w:p>
      <w:pPr>
        <w:ind w:right="60" w:firstLine="509"/>
        <w:spacing w:after="0" w:line="239" w:lineRule="auto"/>
        <w:rPr>
          <w:sz w:val="20"/>
          <w:szCs w:val="20"/>
          <w:color w:val="auto"/>
        </w:rPr>
      </w:pPr>
      <w:r>
        <w:rPr>
          <w:rFonts w:ascii="Arial" w:cs="Arial" w:eastAsia="Arial" w:hAnsi="Arial"/>
          <w:sz w:val="13"/>
          <w:szCs w:val="13"/>
          <w:color w:val="auto"/>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w:t>
      </w:r>
    </w:p>
    <w:p>
      <w:pPr>
        <w:spacing w:after="0" w:line="1"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w:t>
      </w:r>
    </w:p>
    <w:p>
      <w:pPr>
        <w:ind w:right="300"/>
        <w:spacing w:after="0" w:line="228" w:lineRule="auto"/>
        <w:rPr>
          <w:sz w:val="20"/>
          <w:szCs w:val="20"/>
          <w:color w:val="auto"/>
        </w:rPr>
      </w:pPr>
      <w:r>
        <w:rPr>
          <w:rFonts w:ascii="Arial" w:cs="Arial" w:eastAsia="Arial" w:hAnsi="Arial"/>
          <w:sz w:val="14"/>
          <w:szCs w:val="14"/>
          <w:color w:val="auto"/>
        </w:rPr>
        <w:t>shareholder approval at Pentair’s 2022 annual general meeting of shareholders to authorize the board of directors to issue up to a maximum of 33% of Pentair’s issued ordinary share capital as of March 18, 2022 (an aggregate nominal amount of $545,819 or 54,581,892 shares), for a period to expire 18 months from the approval, or November 18, 2023.</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rights and restrictions to which the ordinary shares are subject are prescribed in the Pentair Articles.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Preemption Rights</w:t>
      </w:r>
    </w:p>
    <w:p>
      <w:pPr>
        <w:spacing w:after="0" w:line="129" w:lineRule="exact"/>
        <w:rPr>
          <w:sz w:val="20"/>
          <w:szCs w:val="20"/>
          <w:color w:val="auto"/>
        </w:rPr>
      </w:pPr>
    </w:p>
    <w:p>
      <w:pPr>
        <w:ind w:right="20" w:firstLine="509"/>
        <w:spacing w:after="0" w:line="259" w:lineRule="auto"/>
        <w:rPr>
          <w:sz w:val="20"/>
          <w:szCs w:val="20"/>
          <w:color w:val="auto"/>
        </w:rPr>
      </w:pPr>
      <w:r>
        <w:rPr>
          <w:rFonts w:ascii="Arial" w:cs="Arial" w:eastAsia="Arial" w:hAnsi="Arial"/>
          <w:sz w:val="12"/>
          <w:szCs w:val="12"/>
          <w:color w:val="auto"/>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w:t>
      </w:r>
    </w:p>
    <w:p>
      <w:pPr>
        <w:spacing w:after="0" w:line="1" w:lineRule="exact"/>
        <w:rPr>
          <w:sz w:val="20"/>
          <w:szCs w:val="20"/>
          <w:color w:val="auto"/>
        </w:rPr>
      </w:pPr>
    </w:p>
    <w:p>
      <w:pPr>
        <w:ind w:right="80"/>
        <w:spacing w:after="0" w:line="246" w:lineRule="auto"/>
        <w:rPr>
          <w:sz w:val="20"/>
          <w:szCs w:val="20"/>
          <w:color w:val="auto"/>
        </w:rPr>
      </w:pPr>
      <w:r>
        <w:rPr>
          <w:rFonts w:ascii="Arial" w:cs="Arial" w:eastAsia="Arial" w:hAnsi="Arial"/>
          <w:sz w:val="12"/>
          <w:szCs w:val="12"/>
          <w:color w:val="auto"/>
        </w:rPr>
        <w:t>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w:t>
      </w:r>
    </w:p>
    <w:p>
      <w:pPr>
        <w:jc w:val="both"/>
        <w:ind w:right="80"/>
        <w:spacing w:after="0" w:line="246" w:lineRule="auto"/>
        <w:rPr>
          <w:sz w:val="20"/>
          <w:szCs w:val="20"/>
          <w:color w:val="auto"/>
        </w:rPr>
      </w:pPr>
      <w:r>
        <w:rPr>
          <w:rFonts w:ascii="Arial" w:cs="Arial" w:eastAsia="Arial" w:hAnsi="Arial"/>
          <w:sz w:val="12"/>
          <w:szCs w:val="12"/>
          <w:color w:val="auto"/>
        </w:rPr>
        <w:t>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2022 annual general meeting of shareholders to authorize Pentair to opt out of preemption rights with respect to the allotment of equity securities up to a maximum of 10% of Pentair’s issued ordinary share capital as of March 18, 2022 (an aggregate nominal amount of</w:t>
      </w:r>
    </w:p>
    <w:p>
      <w:pPr>
        <w:jc w:val="both"/>
        <w:ind w:right="60"/>
        <w:spacing w:after="0" w:line="251" w:lineRule="auto"/>
        <w:rPr>
          <w:sz w:val="20"/>
          <w:szCs w:val="20"/>
          <w:color w:val="auto"/>
        </w:rPr>
      </w:pPr>
      <w:r>
        <w:rPr>
          <w:rFonts w:ascii="Arial" w:cs="Arial" w:eastAsia="Arial" w:hAnsi="Arial"/>
          <w:sz w:val="13"/>
          <w:szCs w:val="13"/>
          <w:color w:val="auto"/>
        </w:rPr>
        <w:t>$165,400 or 16,539,967 shares), provided that any amount above 5% of Pentair’s issued ordinary share capital as of March 18, 2022 (an aggregate nominal amount of $82,700 or 8,269,984 shares) is to be used only for the purpose of an acquisition or a specific capital investment. This approval will expire 18 months from the date of the approval, or November 18, 2023.</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Under Irish law, dividends and distributions may only be made from distributable reserves. Distributable reserves generally means accumulated realized profits less accumulated realized</w:t>
      </w:r>
    </w:p>
    <w:p>
      <w:pPr>
        <w:spacing w:after="0" w:line="11" w:lineRule="exact"/>
        <w:rPr>
          <w:sz w:val="20"/>
          <w:szCs w:val="20"/>
          <w:color w:val="auto"/>
        </w:rPr>
      </w:pPr>
    </w:p>
    <w:p>
      <w:pPr>
        <w:ind w:right="180"/>
        <w:spacing w:after="0" w:line="216" w:lineRule="auto"/>
        <w:rPr>
          <w:sz w:val="20"/>
          <w:szCs w:val="20"/>
          <w:color w:val="auto"/>
        </w:rPr>
      </w:pPr>
      <w:r>
        <w:rPr>
          <w:rFonts w:ascii="Arial" w:cs="Arial" w:eastAsia="Arial" w:hAnsi="Arial"/>
          <w:sz w:val="14"/>
          <w:szCs w:val="14"/>
          <w:color w:val="auto"/>
        </w:rPr>
        <w:t>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spacing w:after="0" w:line="109" w:lineRule="exact"/>
        <w:rPr>
          <w:sz w:val="20"/>
          <w:szCs w:val="20"/>
          <w:color w:val="auto"/>
        </w:rPr>
      </w:pPr>
    </w:p>
    <w:p>
      <w:pPr>
        <w:ind w:firstLine="509"/>
        <w:spacing w:after="0" w:line="259" w:lineRule="auto"/>
        <w:rPr>
          <w:sz w:val="20"/>
          <w:szCs w:val="20"/>
          <w:color w:val="auto"/>
        </w:rPr>
      </w:pPr>
      <w:r>
        <w:rPr>
          <w:rFonts w:ascii="Arial" w:cs="Arial" w:eastAsia="Arial" w:hAnsi="Arial"/>
          <w:sz w:val="12"/>
          <w:szCs w:val="12"/>
          <w:color w:val="auto"/>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w:t>
      </w:r>
    </w:p>
    <w:p>
      <w:pPr>
        <w:spacing w:after="0" w:line="1" w:lineRule="exact"/>
        <w:rPr>
          <w:sz w:val="20"/>
          <w:szCs w:val="20"/>
          <w:color w:val="auto"/>
        </w:rPr>
      </w:pPr>
    </w:p>
    <w:p>
      <w:pPr>
        <w:ind w:right="380"/>
        <w:spacing w:after="0" w:line="228" w:lineRule="auto"/>
        <w:rPr>
          <w:sz w:val="20"/>
          <w:szCs w:val="20"/>
          <w:color w:val="auto"/>
        </w:rPr>
      </w:pPr>
      <w:r>
        <w:rPr>
          <w:rFonts w:ascii="Arial" w:cs="Arial" w:eastAsia="Arial" w:hAnsi="Arial"/>
          <w:sz w:val="14"/>
          <w:szCs w:val="14"/>
          <w:color w:val="auto"/>
        </w:rPr>
        <w:t>a “true and fair view” of Pentair’s unconsolidated financial position and accord with accepted accounting practice. The relevant financial statements must be filed in the Companies Registration Office (the official public registry for companies in Ireland).</w:t>
      </w:r>
    </w:p>
    <w:p>
      <w:pPr>
        <w:spacing w:after="0" w:line="200" w:lineRule="exact"/>
        <w:rPr>
          <w:sz w:val="20"/>
          <w:szCs w:val="20"/>
          <w:color w:val="auto"/>
        </w:rPr>
      </w:pPr>
    </w:p>
    <w:p>
      <w:pPr>
        <w:spacing w:after="0" w:line="235" w:lineRule="exact"/>
        <w:rPr>
          <w:sz w:val="20"/>
          <w:szCs w:val="20"/>
          <w:color w:val="auto"/>
        </w:rPr>
      </w:pPr>
    </w:p>
    <w:p>
      <w:pPr>
        <w:ind w:right="300" w:firstLine="509"/>
        <w:spacing w:after="0" w:line="259" w:lineRule="auto"/>
        <w:rPr>
          <w:sz w:val="20"/>
          <w:szCs w:val="20"/>
          <w:color w:val="auto"/>
        </w:rPr>
      </w:pPr>
      <w:r>
        <w:rPr>
          <w:rFonts w:ascii="Arial" w:cs="Arial" w:eastAsia="Arial" w:hAnsi="Arial"/>
          <w:sz w:val="12"/>
          <w:szCs w:val="12"/>
          <w:color w:val="auto"/>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shares or cash and no dividend issued may exceed the amount recommended by the directors. Dividends may be declared and paid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auto"/>
        </w:rPr>
        <w:t>4815-7160-7475.5</w:t>
      </w:r>
    </w:p>
    <w:p>
      <w:pPr>
        <w:sectPr>
          <w:pgSz w:w="11900" w:h="16838" w:orient="portrait"/>
          <w:cols w:equalWidth="0" w:num="1">
            <w:col w:w="11280"/>
          </w:cols>
          <w:pgMar w:left="300" w:top="114" w:right="319" w:bottom="1440" w:gutter="0" w:footer="0" w:header="0"/>
        </w:sectPr>
      </w:pPr>
    </w:p>
    <w:bookmarkStart w:id="181" w:name="page182"/>
    <w:bookmarkEnd w:id="181"/>
    <w:p>
      <w:pPr>
        <w:ind w:right="400"/>
        <w:spacing w:after="0" w:line="249" w:lineRule="auto"/>
        <w:rPr>
          <w:sz w:val="20"/>
          <w:szCs w:val="20"/>
          <w:color w:val="auto"/>
        </w:rPr>
      </w:pPr>
      <w:r>
        <w:rPr>
          <w:rFonts w:ascii="Arial" w:cs="Arial" w:eastAsia="Arial" w:hAnsi="Arial"/>
          <w:sz w:val="14"/>
          <w:szCs w:val="14"/>
          <w:color w:val="auto"/>
        </w:rPr>
        <w:t>form of cash or non-cash assets and may be paid in U.S. dollars or any other currency. All holders of ordinary shares of Pentair will participate pro rata in respect of any dividend which may be declared in respect of ordinary shares by Pentair.</w:t>
      </w:r>
    </w:p>
    <w:p>
      <w:pPr>
        <w:spacing w:after="0" w:line="90" w:lineRule="exact"/>
        <w:rPr>
          <w:sz w:val="20"/>
          <w:szCs w:val="20"/>
          <w:color w:val="auto"/>
        </w:rPr>
      </w:pPr>
    </w:p>
    <w:p>
      <w:pPr>
        <w:ind w:right="640" w:firstLine="509"/>
        <w:spacing w:after="0" w:line="427" w:lineRule="auto"/>
        <w:rPr>
          <w:sz w:val="20"/>
          <w:szCs w:val="20"/>
          <w:color w:val="auto"/>
        </w:rPr>
      </w:pPr>
      <w:r>
        <w:rPr>
          <w:rFonts w:ascii="Arial" w:cs="Arial" w:eastAsia="Arial" w:hAnsi="Arial"/>
          <w:sz w:val="14"/>
          <w:szCs w:val="14"/>
          <w:color w:val="auto"/>
        </w:rPr>
        <w:t xml:space="preserve">The directors of Pentair may deduct from any dividend payable to any shareholder any amounts payable by such shareholder to Pentair in relation to the ordinary shares of Pentair. </w:t>
      </w:r>
      <w:r>
        <w:rPr>
          <w:rFonts w:ascii="Arial" w:cs="Arial" w:eastAsia="Arial" w:hAnsi="Arial"/>
          <w:sz w:val="14"/>
          <w:szCs w:val="14"/>
          <w:b w:val="1"/>
          <w:bCs w:val="1"/>
          <w:color w:val="auto"/>
        </w:rPr>
        <w:t>Bonus Shares</w:t>
      </w:r>
    </w:p>
    <w:p>
      <w:pPr>
        <w:ind w:right="80" w:firstLine="509"/>
        <w:spacing w:after="0" w:line="270" w:lineRule="auto"/>
        <w:rPr>
          <w:sz w:val="20"/>
          <w:szCs w:val="20"/>
          <w:color w:val="auto"/>
        </w:rPr>
      </w:pPr>
      <w:r>
        <w:rPr>
          <w:rFonts w:ascii="Arial" w:cs="Arial" w:eastAsia="Arial" w:hAnsi="Arial"/>
          <w:sz w:val="13"/>
          <w:szCs w:val="13"/>
          <w:color w:val="auto"/>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Repurchases, Redemptions and Conversions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Overview</w:t>
      </w:r>
    </w:p>
    <w:p>
      <w:pPr>
        <w:spacing w:after="0" w:line="125" w:lineRule="exact"/>
        <w:rPr>
          <w:sz w:val="20"/>
          <w:szCs w:val="20"/>
          <w:color w:val="auto"/>
        </w:rPr>
      </w:pPr>
    </w:p>
    <w:p>
      <w:pPr>
        <w:ind w:right="60" w:firstLine="509"/>
        <w:spacing w:after="0" w:line="259" w:lineRule="auto"/>
        <w:rPr>
          <w:sz w:val="20"/>
          <w:szCs w:val="20"/>
          <w:color w:val="auto"/>
        </w:rPr>
      </w:pPr>
      <w:r>
        <w:rPr>
          <w:rFonts w:ascii="Arial" w:cs="Arial" w:eastAsia="Arial" w:hAnsi="Arial"/>
          <w:sz w:val="12"/>
          <w:szCs w:val="12"/>
          <w:color w:val="auto"/>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w:t>
      </w:r>
    </w:p>
    <w:p>
      <w:pPr>
        <w:spacing w:after="0" w:line="1" w:lineRule="exact"/>
        <w:rPr>
          <w:sz w:val="20"/>
          <w:szCs w:val="20"/>
          <w:color w:val="auto"/>
        </w:rPr>
      </w:pPr>
    </w:p>
    <w:p>
      <w:pPr>
        <w:jc w:val="both"/>
        <w:ind w:right="140"/>
        <w:spacing w:after="0" w:line="246" w:lineRule="auto"/>
        <w:rPr>
          <w:sz w:val="20"/>
          <w:szCs w:val="20"/>
          <w:color w:val="auto"/>
        </w:rPr>
      </w:pPr>
      <w:r>
        <w:rPr>
          <w:rFonts w:ascii="Arial" w:cs="Arial" w:eastAsia="Arial" w:hAnsi="Arial"/>
          <w:sz w:val="12"/>
          <w:szCs w:val="12"/>
          <w:color w:val="auto"/>
        </w:rPr>
        <w:t>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w:t>
      </w:r>
    </w:p>
    <w:p>
      <w:pPr>
        <w:ind w:right="120"/>
        <w:spacing w:after="0" w:line="246" w:lineRule="auto"/>
        <w:rPr>
          <w:sz w:val="20"/>
          <w:szCs w:val="20"/>
          <w:color w:val="auto"/>
        </w:rPr>
      </w:pPr>
      <w:r>
        <w:rPr>
          <w:rFonts w:ascii="Arial" w:cs="Arial" w:eastAsia="Arial" w:hAnsi="Arial"/>
          <w:sz w:val="12"/>
          <w:szCs w:val="12"/>
          <w:color w:val="auto"/>
        </w:rPr>
        <w:t>“Purchases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w:t>
      </w:r>
    </w:p>
    <w:p>
      <w:pPr>
        <w:spacing w:after="0"/>
        <w:rPr>
          <w:sz w:val="20"/>
          <w:szCs w:val="20"/>
          <w:color w:val="auto"/>
        </w:rPr>
      </w:pPr>
      <w:r>
        <w:rPr>
          <w:rFonts w:ascii="Arial" w:cs="Arial" w:eastAsia="Arial" w:hAnsi="Arial"/>
          <w:sz w:val="14"/>
          <w:szCs w:val="14"/>
          <w:color w:val="auto"/>
        </w:rPr>
        <w:t>Pentair by a subsidiary of Pentair, in each case in accordance with the Pentair Articles and Irish company law as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Repurchases and Redemptions by Pentair</w:t>
      </w:r>
    </w:p>
    <w:p>
      <w:pPr>
        <w:spacing w:after="0" w:line="125" w:lineRule="exact"/>
        <w:rPr>
          <w:sz w:val="20"/>
          <w:szCs w:val="20"/>
          <w:color w:val="auto"/>
        </w:rPr>
      </w:pPr>
    </w:p>
    <w:p>
      <w:pPr>
        <w:ind w:right="220" w:firstLine="509"/>
        <w:spacing w:after="0" w:line="259" w:lineRule="auto"/>
        <w:rPr>
          <w:sz w:val="20"/>
          <w:szCs w:val="20"/>
          <w:color w:val="auto"/>
        </w:rPr>
      </w:pPr>
      <w:r>
        <w:rPr>
          <w:rFonts w:ascii="Arial" w:cs="Arial" w:eastAsia="Arial" w:hAnsi="Arial"/>
          <w:sz w:val="12"/>
          <w:szCs w:val="12"/>
          <w:color w:val="auto"/>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w:t>
      </w:r>
    </w:p>
    <w:p>
      <w:pPr>
        <w:spacing w:after="0" w:line="1"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spacing w:after="0" w:line="107" w:lineRule="exact"/>
        <w:rPr>
          <w:sz w:val="20"/>
          <w:szCs w:val="20"/>
          <w:color w:val="auto"/>
        </w:rPr>
      </w:pPr>
    </w:p>
    <w:p>
      <w:pPr>
        <w:ind w:right="320" w:firstLine="509"/>
        <w:spacing w:after="0" w:line="236" w:lineRule="auto"/>
        <w:rPr>
          <w:sz w:val="20"/>
          <w:szCs w:val="20"/>
          <w:color w:val="auto"/>
        </w:rPr>
      </w:pPr>
      <w:r>
        <w:rPr>
          <w:rFonts w:ascii="Arial" w:cs="Arial" w:eastAsia="Arial" w:hAnsi="Arial"/>
          <w:sz w:val="14"/>
          <w:szCs w:val="14"/>
          <w:color w:val="auto"/>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spacing w:after="0" w:line="108" w:lineRule="exact"/>
        <w:rPr>
          <w:sz w:val="20"/>
          <w:szCs w:val="20"/>
          <w:color w:val="auto"/>
        </w:rPr>
      </w:pPr>
    </w:p>
    <w:p>
      <w:pPr>
        <w:jc w:val="both"/>
        <w:ind w:firstLine="509"/>
        <w:spacing w:after="0" w:line="226" w:lineRule="auto"/>
        <w:rPr>
          <w:sz w:val="20"/>
          <w:szCs w:val="20"/>
          <w:color w:val="auto"/>
        </w:rPr>
      </w:pPr>
      <w:r>
        <w:rPr>
          <w:rFonts w:ascii="Arial" w:cs="Arial" w:eastAsia="Arial" w:hAnsi="Arial"/>
          <w:sz w:val="14"/>
          <w:szCs w:val="14"/>
          <w:color w:val="auto"/>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canceled by Pentair or re-issued subject to certain conditions.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Purchases by Subsidiaries of Pentair</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Under Irish law, an Irish or non-Irish subsidiary may purchase Pentair ordinary shares either as overseas market purchases or off-market purchases. For a subsidiary of Pentair to make</w:t>
      </w:r>
    </w:p>
    <w:p>
      <w:pPr>
        <w:spacing w:after="0" w:line="11" w:lineRule="exact"/>
        <w:rPr>
          <w:sz w:val="20"/>
          <w:szCs w:val="20"/>
          <w:color w:val="auto"/>
        </w:rPr>
      </w:pPr>
    </w:p>
    <w:p>
      <w:pPr>
        <w:ind w:right="40"/>
        <w:spacing w:after="0" w:line="246" w:lineRule="auto"/>
        <w:rPr>
          <w:sz w:val="20"/>
          <w:szCs w:val="20"/>
          <w:color w:val="auto"/>
        </w:rPr>
      </w:pPr>
      <w:r>
        <w:rPr>
          <w:rFonts w:ascii="Arial" w:cs="Arial" w:eastAsia="Arial" w:hAnsi="Arial"/>
          <w:sz w:val="12"/>
          <w:szCs w:val="12"/>
          <w:color w:val="auto"/>
        </w:rPr>
        <w:t>overseas market purchases of Pentair ordinary shares, the shareholders of Pentair must provide general authorization for such purchase by way of ordinary resolution. However, as 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 resolution of the shareholders before the contract is entered into. The person whose Pentair ordinary shares are to</w:t>
      </w:r>
    </w:p>
    <w:p>
      <w:pPr>
        <w:ind w:right="260"/>
        <w:spacing w:after="0" w:line="228" w:lineRule="auto"/>
        <w:rPr>
          <w:sz w:val="20"/>
          <w:szCs w:val="20"/>
          <w:color w:val="auto"/>
        </w:rPr>
      </w:pPr>
      <w:r>
        <w:rPr>
          <w:rFonts w:ascii="Arial" w:cs="Arial" w:eastAsia="Arial" w:hAnsi="Arial"/>
          <w:sz w:val="14"/>
          <w:szCs w:val="14"/>
          <w:color w:val="auto"/>
        </w:rPr>
        <w:t>be bought back cannot vote in favor of the special resolution and, for at least 21 days prior to the special resolution being passed, the purchase contract must be on display or must be available for inspection by shareholders at the registered office of Pentair.</w:t>
      </w:r>
    </w:p>
    <w:p>
      <w:pPr>
        <w:spacing w:after="0" w:line="107" w:lineRule="exact"/>
        <w:rPr>
          <w:sz w:val="20"/>
          <w:szCs w:val="20"/>
          <w:color w:val="auto"/>
        </w:rPr>
      </w:pPr>
    </w:p>
    <w:p>
      <w:pPr>
        <w:ind w:right="140" w:firstLine="509"/>
        <w:spacing w:after="0" w:line="236" w:lineRule="auto"/>
        <w:rPr>
          <w:sz w:val="20"/>
          <w:szCs w:val="20"/>
          <w:color w:val="auto"/>
        </w:rPr>
      </w:pPr>
      <w:r>
        <w:rPr>
          <w:rFonts w:ascii="Arial" w:cs="Arial" w:eastAsia="Arial" w:hAnsi="Arial"/>
          <w:sz w:val="14"/>
          <w:szCs w:val="14"/>
          <w:color w:val="auto"/>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spacing w:after="0" w:line="108" w:lineRule="exact"/>
        <w:rPr>
          <w:sz w:val="20"/>
          <w:szCs w:val="20"/>
          <w:color w:val="auto"/>
        </w:rPr>
      </w:pPr>
    </w:p>
    <w:p>
      <w:pPr>
        <w:ind w:right="260" w:firstLine="509"/>
        <w:spacing w:after="0" w:line="226" w:lineRule="auto"/>
        <w:rPr>
          <w:sz w:val="20"/>
          <w:szCs w:val="20"/>
          <w:color w:val="auto"/>
        </w:rPr>
      </w:pPr>
      <w:r>
        <w:rPr>
          <w:rFonts w:ascii="Arial" w:cs="Arial" w:eastAsia="Arial" w:hAnsi="Arial"/>
          <w:sz w:val="14"/>
          <w:szCs w:val="14"/>
          <w:color w:val="auto"/>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300" w:top="786"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b w:val="1"/>
          <w:bCs w:val="1"/>
          <w:color w:val="auto"/>
        </w:rPr>
        <w:t>Lien on Shares, Calls on Shares and Forfeiture of Shares</w:t>
      </w:r>
    </w:p>
    <w:p>
      <w:pPr>
        <w:spacing w:after="0" w:line="129" w:lineRule="exact"/>
        <w:rPr>
          <w:sz w:val="20"/>
          <w:szCs w:val="20"/>
          <w:color w:val="auto"/>
        </w:rPr>
      </w:pPr>
    </w:p>
    <w:p>
      <w:pPr>
        <w:ind w:right="100" w:firstLine="509"/>
        <w:spacing w:after="0" w:line="259" w:lineRule="auto"/>
        <w:rPr>
          <w:sz w:val="20"/>
          <w:szCs w:val="20"/>
          <w:color w:val="auto"/>
        </w:rPr>
      </w:pPr>
      <w:r>
        <w:rPr>
          <w:rFonts w:ascii="Arial" w:cs="Arial" w:eastAsia="Arial" w:hAnsi="Arial"/>
          <w:sz w:val="12"/>
          <w:szCs w:val="12"/>
          <w:color w:val="auto"/>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w:t>
      </w:r>
    </w:p>
    <w:p>
      <w:pPr>
        <w:spacing w:after="0" w:line="1"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 and Division; Subdivision</w:t>
      </w:r>
    </w:p>
    <w:p>
      <w:pPr>
        <w:spacing w:after="0" w:line="119"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Reduction of Share Capital</w:t>
      </w:r>
    </w:p>
    <w:p>
      <w:pPr>
        <w:spacing w:after="0" w:line="129" w:lineRule="exact"/>
        <w:rPr>
          <w:sz w:val="20"/>
          <w:szCs w:val="20"/>
          <w:color w:val="auto"/>
        </w:rPr>
      </w:pPr>
    </w:p>
    <w:p>
      <w:pPr>
        <w:ind w:right="20" w:firstLine="509"/>
        <w:spacing w:after="0" w:line="236" w:lineRule="auto"/>
        <w:rPr>
          <w:sz w:val="20"/>
          <w:szCs w:val="20"/>
          <w:color w:val="auto"/>
        </w:rPr>
      </w:pPr>
      <w:r>
        <w:rPr>
          <w:rFonts w:ascii="Arial" w:cs="Arial" w:eastAsia="Arial" w:hAnsi="Arial"/>
          <w:sz w:val="14"/>
          <w:szCs w:val="14"/>
          <w:color w:val="auto"/>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Extraordinary General Meetings of Shareholders</w:t>
      </w:r>
    </w:p>
    <w:p>
      <w:pPr>
        <w:spacing w:after="0" w:line="129" w:lineRule="exact"/>
        <w:rPr>
          <w:sz w:val="20"/>
          <w:szCs w:val="20"/>
          <w:color w:val="auto"/>
        </w:rPr>
      </w:pPr>
    </w:p>
    <w:p>
      <w:pPr>
        <w:ind w:right="100" w:firstLine="509"/>
        <w:spacing w:after="0" w:line="226" w:lineRule="auto"/>
        <w:rPr>
          <w:sz w:val="20"/>
          <w:szCs w:val="20"/>
          <w:color w:val="auto"/>
        </w:rPr>
      </w:pPr>
      <w:r>
        <w:rPr>
          <w:rFonts w:ascii="Arial" w:cs="Arial" w:eastAsia="Arial" w:hAnsi="Arial"/>
          <w:sz w:val="14"/>
          <w:szCs w:val="14"/>
          <w:color w:val="auto"/>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Voting</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Each ordinary share is entitled to one vote on each matter properly brought before the shareholders. At any meeting of Pentair, all resolutions will be decided on a poll.</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Treasury shares or Pentair ordinary shares that are held by subsidiaries of Pentair are not entitled to be voted at general meetings of shareholders.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Irish company law requires special resolutions of the shareholders at a general meeting to approve certain matters. Examples of matters requiring special resolutions include:</w:t>
      </w:r>
    </w:p>
    <w:p>
      <w:pPr>
        <w:spacing w:after="0" w:line="125" w:lineRule="exact"/>
        <w:rPr>
          <w:sz w:val="20"/>
          <w:szCs w:val="20"/>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amending the Pentair Articles;</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approving a change of name of Pentair;</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authorizing the entering into of a guarantee or provision of security in connection with a loan, quasi-loan or credit transaction to a director or connected person;</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opting out of preemption rights on the issuance of new shares;</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re-registration of Pentair from a public limited company to a private company;</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variation of class rights attaching to classes of shares (where the Pentair Articles do not provide otherwise);</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purchase of Pentair shares off-market;</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reduction of issued share capital;</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sanctioning a compromise/scheme of arrangement;</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resolving that Pentair be wound up by the Irish courts;</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resolving in favor of a shareholders’ voluntary winding-up;</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re-designation of shares into different share classes;</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setting the re-issue price of treasury shares; and</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cross-border merger pursuant to Directive (EU) 2017/1132 of 14 June 2017 relating to certain aspects of company law.</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80"/>
          </w:cols>
          <w:pgMar w:left="300" w:top="783"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b w:val="1"/>
          <w:bCs w:val="1"/>
          <w:color w:val="auto"/>
        </w:rPr>
        <w:t>Variation of Rights Attaching to a Class or Series of Shares</w:t>
      </w:r>
    </w:p>
    <w:p>
      <w:pPr>
        <w:spacing w:after="0" w:line="129" w:lineRule="exact"/>
        <w:rPr>
          <w:sz w:val="20"/>
          <w:szCs w:val="20"/>
          <w:color w:val="auto"/>
        </w:rPr>
      </w:pPr>
    </w:p>
    <w:p>
      <w:pPr>
        <w:ind w:right="20" w:firstLine="509"/>
        <w:spacing w:after="0" w:line="259" w:lineRule="auto"/>
        <w:rPr>
          <w:sz w:val="20"/>
          <w:szCs w:val="20"/>
          <w:color w:val="auto"/>
        </w:rPr>
      </w:pPr>
      <w:r>
        <w:rPr>
          <w:rFonts w:ascii="Arial" w:cs="Arial" w:eastAsia="Arial" w:hAnsi="Arial"/>
          <w:sz w:val="12"/>
          <w:szCs w:val="12"/>
          <w:color w:val="auto"/>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holder, that person present in person or by proxy shall constitute the necessary quorum.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Acquisitions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An Irish public limited company may be acquired in a number of ways, including:</w:t>
      </w:r>
    </w:p>
    <w:p>
      <w:pPr>
        <w:spacing w:after="0" w:line="125" w:lineRule="exact"/>
        <w:rPr>
          <w:sz w:val="20"/>
          <w:szCs w:val="20"/>
          <w:color w:val="auto"/>
        </w:rPr>
      </w:pPr>
    </w:p>
    <w:p>
      <w:pPr>
        <w:ind w:left="1020" w:right="20" w:hanging="506"/>
        <w:spacing w:after="0" w:line="270" w:lineRule="auto"/>
        <w:tabs>
          <w:tab w:leader="none" w:pos="1016" w:val="left"/>
        </w:tabs>
        <w:numPr>
          <w:ilvl w:val="0"/>
          <w:numId w:val="59"/>
        </w:numPr>
        <w:rPr>
          <w:rFonts w:ascii="Arial" w:cs="Arial" w:eastAsia="Arial" w:hAnsi="Arial"/>
          <w:sz w:val="13"/>
          <w:szCs w:val="13"/>
          <w:color w:val="auto"/>
        </w:rPr>
      </w:pPr>
      <w:r>
        <w:rPr>
          <w:rFonts w:ascii="Arial" w:cs="Arial" w:eastAsia="Arial" w:hAnsi="Arial"/>
          <w:sz w:val="13"/>
          <w:szCs w:val="13"/>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88" w:lineRule="exact"/>
        <w:rPr>
          <w:rFonts w:ascii="Arial" w:cs="Arial" w:eastAsia="Arial" w:hAnsi="Arial"/>
          <w:sz w:val="13"/>
          <w:szCs w:val="13"/>
          <w:color w:val="auto"/>
        </w:rPr>
      </w:pPr>
    </w:p>
    <w:p>
      <w:pPr>
        <w:ind w:left="1020" w:right="140" w:hanging="506"/>
        <w:spacing w:after="0" w:line="225" w:lineRule="auto"/>
        <w:tabs>
          <w:tab w:leader="none" w:pos="1016"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spacing w:after="0" w:line="96" w:lineRule="exact"/>
        <w:rPr>
          <w:rFonts w:ascii="Arial" w:cs="Arial" w:eastAsia="Arial" w:hAnsi="Arial"/>
          <w:sz w:val="14"/>
          <w:szCs w:val="14"/>
          <w:color w:val="auto"/>
        </w:rPr>
      </w:pPr>
    </w:p>
    <w:p>
      <w:pPr>
        <w:ind w:left="1020" w:hanging="506"/>
        <w:spacing w:after="0" w:line="254" w:lineRule="auto"/>
        <w:tabs>
          <w:tab w:leader="none" w:pos="1016" w:val="left"/>
        </w:tabs>
        <w:numPr>
          <w:ilvl w:val="0"/>
          <w:numId w:val="59"/>
        </w:numPr>
        <w:rPr>
          <w:rFonts w:ascii="Arial" w:cs="Arial" w:eastAsia="Arial" w:hAnsi="Arial"/>
          <w:sz w:val="13"/>
          <w:szCs w:val="13"/>
          <w:color w:val="auto"/>
        </w:rPr>
      </w:pPr>
      <w:r>
        <w:rPr>
          <w:rFonts w:ascii="Arial" w:cs="Arial" w:eastAsia="Arial" w:hAnsi="Arial"/>
          <w:sz w:val="13"/>
          <w:szCs w:val="13"/>
          <w:color w:val="auto"/>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of Interests in Shares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Under the Companies Act, Pentair shareholders must notify Pentair if, as a result of a transaction, the shareholder will become interested in 3% or more of the shares of Pentair; or if as a</w:t>
      </w:r>
    </w:p>
    <w:p>
      <w:pPr>
        <w:spacing w:after="0" w:line="11" w:lineRule="exact"/>
        <w:rPr>
          <w:sz w:val="20"/>
          <w:szCs w:val="20"/>
          <w:color w:val="auto"/>
        </w:rPr>
      </w:pPr>
    </w:p>
    <w:p>
      <w:pPr>
        <w:ind w:right="60"/>
        <w:spacing w:after="0" w:line="246" w:lineRule="auto"/>
        <w:rPr>
          <w:sz w:val="20"/>
          <w:szCs w:val="20"/>
          <w:color w:val="auto"/>
        </w:rPr>
      </w:pPr>
      <w:r>
        <w:rPr>
          <w:rFonts w:ascii="Arial" w:cs="Arial" w:eastAsia="Arial" w:hAnsi="Arial"/>
          <w:sz w:val="12"/>
          <w:szCs w:val="12"/>
          <w:color w:val="auto"/>
        </w:rPr>
        <w:t>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w:t>
      </w:r>
    </w:p>
    <w:p>
      <w:pPr>
        <w:jc w:val="both"/>
        <w:ind w:right="100"/>
        <w:spacing w:after="0" w:line="246" w:lineRule="auto"/>
        <w:rPr>
          <w:sz w:val="20"/>
          <w:szCs w:val="20"/>
          <w:color w:val="auto"/>
        </w:rPr>
      </w:pPr>
      <w:r>
        <w:rPr>
          <w:rFonts w:ascii="Arial" w:cs="Arial" w:eastAsia="Arial" w:hAnsi="Arial"/>
          <w:sz w:val="12"/>
          <w:szCs w:val="12"/>
          <w:color w:val="auto"/>
        </w:rPr>
        <w:t>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w:t>
      </w:r>
    </w:p>
    <w:p>
      <w:pPr>
        <w:spacing w:after="0"/>
        <w:rPr>
          <w:sz w:val="20"/>
          <w:szCs w:val="20"/>
          <w:color w:val="auto"/>
        </w:rPr>
      </w:pPr>
      <w:r>
        <w:rPr>
          <w:rFonts w:ascii="Arial" w:cs="Arial" w:eastAsia="Arial" w:hAnsi="Arial"/>
          <w:sz w:val="14"/>
          <w:szCs w:val="14"/>
          <w:color w:val="auto"/>
        </w:rPr>
        <w:t>may apply to the court to have the rights attaching to such shares reinstated.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In addition to these disclosure requirements, Pentair, under the Companies Act, may, by notice in writing, require a person whom Pentair knows or has reasonable cause to believe to be, or at</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any time during the three years immediately preceding the date on which such notice is issued to have been, interested in shares comprised in Pentair’s relevant share capital to: (i) indicate whether or not it is the case and (ii) where such person holds or has during that time held an interest in the shares of Pentair, to provide additional information, including the person’s own past or present interests in shares of Pentair. If the recipient of the notice fails to respond within the reasonable time period specified in the notice, Pentair may apply to court for an order directing that the affected shares be</w:t>
      </w:r>
    </w:p>
    <w:p>
      <w:pPr>
        <w:spacing w:after="0"/>
        <w:rPr>
          <w:sz w:val="20"/>
          <w:szCs w:val="20"/>
          <w:color w:val="auto"/>
        </w:rPr>
      </w:pPr>
      <w:r>
        <w:rPr>
          <w:rFonts w:ascii="Arial" w:cs="Arial" w:eastAsia="Arial" w:hAnsi="Arial"/>
          <w:sz w:val="14"/>
          <w:szCs w:val="14"/>
          <w:color w:val="auto"/>
        </w:rPr>
        <w:t>subject to certain restrictions, as prescribed by the Companies Act, as follows:</w:t>
      </w:r>
    </w:p>
    <w:p>
      <w:pPr>
        <w:spacing w:after="0" w:line="103" w:lineRule="exact"/>
        <w:rPr>
          <w:sz w:val="20"/>
          <w:szCs w:val="20"/>
          <w:color w:val="auto"/>
        </w:rPr>
      </w:pPr>
    </w:p>
    <w:p>
      <w:pPr>
        <w:ind w:left="1020" w:hanging="506"/>
        <w:spacing w:after="0"/>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transfer of those shares, or in the case of unissued shares any transfer of the right to be issued with shares and any issue of shares, shall be void;</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voting rights shall be exercisable in respect of those shares;</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further shares shall be issued in right of those shares or in pursuance of any offer made to the holder of those shares; and</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no payment shall be made of any sums due from Pentair on those shares, whether in respect of capital or otherwise.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court may also order that shares subject to any of these restrictions be sold with the restrictions terminating upon the completion of the sale.</w:t>
      </w:r>
    </w:p>
    <w:p>
      <w:pPr>
        <w:spacing w:after="0" w:line="115" w:lineRule="exact"/>
        <w:rPr>
          <w:sz w:val="20"/>
          <w:szCs w:val="20"/>
          <w:color w:val="auto"/>
        </w:rPr>
      </w:pPr>
    </w:p>
    <w:p>
      <w:pPr>
        <w:ind w:right="120" w:firstLine="509"/>
        <w:spacing w:after="0" w:line="249" w:lineRule="auto"/>
        <w:rPr>
          <w:sz w:val="20"/>
          <w:szCs w:val="20"/>
          <w:color w:val="auto"/>
        </w:rPr>
      </w:pPr>
      <w:r>
        <w:rPr>
          <w:rFonts w:ascii="Arial" w:cs="Arial" w:eastAsia="Arial" w:hAnsi="Arial"/>
          <w:sz w:val="14"/>
          <w:szCs w:val="14"/>
          <w:color w:val="auto"/>
        </w:rPr>
        <w:t>In the event Pentair is in an offer period pursuant to the Irish Takeover Rules (as defined below), accelerated disclosure provisions apply for persons holding an interest in Pentair securities of 1% or more.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300" w:top="783" w:right="33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b w:val="1"/>
          <w:bCs w:val="1"/>
          <w:color w:val="auto"/>
        </w:rPr>
        <w:t>Anti-Takeover Provisions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Irish Takeover Rules and Substantial Acquisition Rules</w:t>
      </w:r>
    </w:p>
    <w:p>
      <w:pPr>
        <w:spacing w:after="0" w:line="125" w:lineRule="exact"/>
        <w:rPr>
          <w:sz w:val="20"/>
          <w:szCs w:val="20"/>
          <w:color w:val="auto"/>
        </w:rPr>
      </w:pPr>
    </w:p>
    <w:p>
      <w:pPr>
        <w:ind w:right="20" w:firstLine="509"/>
        <w:spacing w:after="0" w:line="226" w:lineRule="auto"/>
        <w:rPr>
          <w:sz w:val="20"/>
          <w:szCs w:val="20"/>
          <w:color w:val="auto"/>
        </w:rPr>
      </w:pPr>
      <w:r>
        <w:rPr>
          <w:rFonts w:ascii="Arial" w:cs="Arial" w:eastAsia="Arial" w:hAnsi="Arial"/>
          <w:sz w:val="14"/>
          <w:szCs w:val="14"/>
          <w:color w:val="auto"/>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Principles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Irish Takeover Rules are built on the following General Principles which will apply to any transaction regulated by the Panel:</w:t>
      </w:r>
    </w:p>
    <w:p>
      <w:pPr>
        <w:spacing w:after="0" w:line="115" w:lineRule="exact"/>
        <w:rPr>
          <w:sz w:val="20"/>
          <w:szCs w:val="20"/>
          <w:color w:val="auto"/>
        </w:rPr>
      </w:pPr>
    </w:p>
    <w:p>
      <w:pPr>
        <w:ind w:left="1020" w:right="300" w:hanging="506"/>
        <w:spacing w:after="0" w:line="249" w:lineRule="auto"/>
        <w:tabs>
          <w:tab w:leader="none" w:pos="10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 the event of an offer, all holders of security of the target company should be afforded equivalent treatment and, if a person acquires control of a company, the other holders of securities must be protected;</w:t>
      </w:r>
    </w:p>
    <w:p>
      <w:pPr>
        <w:spacing w:after="0" w:line="90" w:lineRule="exact"/>
        <w:rPr>
          <w:rFonts w:ascii="Arial" w:cs="Arial" w:eastAsia="Arial" w:hAnsi="Arial"/>
          <w:sz w:val="14"/>
          <w:szCs w:val="14"/>
          <w:color w:val="auto"/>
        </w:rPr>
      </w:pPr>
    </w:p>
    <w:p>
      <w:pPr>
        <w:jc w:val="both"/>
        <w:ind w:left="1020" w:right="120" w:hanging="506"/>
        <w:spacing w:after="0" w:line="231" w:lineRule="auto"/>
        <w:tabs>
          <w:tab w:leader="none" w:pos="10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08" w:lineRule="exact"/>
        <w:rPr>
          <w:rFonts w:ascii="Arial" w:cs="Arial" w:eastAsia="Arial" w:hAnsi="Arial"/>
          <w:sz w:val="14"/>
          <w:szCs w:val="14"/>
          <w:color w:val="auto"/>
        </w:rPr>
      </w:pPr>
    </w:p>
    <w:p>
      <w:pPr>
        <w:ind w:left="1020" w:hanging="506"/>
        <w:spacing w:after="0"/>
        <w:tabs>
          <w:tab w:leader="none" w:pos="10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the board of the target company must act in the interests of the company as a whole and must not deny the holders of securities the opportunity to decide on the merits of the offer;</w:t>
      </w:r>
    </w:p>
    <w:p>
      <w:pPr>
        <w:spacing w:after="0" w:line="137" w:lineRule="exact"/>
        <w:rPr>
          <w:rFonts w:ascii="Arial" w:cs="Arial" w:eastAsia="Arial" w:hAnsi="Arial"/>
          <w:sz w:val="12"/>
          <w:szCs w:val="12"/>
          <w:color w:val="auto"/>
        </w:rPr>
      </w:pPr>
    </w:p>
    <w:p>
      <w:pPr>
        <w:ind w:left="1020" w:right="40" w:hanging="506"/>
        <w:spacing w:after="0" w:line="249" w:lineRule="auto"/>
        <w:tabs>
          <w:tab w:leader="none" w:pos="10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90" w:lineRule="exact"/>
        <w:rPr>
          <w:rFonts w:ascii="Arial" w:cs="Arial" w:eastAsia="Arial" w:hAnsi="Arial"/>
          <w:sz w:val="14"/>
          <w:szCs w:val="14"/>
          <w:color w:val="auto"/>
        </w:rPr>
      </w:pPr>
    </w:p>
    <w:p>
      <w:pPr>
        <w:ind w:left="1020" w:right="100" w:hanging="506"/>
        <w:spacing w:after="0" w:line="249" w:lineRule="auto"/>
        <w:tabs>
          <w:tab w:leader="none" w:pos="10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bidder must announce an offer only after ensuring that he or she can fulfill in full, any cash consideration, if such is offered, and after taking all reasonable measures to secure the implementation of any other type of consideration;</w:t>
      </w:r>
    </w:p>
    <w:p>
      <w:pPr>
        <w:spacing w:after="0" w:line="90" w:lineRule="exact"/>
        <w:rPr>
          <w:rFonts w:ascii="Arial" w:cs="Arial" w:eastAsia="Arial" w:hAnsi="Arial"/>
          <w:sz w:val="14"/>
          <w:szCs w:val="14"/>
          <w:color w:val="auto"/>
        </w:rPr>
      </w:pPr>
    </w:p>
    <w:p>
      <w:pPr>
        <w:ind w:left="1020" w:hanging="506"/>
        <w:spacing w:after="0"/>
        <w:tabs>
          <w:tab w:leader="none" w:pos="10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target company must not be hindered in the conduct of its affairs for longer than is reasonable by an offer for its securities; and</w:t>
      </w:r>
    </w:p>
    <w:p>
      <w:pPr>
        <w:spacing w:after="0" w:line="125" w:lineRule="exact"/>
        <w:rPr>
          <w:rFonts w:ascii="Arial" w:cs="Arial" w:eastAsia="Arial" w:hAnsi="Arial"/>
          <w:sz w:val="14"/>
          <w:szCs w:val="14"/>
          <w:color w:val="auto"/>
        </w:rPr>
      </w:pPr>
    </w:p>
    <w:p>
      <w:pPr>
        <w:ind w:left="1020" w:right="20" w:hanging="506"/>
        <w:spacing w:after="0" w:line="236" w:lineRule="auto"/>
        <w:tabs>
          <w:tab w:leader="none" w:pos="1016"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Mandatory Bid</w:t>
      </w:r>
    </w:p>
    <w:p>
      <w:pPr>
        <w:spacing w:after="0" w:line="125" w:lineRule="exact"/>
        <w:rPr>
          <w:sz w:val="20"/>
          <w:szCs w:val="20"/>
          <w:color w:val="auto"/>
        </w:rPr>
      </w:pPr>
    </w:p>
    <w:p>
      <w:pPr>
        <w:ind w:right="280" w:firstLine="509"/>
        <w:spacing w:after="0" w:line="252" w:lineRule="auto"/>
        <w:rPr>
          <w:sz w:val="20"/>
          <w:szCs w:val="20"/>
          <w:color w:val="auto"/>
        </w:rPr>
      </w:pPr>
      <w:r>
        <w:rPr>
          <w:rFonts w:ascii="Arial" w:cs="Arial" w:eastAsia="Arial" w:hAnsi="Arial"/>
          <w:sz w:val="12"/>
          <w:szCs w:val="12"/>
          <w:color w:val="auto"/>
        </w:rPr>
        <w:t>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w:t>
      </w:r>
    </w:p>
    <w:p>
      <w:pPr>
        <w:spacing w:after="0" w:line="2" w:lineRule="exact"/>
        <w:rPr>
          <w:sz w:val="20"/>
          <w:szCs w:val="20"/>
          <w:color w:val="auto"/>
        </w:rPr>
      </w:pPr>
    </w:p>
    <w:p>
      <w:pPr>
        <w:spacing w:after="0" w:line="216" w:lineRule="auto"/>
        <w:rPr>
          <w:sz w:val="20"/>
          <w:szCs w:val="20"/>
          <w:color w:val="auto"/>
        </w:rPr>
      </w:pPr>
      <w:r>
        <w:rPr>
          <w:rFonts w:ascii="Arial" w:cs="Arial" w:eastAsia="Arial" w:hAnsi="Arial"/>
          <w:sz w:val="14"/>
          <w:szCs w:val="14"/>
          <w:color w:val="auto"/>
        </w:rPr>
        <w:t>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Voluntary Bid; Requirements to Make a Cash Offer and Minimum Price Requirements</w:t>
      </w:r>
    </w:p>
    <w:p>
      <w:pPr>
        <w:spacing w:after="0" w:line="125" w:lineRule="exact"/>
        <w:rPr>
          <w:sz w:val="20"/>
          <w:szCs w:val="20"/>
          <w:color w:val="auto"/>
        </w:rPr>
      </w:pPr>
    </w:p>
    <w:p>
      <w:pPr>
        <w:ind w:right="100" w:firstLine="509"/>
        <w:spacing w:after="0" w:line="226" w:lineRule="auto"/>
        <w:rPr>
          <w:sz w:val="20"/>
          <w:szCs w:val="20"/>
          <w:color w:val="auto"/>
        </w:rPr>
      </w:pPr>
      <w:r>
        <w:rPr>
          <w:rFonts w:ascii="Arial" w:cs="Arial" w:eastAsia="Arial" w:hAnsi="Arial"/>
          <w:sz w:val="14"/>
          <w:szCs w:val="14"/>
          <w:color w:val="auto"/>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10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2"/>
          <w:szCs w:val="12"/>
          <w:color w:val="auto"/>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w:t>
      </w:r>
    </w:p>
    <w:p>
      <w:pPr>
        <w:spacing w:after="0" w:line="1" w:lineRule="exact"/>
        <w:rPr>
          <w:sz w:val="20"/>
          <w:szCs w:val="20"/>
          <w:color w:val="auto"/>
        </w:rPr>
      </w:pPr>
    </w:p>
    <w:p>
      <w:pPr>
        <w:ind w:right="60"/>
        <w:spacing w:after="0" w:line="220" w:lineRule="auto"/>
        <w:rPr>
          <w:sz w:val="20"/>
          <w:szCs w:val="20"/>
          <w:color w:val="auto"/>
        </w:rPr>
      </w:pPr>
      <w:r>
        <w:rPr>
          <w:rFonts w:ascii="Arial" w:cs="Arial" w:eastAsia="Arial" w:hAnsi="Arial"/>
          <w:sz w:val="14"/>
          <w:szCs w:val="14"/>
          <w:color w:val="auto"/>
        </w:rPr>
        <w:t>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0"/>
          </w:cols>
          <w:pgMar w:left="300" w:top="783" w:right="319" w:bottom="1440" w:gutter="0" w:footer="0" w:header="0"/>
        </w:sectPr>
      </w:pPr>
    </w:p>
    <w:bookmarkStart w:id="185" w:name="page186"/>
    <w:bookmarkEnd w:id="185"/>
    <w:p>
      <w:pPr>
        <w:ind w:left="520"/>
        <w:spacing w:after="0"/>
        <w:rPr>
          <w:sz w:val="20"/>
          <w:szCs w:val="20"/>
          <w:color w:val="auto"/>
        </w:rPr>
      </w:pPr>
      <w:r>
        <w:rPr>
          <w:rFonts w:ascii="Arial" w:cs="Arial" w:eastAsia="Arial" w:hAnsi="Arial"/>
          <w:sz w:val="14"/>
          <w:szCs w:val="14"/>
          <w:color w:val="auto"/>
        </w:rPr>
        <w:t>An offer period will generally commence from the date of the first announcement of the offer or proposed offer.</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Substantial Acquisition Rules</w:t>
      </w:r>
    </w:p>
    <w:p>
      <w:pPr>
        <w:spacing w:after="0" w:line="125" w:lineRule="exact"/>
        <w:rPr>
          <w:sz w:val="20"/>
          <w:szCs w:val="20"/>
          <w:color w:val="auto"/>
        </w:rPr>
      </w:pPr>
    </w:p>
    <w:p>
      <w:pPr>
        <w:ind w:right="160" w:firstLine="509"/>
        <w:spacing w:after="0" w:line="252" w:lineRule="auto"/>
        <w:rPr>
          <w:sz w:val="20"/>
          <w:szCs w:val="20"/>
          <w:color w:val="auto"/>
        </w:rPr>
      </w:pPr>
      <w:r>
        <w:rPr>
          <w:rFonts w:ascii="Arial" w:cs="Arial" w:eastAsia="Arial" w:hAnsi="Arial"/>
          <w:sz w:val="12"/>
          <w:szCs w:val="12"/>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w:t>
      </w:r>
    </w:p>
    <w:p>
      <w:pPr>
        <w:spacing w:after="0" w:line="2"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30% of the voting rights of Pentair and such acquisitions are made within a period of seven days. These rules also require accelerated disclosure of acquisitions of shares or rights over shares relating to such holdings.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Frustrating Action</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3"/>
          <w:szCs w:val="13"/>
          <w:color w:val="auto"/>
        </w:rPr>
        <w:t>Under the Irish Takeover Rules, the Pentair board of directors is not permitted to take any action which might frustrate an offer for the shares of Pentair once the Pentair board of directors</w:t>
      </w:r>
    </w:p>
    <w:p>
      <w:pPr>
        <w:spacing w:after="0" w:line="11" w:lineRule="exact"/>
        <w:rPr>
          <w:sz w:val="20"/>
          <w:szCs w:val="20"/>
          <w:color w:val="auto"/>
        </w:rPr>
      </w:pPr>
    </w:p>
    <w:p>
      <w:pPr>
        <w:spacing w:after="0" w:line="246" w:lineRule="auto"/>
        <w:rPr>
          <w:sz w:val="20"/>
          <w:szCs w:val="20"/>
          <w:color w:val="auto"/>
        </w:rPr>
      </w:pPr>
      <w:r>
        <w:rPr>
          <w:rFonts w:ascii="Arial" w:cs="Arial" w:eastAsia="Arial" w:hAnsi="Arial"/>
          <w:sz w:val="12"/>
          <w:szCs w:val="12"/>
          <w:color w:val="auto"/>
        </w:rPr>
        <w:t>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w:t>
      </w:r>
    </w:p>
    <w:p>
      <w:pPr>
        <w:spacing w:after="0"/>
        <w:rPr>
          <w:sz w:val="20"/>
          <w:szCs w:val="20"/>
          <w:color w:val="auto"/>
        </w:rPr>
      </w:pPr>
      <w:r>
        <w:rPr>
          <w:rFonts w:ascii="Arial" w:cs="Arial" w:eastAsia="Arial" w:hAnsi="Arial"/>
          <w:sz w:val="14"/>
          <w:szCs w:val="14"/>
          <w:color w:val="auto"/>
        </w:rPr>
        <w:t>prohibition are available where:</w:t>
      </w:r>
    </w:p>
    <w:p>
      <w:pPr>
        <w:spacing w:after="0" w:line="103" w:lineRule="exact"/>
        <w:rPr>
          <w:sz w:val="20"/>
          <w:szCs w:val="20"/>
          <w:color w:val="auto"/>
        </w:rPr>
      </w:pPr>
    </w:p>
    <w:p>
      <w:pPr>
        <w:ind w:left="1020" w:hanging="506"/>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action is approved by Pentair’s shareholders at a general meeting; or</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Panel has given its consent, where:</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it is satisfied the action would not constitute frustrating action;</w:t>
      </w:r>
    </w:p>
    <w:p>
      <w:pPr>
        <w:spacing w:after="0" w:line="114" w:lineRule="exact"/>
        <w:rPr>
          <w:rFonts w:ascii="Arial" w:cs="Arial" w:eastAsia="Arial" w:hAnsi="Arial"/>
          <w:sz w:val="14"/>
          <w:szCs w:val="14"/>
          <w:color w:val="auto"/>
        </w:rPr>
      </w:pPr>
    </w:p>
    <w:p>
      <w:pPr>
        <w:ind w:left="1020" w:hanging="506"/>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Pentair shareholders that hold 50% of the voting rights state in writing that they approve the proposed action and would vote in favor of it at a general meeting;</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action is taken in accordance with a contract entered into prior to the announcement of the offer; or</w:t>
      </w:r>
    </w:p>
    <w:p>
      <w:pPr>
        <w:spacing w:after="0" w:line="125" w:lineRule="exact"/>
        <w:rPr>
          <w:rFonts w:ascii="Arial" w:cs="Arial" w:eastAsia="Arial" w:hAnsi="Arial"/>
          <w:sz w:val="14"/>
          <w:szCs w:val="14"/>
          <w:color w:val="auto"/>
        </w:rPr>
      </w:pPr>
    </w:p>
    <w:p>
      <w:pPr>
        <w:ind w:left="1020" w:hanging="506"/>
        <w:spacing w:after="0"/>
        <w:tabs>
          <w:tab w:leader="none" w:pos="1020"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decision to take such action was made before the announcement of the offer and either has been at least partially implemented or is in the ordinary course of business.</w:t>
      </w:r>
    </w:p>
    <w:p>
      <w:pPr>
        <w:spacing w:after="0" w:line="126" w:lineRule="exact"/>
        <w:rPr>
          <w:sz w:val="20"/>
          <w:szCs w:val="20"/>
          <w:color w:val="auto"/>
        </w:rPr>
      </w:pPr>
    </w:p>
    <w:p>
      <w:pPr>
        <w:ind w:right="220" w:firstLine="509"/>
        <w:spacing w:after="0" w:line="249" w:lineRule="auto"/>
        <w:rPr>
          <w:sz w:val="20"/>
          <w:szCs w:val="20"/>
          <w:color w:val="auto"/>
        </w:rPr>
      </w:pPr>
      <w:r>
        <w:rPr>
          <w:rFonts w:ascii="Arial" w:cs="Arial" w:eastAsia="Arial" w:hAnsi="Arial"/>
          <w:sz w:val="14"/>
          <w:szCs w:val="14"/>
          <w:color w:val="auto"/>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Duration; Dissolution; Rights Upon Liquidation</w:t>
      </w:r>
    </w:p>
    <w:p>
      <w:pPr>
        <w:spacing w:after="0" w:line="129" w:lineRule="exact"/>
        <w:rPr>
          <w:sz w:val="20"/>
          <w:szCs w:val="20"/>
          <w:color w:val="auto"/>
        </w:rPr>
      </w:pPr>
    </w:p>
    <w:p>
      <w:pPr>
        <w:ind w:right="520" w:firstLine="509"/>
        <w:spacing w:after="0" w:line="259" w:lineRule="auto"/>
        <w:rPr>
          <w:sz w:val="20"/>
          <w:szCs w:val="20"/>
          <w:color w:val="auto"/>
        </w:rPr>
      </w:pPr>
      <w:r>
        <w:rPr>
          <w:rFonts w:ascii="Arial" w:cs="Arial" w:eastAsia="Arial" w:hAnsi="Arial"/>
          <w:sz w:val="12"/>
          <w:szCs w:val="12"/>
          <w:color w:val="auto"/>
        </w:rPr>
        <w:t>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Registration Office as an enforcement measure where Pentair has failed to file certain returns.</w:t>
      </w:r>
    </w:p>
    <w:p>
      <w:pPr>
        <w:spacing w:after="0" w:line="10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2"/>
          <w:szCs w:val="12"/>
          <w:color w:val="auto"/>
        </w:rPr>
        <w:t>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paid-up nominal value of the shares held. The Pentair Articles provide that the ordinary shareholders of Pentair are entitled to participate pro rata in a winding up.</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Sinking Fund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Pentair ordinary shares have no sinking fund provisions.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 Liability for Further Calls or Assessments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When the ordinary shares offered hereby are issued, they will be duly and validly issued, fully paid and nonassessable.</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and Registration of Shares</w:t>
      </w:r>
    </w:p>
    <w:p>
      <w:pPr>
        <w:spacing w:after="0" w:line="129" w:lineRule="exact"/>
        <w:rPr>
          <w:sz w:val="20"/>
          <w:szCs w:val="20"/>
          <w:color w:val="auto"/>
        </w:rPr>
      </w:pPr>
    </w:p>
    <w:p>
      <w:pPr>
        <w:ind w:right="40" w:firstLine="509"/>
        <w:spacing w:after="0" w:line="312" w:lineRule="auto"/>
        <w:rPr>
          <w:sz w:val="20"/>
          <w:szCs w:val="20"/>
          <w:color w:val="auto"/>
        </w:rPr>
      </w:pPr>
      <w:r>
        <w:rPr>
          <w:rFonts w:ascii="Arial" w:cs="Arial" w:eastAsia="Arial" w:hAnsi="Arial"/>
          <w:sz w:val="12"/>
          <w:szCs w:val="12"/>
          <w:color w:val="auto"/>
        </w:rPr>
        <w:t>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80"/>
          </w:cols>
          <w:pgMar w:left="300" w:top="786" w:right="319" w:bottom="1440" w:gutter="0" w:footer="0" w:header="0"/>
        </w:sectPr>
      </w:pPr>
    </w:p>
    <w:bookmarkStart w:id="186" w:name="page187"/>
    <w:bookmarkEnd w:id="186"/>
    <w:p>
      <w:pPr>
        <w:ind w:right="60"/>
        <w:spacing w:after="0" w:line="249" w:lineRule="auto"/>
        <w:rPr>
          <w:sz w:val="20"/>
          <w:szCs w:val="20"/>
          <w:color w:val="auto"/>
        </w:rPr>
      </w:pPr>
      <w:r>
        <w:rPr>
          <w:rFonts w:ascii="Arial" w:cs="Arial" w:eastAsia="Arial" w:hAnsi="Arial"/>
          <w:sz w:val="14"/>
          <w:szCs w:val="14"/>
          <w:color w:val="auto"/>
        </w:rPr>
        <w:t>person who also holds such shares beneficially through a depository or other nominee is not registered in Pentair’s official share register, as the depository or other nominee remains the record holder of any such shares.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A written instrument of transfer is required under Irish law to register on Pentair’s official share register any transfer of shares (i) from a person who holds such shares directly to any other</w:t>
      </w:r>
    </w:p>
    <w:p>
      <w:pPr>
        <w:spacing w:after="0" w:line="11" w:lineRule="exact"/>
        <w:rPr>
          <w:sz w:val="20"/>
          <w:szCs w:val="20"/>
          <w:color w:val="auto"/>
        </w:rPr>
      </w:pPr>
    </w:p>
    <w:p>
      <w:pPr>
        <w:ind w:right="240"/>
        <w:spacing w:after="0" w:line="246" w:lineRule="auto"/>
        <w:rPr>
          <w:sz w:val="20"/>
          <w:szCs w:val="20"/>
          <w:color w:val="auto"/>
        </w:rPr>
      </w:pPr>
      <w:r>
        <w:rPr>
          <w:rFonts w:ascii="Arial" w:cs="Arial" w:eastAsia="Arial" w:hAnsi="Arial"/>
          <w:sz w:val="12"/>
          <w:szCs w:val="12"/>
          <w:color w:val="auto"/>
        </w:rPr>
        <w:t>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w:t>
      </w:r>
    </w:p>
    <w:p>
      <w:pPr>
        <w:jc w:val="both"/>
        <w:ind w:right="300"/>
        <w:spacing w:after="0" w:line="220" w:lineRule="auto"/>
        <w:rPr>
          <w:sz w:val="20"/>
          <w:szCs w:val="20"/>
          <w:color w:val="auto"/>
        </w:rPr>
      </w:pPr>
      <w:r>
        <w:rPr>
          <w:rFonts w:ascii="Arial" w:cs="Arial" w:eastAsia="Arial" w:hAnsi="Arial"/>
          <w:sz w:val="14"/>
          <w:szCs w:val="14"/>
          <w:color w:val="auto"/>
        </w:rPr>
        <w:t>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spacing w:after="0" w:line="108" w:lineRule="exact"/>
        <w:rPr>
          <w:sz w:val="20"/>
          <w:szCs w:val="20"/>
          <w:color w:val="auto"/>
        </w:rPr>
      </w:pPr>
    </w:p>
    <w:p>
      <w:pPr>
        <w:ind w:right="180" w:firstLine="509"/>
        <w:spacing w:after="0" w:line="259" w:lineRule="auto"/>
        <w:rPr>
          <w:sz w:val="20"/>
          <w:szCs w:val="20"/>
          <w:color w:val="auto"/>
        </w:rPr>
      </w:pPr>
      <w:r>
        <w:rPr>
          <w:rFonts w:ascii="Arial" w:cs="Arial" w:eastAsia="Arial" w:hAnsi="Arial"/>
          <w:sz w:val="12"/>
          <w:szCs w:val="12"/>
          <w:color w:val="auto"/>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3"/>
          <w:szCs w:val="13"/>
          <w:color w:val="auto"/>
        </w:rPr>
        <w:t>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The Pentair Articles delegate to Pentair’s secretary or assistant secretary (or their nominees) the authority to execute an instrument of transfer on behalf of a transferring party.</w:t>
      </w:r>
    </w:p>
    <w:p>
      <w:pPr>
        <w:spacing w:after="0" w:line="137" w:lineRule="exact"/>
        <w:rPr>
          <w:sz w:val="20"/>
          <w:szCs w:val="20"/>
          <w:color w:val="auto"/>
        </w:rPr>
      </w:pPr>
    </w:p>
    <w:p>
      <w:pPr>
        <w:ind w:firstLine="509"/>
        <w:spacing w:after="0" w:line="252" w:lineRule="auto"/>
        <w:rPr>
          <w:sz w:val="20"/>
          <w:szCs w:val="20"/>
          <w:color w:val="auto"/>
        </w:rPr>
      </w:pPr>
      <w:r>
        <w:rPr>
          <w:rFonts w:ascii="Arial" w:cs="Arial" w:eastAsia="Arial" w:hAnsi="Arial"/>
          <w:sz w:val="12"/>
          <w:szCs w:val="12"/>
          <w:color w:val="auto"/>
        </w:rPr>
        <w:t>In order to help ensure that the official share register is regularly updated to reflect trading of Pentair ordinary shares occurring through normal electronic systems, Pentair intends to regularly produce any required instruments of transfer in connection with any transactions for which it pays stamp duty (subject to the reimbursement and set-off rights described above). In the event that Pentair notifies one or both of the parties to a share transfer that it believes stamp duty is required to be paid in connection with the transfer and that it will not pay the stamp duty, the parties may</w:t>
      </w:r>
    </w:p>
    <w:p>
      <w:pPr>
        <w:spacing w:after="0" w:line="2" w:lineRule="exact"/>
        <w:rPr>
          <w:sz w:val="20"/>
          <w:szCs w:val="20"/>
          <w:color w:val="auto"/>
        </w:rPr>
      </w:pPr>
    </w:p>
    <w:p>
      <w:pPr>
        <w:ind w:right="100"/>
        <w:spacing w:after="0" w:line="246" w:lineRule="auto"/>
        <w:rPr>
          <w:sz w:val="20"/>
          <w:szCs w:val="20"/>
          <w:color w:val="auto"/>
        </w:rPr>
      </w:pPr>
      <w:r>
        <w:rPr>
          <w:rFonts w:ascii="Arial" w:cs="Arial" w:eastAsia="Arial" w:hAnsi="Arial"/>
          <w:sz w:val="12"/>
          <w:szCs w:val="12"/>
          <w:color w:val="auto"/>
        </w:rPr>
        <w:t>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w:t>
      </w:r>
    </w:p>
    <w:p>
      <w:pPr>
        <w:spacing w:after="0"/>
        <w:rPr>
          <w:sz w:val="20"/>
          <w:szCs w:val="20"/>
          <w:color w:val="auto"/>
        </w:rPr>
      </w:pPr>
      <w:r>
        <w:rPr>
          <w:rFonts w:ascii="Arial" w:cs="Arial" w:eastAsia="Arial" w:hAnsi="Arial"/>
          <w:sz w:val="14"/>
          <w:szCs w:val="14"/>
          <w:color w:val="auto"/>
        </w:rPr>
        <w:t>below).</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directors may suspend registration of transfers from time to time, not exceeding 30 days in aggregate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80"/>
          </w:cols>
          <w:pgMar w:left="300" w:top="786" w:right="319" w:bottom="1440" w:gutter="0" w:footer="0" w:header="0"/>
        </w:sectPr>
      </w:pPr>
    </w:p>
    <w:bookmarkStart w:id="187" w:name="page188"/>
    <w:bookmarkEnd w:id="187"/>
    <w:p>
      <w:pPr>
        <w:jc w:val="right"/>
        <w:spacing w:after="0"/>
        <w:rPr>
          <w:sz w:val="20"/>
          <w:szCs w:val="20"/>
          <w:color w:val="auto"/>
        </w:rPr>
      </w:pPr>
      <w:r>
        <w:rPr>
          <w:rFonts w:ascii="Arial" w:cs="Arial" w:eastAsia="Arial" w:hAnsi="Arial"/>
          <w:sz w:val="14"/>
          <w:szCs w:val="14"/>
          <w:b w:val="1"/>
          <w:bCs w:val="1"/>
          <w:color w:val="auto"/>
        </w:rPr>
        <w:t>Exhibit 21</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Pentair plc and subsidiaries as of December 31, 2022</w:t>
      </w:r>
    </w:p>
    <w:p>
      <w:pPr>
        <w:sectPr>
          <w:pgSz w:w="11900" w:h="16838" w:orient="portrait"/>
          <w:cols w:equalWidth="0" w:num="1">
            <w:col w:w="11260"/>
          </w:cols>
          <w:pgMar w:left="320" w:top="730" w:right="31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Name of Company</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Air Capital Filtration, LLC</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APEL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Aplex Industries, Inc.</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Aqua Membranes, Inc. </w:t>
      </w:r>
      <w:r>
        <w:rPr>
          <w:rFonts w:ascii="Arial" w:cs="Arial" w:eastAsia="Arial" w:hAnsi="Arial"/>
          <w:sz w:val="7"/>
          <w:szCs w:val="7"/>
          <w:color w:val="auto"/>
        </w:rPr>
        <w:t>(1)</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Jurisdiction of Incorporation</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63"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1"/>
          <w:szCs w:val="11"/>
          <w:color w:val="auto"/>
        </w:rPr>
        <w:t>Aquion (Xi'an) Water Treatment Equipment Co., Ltd.</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1"/>
          <w:szCs w:val="11"/>
          <w:color w:val="auto"/>
        </w:rPr>
        <w:t>China</w:t>
      </w:r>
    </w:p>
    <w:p>
      <w:pPr>
        <w:spacing w:after="0" w:line="86"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2"/>
          <w:szCs w:val="12"/>
          <w:color w:val="auto"/>
        </w:rPr>
        <w:t>Aquion Hong Kong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Hong Kong</w:t>
      </w:r>
    </w:p>
    <w:p>
      <w:pPr>
        <w:spacing w:after="0" w:line="85"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3"/>
          <w:szCs w:val="13"/>
          <w:color w:val="auto"/>
        </w:rPr>
        <w:t>Aquion, Inc.</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Be the Change Labs, Inc.</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Century Mfg. 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86"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1"/>
          <w:szCs w:val="11"/>
          <w:color w:val="auto"/>
        </w:rPr>
        <w:t>ClearWater Tech, L.L.C.</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delMAC Filters,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86"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2"/>
          <w:szCs w:val="12"/>
          <w:color w:val="auto"/>
        </w:rPr>
        <w:t>Enviro Water Solutions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w:t>
      </w:r>
    </w:p>
    <w:p>
      <w:pPr>
        <w:spacing w:after="0" w:line="85"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3"/>
          <w:szCs w:val="13"/>
          <w:color w:val="auto"/>
        </w:rPr>
        <w:t>ETE Coliban Pty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Everpure Japan Kabushiki Kaisha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FARADYNE Motors (Suzhou) Co., Ltd </w:t>
      </w:r>
      <w:r>
        <w:rPr>
          <w:rFonts w:ascii="Arial" w:cs="Arial" w:eastAsia="Arial" w:hAnsi="Arial"/>
          <w:sz w:val="8"/>
          <w:szCs w:val="8"/>
          <w:color w:val="auto"/>
        </w:rPr>
        <w:t>(2)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Faradyne Motors LLC </w:t>
      </w:r>
      <w:r>
        <w:rPr>
          <w:rFonts w:ascii="Arial" w:cs="Arial" w:eastAsia="Arial" w:hAnsi="Arial"/>
          <w:sz w:val="8"/>
          <w:szCs w:val="8"/>
          <w:color w:val="auto"/>
        </w:rPr>
        <w:t>(2)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FilterDeal,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Filter-Medic,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FilterSoft,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Fleck Controls,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Goyen Controls Co. Pty.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Goyen Valve LLC</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Greenspan Environmental Technology Pty Ltd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Guardian Filtration Products,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Japan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China</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86"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1"/>
          <w:szCs w:val="11"/>
          <w:color w:val="auto"/>
        </w:rPr>
        <w:t>Haffmans B.V.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Netherlands</w:t>
      </w:r>
    </w:p>
    <w:p>
      <w:pPr>
        <w:spacing w:after="0" w:line="86"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3"/>
          <w:szCs w:val="13"/>
          <w:color w:val="auto"/>
        </w:rPr>
        <w:t>Haffmans North America,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Hawley Group Canada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Hypro EU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Jung Pumpen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Lincoln Automotive Company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Manitowoc Foodservice (Switzerland)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Manitowoc FSG Holding, LLC</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Manitowoc FSG Manufactura Mexico, S. de R.L. de C.V.</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McNeil (Ohio)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MECAIR S.r.L.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Milperra Developments Pty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Milton Acquisition ULC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Mobile Pool Builder,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Moraine Properties,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Nano Terra, Inc. </w:t>
      </w:r>
      <w:r>
        <w:rPr>
          <w:rFonts w:ascii="Arial" w:cs="Arial" w:eastAsia="Arial" w:hAnsi="Arial"/>
          <w:sz w:val="8"/>
          <w:szCs w:val="8"/>
          <w:color w:val="auto"/>
        </w:rPr>
        <w:t>(3)</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Nijhuis Pompen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Panthro Acquisition Co.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Pelican Holding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Aquatic Eco-Systems,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Australia Holdings Pty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Canada, Inc.</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Pentair Clean Process Technologies India Private Limited</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Pentair Commercial Ice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Commercial Services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Denmark Holding ApS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Germany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Switzerland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Mexico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Italy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India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Denmark</w:t>
      </w:r>
    </w:p>
    <w:p>
      <w:pPr>
        <w:spacing w:after="0" w:line="63" w:lineRule="exact"/>
        <w:rPr>
          <w:sz w:val="20"/>
          <w:szCs w:val="20"/>
          <w:color w:val="auto"/>
        </w:rPr>
      </w:pPr>
    </w:p>
    <w:p>
      <w:pPr>
        <w:sectPr>
          <w:pgSz w:w="11900" w:h="16838" w:orient="portrait"/>
          <w:cols w:equalWidth="0" w:num="2">
            <w:col w:w="6280" w:space="720"/>
            <w:col w:w="4260"/>
          </w:cols>
          <w:pgMar w:left="320" w:top="730" w:right="319" w:bottom="1440" w:gutter="0" w:footer="0" w:header="0"/>
          <w:type w:val="continuous"/>
        </w:sectPr>
      </w:pPr>
    </w:p>
    <w:p>
      <w:pPr>
        <w:spacing w:after="0"/>
        <w:rPr>
          <w:sz w:val="20"/>
          <w:szCs w:val="20"/>
          <w:color w:val="auto"/>
        </w:rPr>
      </w:pPr>
      <w:r>
        <w:rPr>
          <w:rFonts w:ascii="Arial" w:cs="Arial" w:eastAsia="Arial" w:hAnsi="Arial"/>
          <w:sz w:val="11"/>
          <w:szCs w:val="11"/>
          <w:color w:val="auto"/>
        </w:rPr>
        <w:t>Pentair Federal Pump,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w:t>
      </w:r>
    </w:p>
    <w:p>
      <w:pPr>
        <w:sectPr>
          <w:pgSz w:w="11900" w:h="16838" w:orient="portrait"/>
          <w:cols w:equalWidth="0" w:num="2">
            <w:col w:w="6280" w:space="720"/>
            <w:col w:w="4260"/>
          </w:cols>
          <w:pgMar w:left="320" w:top="730" w:right="319"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11"/>
          <w:szCs w:val="11"/>
          <w:color w:val="auto"/>
        </w:rPr>
        <w:t>Pentair Filtration Sales &amp; Service Company,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w:t>
      </w:r>
    </w:p>
    <w:p>
      <w:pPr>
        <w:spacing w:after="0" w:line="86" w:lineRule="exact"/>
        <w:rPr>
          <w:sz w:val="20"/>
          <w:szCs w:val="20"/>
          <w:color w:val="auto"/>
        </w:rPr>
      </w:pPr>
    </w:p>
    <w:p>
      <w:pPr>
        <w:sectPr>
          <w:pgSz w:w="11900" w:h="16838" w:orient="portrait"/>
          <w:cols w:equalWidth="0" w:num="2">
            <w:col w:w="6280" w:space="720"/>
            <w:col w:w="3139"/>
          </w:cols>
          <w:pgMar w:left="320" w:top="886" w:right="1440" w:bottom="1440" w:gutter="0" w:footer="0" w:header="0"/>
        </w:sectPr>
      </w:pPr>
    </w:p>
    <w:p>
      <w:pPr>
        <w:spacing w:after="0"/>
        <w:rPr>
          <w:sz w:val="20"/>
          <w:szCs w:val="20"/>
          <w:color w:val="auto"/>
        </w:rPr>
      </w:pPr>
      <w:r>
        <w:rPr>
          <w:rFonts w:ascii="Arial" w:cs="Arial" w:eastAsia="Arial" w:hAnsi="Arial"/>
          <w:sz w:val="13"/>
          <w:szCs w:val="13"/>
          <w:color w:val="auto"/>
        </w:rPr>
        <w:t>Pentair Filtration Solutions,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Finance Group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Finance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Finance Switzerland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Flow Control International Pty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Flow Services AG</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Pentair Flow Technologies de Mexico, S. de R.L. de C.V.</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Pentair Flow Technologies Pacific Pty Ltd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Flow Technologies,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France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Germany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Global Holdings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Global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Pentair Group (Thailand) Limited </w:t>
      </w:r>
      <w:r>
        <w:rPr>
          <w:rFonts w:ascii="Arial" w:cs="Arial" w:eastAsia="Arial" w:hAnsi="Arial"/>
          <w:sz w:val="8"/>
          <w:szCs w:val="8"/>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Holdings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Holdings,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Housing,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Housing, LP</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International (UK) Ltd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International Holding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International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Investments Switzerland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Ireland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Luxembourg S.a.r.l.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Management Company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Manufacturing Belgium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Manufacturing Italy S.r.L.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Middle East FZE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Nanosoft US Holdings,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Netherlands Euro Finance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Netherlands Finance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Netherlands Holding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Pacific Rim (Water)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Pacific Rim, Limited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Pentair Philippines, Inc. </w:t>
      </w:r>
      <w:r>
        <w:rPr>
          <w:rFonts w:ascii="Arial" w:cs="Arial" w:eastAsia="Arial" w:hAnsi="Arial"/>
          <w:sz w:val="8"/>
          <w:szCs w:val="8"/>
          <w:color w:val="auto"/>
        </w:rPr>
        <w:t>(4)</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Pleatco Acquisition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Residential Filtration,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Sales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Sudmo GmbH</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Trading (Shanghai) Co., Ltd.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Transport, Inc.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UK Holdings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Switzerland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Luxembourg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Switzerland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Switzerland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Mexico</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France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Germany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Luxembourg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Thailand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Luxembourg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Luxembourg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Switzerland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Switzerland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Ireland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Luxembourg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Belgium</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Italy</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United Arab Emirates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Hong Kong</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Philippines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Germany</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China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United Kingdom</w:t>
      </w:r>
    </w:p>
    <w:p>
      <w:pPr>
        <w:spacing w:after="0" w:line="16" w:lineRule="exact"/>
        <w:rPr>
          <w:sz w:val="20"/>
          <w:szCs w:val="20"/>
          <w:color w:val="auto"/>
        </w:rPr>
      </w:pPr>
    </w:p>
    <w:p>
      <w:pPr>
        <w:sectPr>
          <w:pgSz w:w="11900" w:h="16838" w:orient="portrait"/>
          <w:cols w:equalWidth="0" w:num="2">
            <w:col w:w="6280" w:space="720"/>
            <w:col w:w="3139"/>
          </w:cols>
          <w:pgMar w:left="320" w:top="886" w:right="1440" w:bottom="1440" w:gutter="0" w:footer="0" w:header="0"/>
          <w:type w:val="continuous"/>
        </w:sectPr>
      </w:pPr>
    </w:p>
    <w:p>
      <w:pPr>
        <w:spacing w:after="0"/>
        <w:rPr>
          <w:sz w:val="20"/>
          <w:szCs w:val="20"/>
          <w:color w:val="auto"/>
        </w:rPr>
      </w:pPr>
      <w:r>
        <w:rPr>
          <w:rFonts w:ascii="Arial" w:cs="Arial" w:eastAsia="Arial" w:hAnsi="Arial"/>
          <w:sz w:val="13"/>
          <w:szCs w:val="13"/>
          <w:color w:val="auto"/>
        </w:rPr>
        <w:t>Pentair US LLC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United States</w:t>
      </w:r>
    </w:p>
    <w:p>
      <w:pPr>
        <w:spacing w:after="0" w:line="46" w:lineRule="exact"/>
        <w:rPr>
          <w:sz w:val="20"/>
          <w:szCs w:val="20"/>
          <w:color w:val="auto"/>
        </w:rPr>
      </w:pPr>
    </w:p>
    <w:p>
      <w:pPr>
        <w:sectPr>
          <w:pgSz w:w="11900" w:h="16838" w:orient="portrait"/>
          <w:cols w:equalWidth="0" w:num="2">
            <w:col w:w="6280" w:space="720"/>
            <w:col w:w="3139"/>
          </w:cols>
          <w:pgMar w:left="320" w:top="886" w:right="1440" w:bottom="1440" w:gutter="0" w:footer="0" w:header="0"/>
          <w:type w:val="continuous"/>
        </w:sectPr>
      </w:pPr>
    </w:p>
    <w:p>
      <w:pPr>
        <w:spacing w:after="0"/>
        <w:rPr>
          <w:sz w:val="20"/>
          <w:szCs w:val="20"/>
          <w:color w:val="auto"/>
        </w:rPr>
      </w:pPr>
      <w:r>
        <w:rPr>
          <w:rFonts w:ascii="Arial" w:cs="Arial" w:eastAsia="Arial" w:hAnsi="Arial"/>
          <w:sz w:val="13"/>
          <w:szCs w:val="13"/>
          <w:color w:val="auto"/>
        </w:rPr>
        <w:t>Pentair US LLC 2</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US LP</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Pentair Water (Suzhou) Company, Ltd.</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Pentair Water Asia Pacific Pte. Ltd.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Pentair Water Australia Pty Ltd</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Water Belgium BV</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Water Brazil LLC</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Water do Brasil Ltda.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Water France SAS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Pentair Water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China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Singapore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Belgium</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Brazil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France</w:t>
      </w:r>
    </w:p>
    <w:p>
      <w:pPr>
        <w:spacing w:after="0" w:line="20" w:lineRule="exact"/>
        <w:rPr>
          <w:sz w:val="20"/>
          <w:szCs w:val="20"/>
          <w:color w:val="auto"/>
        </w:rPr>
      </w:pPr>
    </w:p>
    <w:p>
      <w:pPr>
        <w:spacing w:after="0"/>
        <w:rPr>
          <w:sz w:val="20"/>
          <w:szCs w:val="20"/>
          <w:color w:val="auto"/>
        </w:rPr>
      </w:pPr>
      <w:r>
        <w:rPr>
          <w:rFonts w:ascii="Arial" w:cs="Arial" w:eastAsia="Arial" w:hAnsi="Arial"/>
          <w:sz w:val="11"/>
          <w:szCs w:val="11"/>
          <w:color w:val="auto"/>
        </w:rPr>
        <w:t>United States</w:t>
      </w:r>
    </w:p>
    <w:p>
      <w:pPr>
        <w:sectPr>
          <w:pgSz w:w="11900" w:h="16838" w:orient="portrait"/>
          <w:cols w:equalWidth="0" w:num="2">
            <w:col w:w="6280" w:space="720"/>
            <w:col w:w="3139"/>
          </w:cols>
          <w:pgMar w:left="320" w:top="886" w:right="1440" w:bottom="1440" w:gutter="0" w:footer="0" w:header="0"/>
          <w:type w:val="continuous"/>
        </w:sectPr>
      </w:pPr>
    </w:p>
    <w:bookmarkStart w:id="189" w:name="page190"/>
    <w:bookmarkEnd w:id="189"/>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Holdings,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India Private Limited</w:t>
            </w:r>
          </w:p>
        </w:tc>
        <w:tc>
          <w:tcPr>
            <w:tcW w:w="2920" w:type="dxa"/>
            <w:vAlign w:val="bottom"/>
          </w:tcPr>
          <w:p>
            <w:pPr>
              <w:ind w:left="2060"/>
              <w:spacing w:after="0"/>
              <w:rPr>
                <w:sz w:val="20"/>
                <w:szCs w:val="20"/>
                <w:color w:val="auto"/>
              </w:rPr>
            </w:pPr>
            <w:r>
              <w:rPr>
                <w:rFonts w:ascii="Arial" w:cs="Arial" w:eastAsia="Arial" w:hAnsi="Arial"/>
                <w:sz w:val="13"/>
                <w:szCs w:val="13"/>
                <w:color w:val="auto"/>
              </w:rPr>
              <w:t>India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Italy S.r.l.</w:t>
            </w:r>
          </w:p>
        </w:tc>
        <w:tc>
          <w:tcPr>
            <w:tcW w:w="2920" w:type="dxa"/>
            <w:vAlign w:val="bottom"/>
          </w:tcPr>
          <w:p>
            <w:pPr>
              <w:ind w:left="2060"/>
              <w:spacing w:after="0"/>
              <w:rPr>
                <w:sz w:val="20"/>
                <w:szCs w:val="20"/>
                <w:color w:val="auto"/>
              </w:rPr>
            </w:pPr>
            <w:r>
              <w:rPr>
                <w:rFonts w:ascii="Arial" w:cs="Arial" w:eastAsia="Arial" w:hAnsi="Arial"/>
                <w:sz w:val="13"/>
                <w:szCs w:val="13"/>
                <w:color w:val="auto"/>
              </w:rPr>
              <w:t>Italy</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Latinamerica S.A.</w:t>
            </w:r>
          </w:p>
        </w:tc>
        <w:tc>
          <w:tcPr>
            <w:tcW w:w="2920" w:type="dxa"/>
            <w:vAlign w:val="bottom"/>
          </w:tcPr>
          <w:p>
            <w:pPr>
              <w:ind w:left="2060"/>
              <w:spacing w:after="0"/>
              <w:rPr>
                <w:sz w:val="20"/>
                <w:szCs w:val="20"/>
                <w:color w:val="auto"/>
              </w:rPr>
            </w:pPr>
            <w:r>
              <w:rPr>
                <w:rFonts w:ascii="Arial" w:cs="Arial" w:eastAsia="Arial" w:hAnsi="Arial"/>
                <w:sz w:val="13"/>
                <w:szCs w:val="13"/>
                <w:color w:val="auto"/>
              </w:rPr>
              <w:t>Argentina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Operations Australia Pty Ltd</w:t>
            </w:r>
          </w:p>
        </w:tc>
        <w:tc>
          <w:tcPr>
            <w:tcW w:w="2920" w:type="dxa"/>
            <w:vAlign w:val="bottom"/>
          </w:tcPr>
          <w:p>
            <w:pPr>
              <w:ind w:left="2060"/>
              <w:spacing w:after="0"/>
              <w:rPr>
                <w:sz w:val="20"/>
                <w:szCs w:val="20"/>
                <w:color w:val="auto"/>
              </w:rPr>
            </w:pPr>
            <w:r>
              <w:rPr>
                <w:rFonts w:ascii="Arial" w:cs="Arial" w:eastAsia="Arial" w:hAnsi="Arial"/>
                <w:sz w:val="13"/>
                <w:szCs w:val="13"/>
                <w:color w:val="auto"/>
              </w:rPr>
              <w:t>Australia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Polska Sp.zoo</w:t>
            </w:r>
          </w:p>
        </w:tc>
        <w:tc>
          <w:tcPr>
            <w:tcW w:w="2920" w:type="dxa"/>
            <w:vAlign w:val="bottom"/>
          </w:tcPr>
          <w:p>
            <w:pPr>
              <w:ind w:left="2060"/>
              <w:spacing w:after="0"/>
              <w:rPr>
                <w:sz w:val="20"/>
                <w:szCs w:val="20"/>
                <w:color w:val="auto"/>
              </w:rPr>
            </w:pPr>
            <w:r>
              <w:rPr>
                <w:rFonts w:ascii="Arial" w:cs="Arial" w:eastAsia="Arial" w:hAnsi="Arial"/>
                <w:sz w:val="13"/>
                <w:szCs w:val="13"/>
                <w:color w:val="auto"/>
              </w:rPr>
              <w:t>Poland</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Pool and Spa, Inc.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Proces Technologie Holding B.V.</w:t>
            </w:r>
          </w:p>
        </w:tc>
        <w:tc>
          <w:tcPr>
            <w:tcW w:w="2920" w:type="dxa"/>
            <w:vAlign w:val="bottom"/>
          </w:tcPr>
          <w:p>
            <w:pPr>
              <w:ind w:left="2060"/>
              <w:spacing w:after="0"/>
              <w:rPr>
                <w:sz w:val="20"/>
                <w:szCs w:val="20"/>
                <w:color w:val="auto"/>
              </w:rPr>
            </w:pPr>
            <w:r>
              <w:rPr>
                <w:rFonts w:ascii="Arial" w:cs="Arial" w:eastAsia="Arial" w:hAnsi="Arial"/>
                <w:sz w:val="13"/>
                <w:szCs w:val="13"/>
                <w:color w:val="auto"/>
              </w:rPr>
              <w:t>Netherlands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Process Technology B.V.</w:t>
            </w:r>
          </w:p>
        </w:tc>
        <w:tc>
          <w:tcPr>
            <w:tcW w:w="2920" w:type="dxa"/>
            <w:vAlign w:val="bottom"/>
          </w:tcPr>
          <w:p>
            <w:pPr>
              <w:ind w:left="2060"/>
              <w:spacing w:after="0"/>
              <w:rPr>
                <w:sz w:val="20"/>
                <w:szCs w:val="20"/>
                <w:color w:val="auto"/>
              </w:rPr>
            </w:pPr>
            <w:r>
              <w:rPr>
                <w:rFonts w:ascii="Arial" w:cs="Arial" w:eastAsia="Arial" w:hAnsi="Arial"/>
                <w:sz w:val="13"/>
                <w:szCs w:val="13"/>
                <w:color w:val="auto"/>
              </w:rPr>
              <w:t>Netherlands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Purification Systems (Shanghai) Co., Ltd.</w:t>
            </w:r>
          </w:p>
        </w:tc>
        <w:tc>
          <w:tcPr>
            <w:tcW w:w="2920" w:type="dxa"/>
            <w:vAlign w:val="bottom"/>
          </w:tcPr>
          <w:p>
            <w:pPr>
              <w:ind w:left="2060"/>
              <w:spacing w:after="0"/>
              <w:rPr>
                <w:sz w:val="20"/>
                <w:szCs w:val="20"/>
                <w:color w:val="auto"/>
              </w:rPr>
            </w:pPr>
            <w:r>
              <w:rPr>
                <w:rFonts w:ascii="Arial" w:cs="Arial" w:eastAsia="Arial" w:hAnsi="Arial"/>
                <w:sz w:val="13"/>
                <w:szCs w:val="13"/>
                <w:color w:val="auto"/>
              </w:rPr>
              <w:t>China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Solutions (Hangzhou) Company, Ltd.</w:t>
            </w:r>
          </w:p>
        </w:tc>
        <w:tc>
          <w:tcPr>
            <w:tcW w:w="2920" w:type="dxa"/>
            <w:vAlign w:val="bottom"/>
          </w:tcPr>
          <w:p>
            <w:pPr>
              <w:ind w:left="2060"/>
              <w:spacing w:after="0"/>
              <w:rPr>
                <w:sz w:val="20"/>
                <w:szCs w:val="20"/>
                <w:color w:val="auto"/>
              </w:rPr>
            </w:pPr>
            <w:r>
              <w:rPr>
                <w:rFonts w:ascii="Arial" w:cs="Arial" w:eastAsia="Arial" w:hAnsi="Arial"/>
                <w:sz w:val="13"/>
                <w:szCs w:val="13"/>
                <w:color w:val="auto"/>
              </w:rPr>
              <w:t>China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Spain, S.L.</w:t>
            </w:r>
          </w:p>
        </w:tc>
        <w:tc>
          <w:tcPr>
            <w:tcW w:w="2920" w:type="dxa"/>
            <w:vAlign w:val="bottom"/>
          </w:tcPr>
          <w:p>
            <w:pPr>
              <w:ind w:left="2060"/>
              <w:spacing w:after="0"/>
              <w:rPr>
                <w:sz w:val="20"/>
                <w:szCs w:val="20"/>
                <w:color w:val="auto"/>
              </w:rPr>
            </w:pPr>
            <w:r>
              <w:rPr>
                <w:rFonts w:ascii="Arial" w:cs="Arial" w:eastAsia="Arial" w:hAnsi="Arial"/>
                <w:sz w:val="13"/>
                <w:szCs w:val="13"/>
                <w:color w:val="auto"/>
              </w:rPr>
              <w:t>Spain</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Treatment (OH) Company</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Treatment Company</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Treatment Private Limited</w:t>
            </w:r>
          </w:p>
        </w:tc>
        <w:tc>
          <w:tcPr>
            <w:tcW w:w="2920" w:type="dxa"/>
            <w:vAlign w:val="bottom"/>
          </w:tcPr>
          <w:p>
            <w:pPr>
              <w:ind w:left="2060"/>
              <w:spacing w:after="0"/>
              <w:rPr>
                <w:sz w:val="20"/>
                <w:szCs w:val="20"/>
                <w:color w:val="auto"/>
              </w:rPr>
            </w:pPr>
            <w:r>
              <w:rPr>
                <w:rFonts w:ascii="Arial" w:cs="Arial" w:eastAsia="Arial" w:hAnsi="Arial"/>
                <w:sz w:val="13"/>
                <w:szCs w:val="13"/>
                <w:color w:val="auto"/>
              </w:rPr>
              <w:t>India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Water-Mexico, S. de R.L. de C.V.</w:t>
            </w:r>
          </w:p>
        </w:tc>
        <w:tc>
          <w:tcPr>
            <w:tcW w:w="2920" w:type="dxa"/>
            <w:vAlign w:val="bottom"/>
          </w:tcPr>
          <w:p>
            <w:pPr>
              <w:ind w:left="2060"/>
              <w:spacing w:after="0"/>
              <w:rPr>
                <w:sz w:val="20"/>
                <w:szCs w:val="20"/>
                <w:color w:val="auto"/>
              </w:rPr>
            </w:pPr>
            <w:r>
              <w:rPr>
                <w:rFonts w:ascii="Arial" w:cs="Arial" w:eastAsia="Arial" w:hAnsi="Arial"/>
                <w:sz w:val="13"/>
                <w:szCs w:val="13"/>
                <w:color w:val="auto"/>
              </w:rPr>
              <w:t>Mexico</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Pentair, Inc.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Penwald Insurance Company</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PES Pty Ltd</w:t>
            </w:r>
          </w:p>
        </w:tc>
        <w:tc>
          <w:tcPr>
            <w:tcW w:w="2920" w:type="dxa"/>
            <w:vAlign w:val="bottom"/>
          </w:tcPr>
          <w:p>
            <w:pPr>
              <w:ind w:left="2060"/>
              <w:spacing w:after="0"/>
              <w:rPr>
                <w:sz w:val="20"/>
                <w:szCs w:val="20"/>
                <w:color w:val="auto"/>
              </w:rPr>
            </w:pPr>
            <w:r>
              <w:rPr>
                <w:rFonts w:ascii="Arial" w:cs="Arial" w:eastAsia="Arial" w:hAnsi="Arial"/>
                <w:sz w:val="13"/>
                <w:szCs w:val="13"/>
                <w:color w:val="auto"/>
              </w:rPr>
              <w:t>Australia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PFAM, Inc.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Pleatco Mexican Holding Company,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Pleatco Mexicana, S. De R.L. De C.V.</w:t>
            </w:r>
          </w:p>
        </w:tc>
        <w:tc>
          <w:tcPr>
            <w:tcW w:w="2920" w:type="dxa"/>
            <w:vAlign w:val="bottom"/>
          </w:tcPr>
          <w:p>
            <w:pPr>
              <w:ind w:left="2060"/>
              <w:spacing w:after="0"/>
              <w:rPr>
                <w:sz w:val="20"/>
                <w:szCs w:val="20"/>
                <w:color w:val="auto"/>
              </w:rPr>
            </w:pPr>
            <w:r>
              <w:rPr>
                <w:rFonts w:ascii="Arial" w:cs="Arial" w:eastAsia="Arial" w:hAnsi="Arial"/>
                <w:sz w:val="13"/>
                <w:szCs w:val="13"/>
                <w:color w:val="auto"/>
              </w:rPr>
              <w:t>Mexico</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Pleatco,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Plymouth Products, Inc.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Procam Controls, Inc.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PTG Accessories Corp.</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Seneca Enterprises Co.</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Shupeco,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69"/>
        </w:trPr>
        <w:tc>
          <w:tcPr>
            <w:tcW w:w="4940" w:type="dxa"/>
            <w:vAlign w:val="bottom"/>
            <w:gridSpan w:val="2"/>
          </w:tcPr>
          <w:p>
            <w:pPr>
              <w:spacing w:after="0"/>
              <w:rPr>
                <w:sz w:val="20"/>
                <w:szCs w:val="20"/>
                <w:color w:val="auto"/>
              </w:rPr>
            </w:pPr>
            <w:r>
              <w:rPr>
                <w:rFonts w:ascii="Arial" w:cs="Arial" w:eastAsia="Arial" w:hAnsi="Arial"/>
                <w:sz w:val="13"/>
                <w:szCs w:val="13"/>
                <w:color w:val="auto"/>
              </w:rPr>
              <w:t>Sta-Rite Industries,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9"/>
        </w:trPr>
        <w:tc>
          <w:tcPr>
            <w:tcW w:w="4940" w:type="dxa"/>
            <w:vAlign w:val="bottom"/>
            <w:gridSpan w:val="2"/>
          </w:tcPr>
          <w:p>
            <w:pPr>
              <w:spacing w:after="0" w:line="179" w:lineRule="exact"/>
              <w:rPr>
                <w:sz w:val="20"/>
                <w:szCs w:val="20"/>
                <w:color w:val="auto"/>
              </w:rPr>
            </w:pPr>
            <w:r>
              <w:rPr>
                <w:rFonts w:ascii="Arial" w:cs="Arial" w:eastAsia="Arial" w:hAnsi="Arial"/>
                <w:sz w:val="13"/>
                <w:szCs w:val="13"/>
                <w:color w:val="auto"/>
              </w:rPr>
              <w:t xml:space="preserve">Surface Logix LLC </w:t>
            </w:r>
            <w:r>
              <w:rPr>
                <w:rFonts w:ascii="Arial" w:cs="Arial" w:eastAsia="Arial" w:hAnsi="Arial"/>
                <w:sz w:val="16"/>
                <w:szCs w:val="16"/>
                <w:color w:val="auto"/>
                <w:vertAlign w:val="superscript"/>
              </w:rPr>
              <w:t>(5)</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Tupelo Real Estate,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TVS Filters Acquisition,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U.S. Milton Holdings, Inc.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Union Engineering (NingBo) Co., Ltd.</w:t>
            </w:r>
          </w:p>
        </w:tc>
        <w:tc>
          <w:tcPr>
            <w:tcW w:w="2920" w:type="dxa"/>
            <w:vAlign w:val="bottom"/>
          </w:tcPr>
          <w:p>
            <w:pPr>
              <w:ind w:left="2060"/>
              <w:spacing w:after="0"/>
              <w:rPr>
                <w:sz w:val="20"/>
                <w:szCs w:val="20"/>
                <w:color w:val="auto"/>
              </w:rPr>
            </w:pPr>
            <w:r>
              <w:rPr>
                <w:rFonts w:ascii="Arial" w:cs="Arial" w:eastAsia="Arial" w:hAnsi="Arial"/>
                <w:sz w:val="13"/>
                <w:szCs w:val="13"/>
                <w:color w:val="auto"/>
              </w:rPr>
              <w:t>China</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Union Engineering A/S</w:t>
            </w:r>
          </w:p>
        </w:tc>
        <w:tc>
          <w:tcPr>
            <w:tcW w:w="2920" w:type="dxa"/>
            <w:vAlign w:val="bottom"/>
          </w:tcPr>
          <w:p>
            <w:pPr>
              <w:ind w:left="2060"/>
              <w:spacing w:after="0"/>
              <w:rPr>
                <w:sz w:val="20"/>
                <w:szCs w:val="20"/>
                <w:color w:val="auto"/>
              </w:rPr>
            </w:pPr>
            <w:r>
              <w:rPr>
                <w:rFonts w:ascii="Arial" w:cs="Arial" w:eastAsia="Arial" w:hAnsi="Arial"/>
                <w:sz w:val="13"/>
                <w:szCs w:val="13"/>
                <w:color w:val="auto"/>
              </w:rPr>
              <w:t>Denmark</w:t>
            </w:r>
          </w:p>
        </w:tc>
      </w:tr>
      <w:tr>
        <w:trPr>
          <w:trHeight w:val="169"/>
        </w:trPr>
        <w:tc>
          <w:tcPr>
            <w:tcW w:w="4940" w:type="dxa"/>
            <w:vAlign w:val="bottom"/>
            <w:gridSpan w:val="2"/>
          </w:tcPr>
          <w:p>
            <w:pPr>
              <w:spacing w:after="0"/>
              <w:rPr>
                <w:sz w:val="20"/>
                <w:szCs w:val="20"/>
                <w:color w:val="auto"/>
              </w:rPr>
            </w:pPr>
            <w:r>
              <w:rPr>
                <w:rFonts w:ascii="Arial" w:cs="Arial" w:eastAsia="Arial" w:hAnsi="Arial"/>
                <w:sz w:val="13"/>
                <w:szCs w:val="13"/>
                <w:color w:val="auto"/>
              </w:rPr>
              <w:t>Union Engineering Holding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214"/>
        </w:trPr>
        <w:tc>
          <w:tcPr>
            <w:tcW w:w="4940" w:type="dxa"/>
            <w:vAlign w:val="bottom"/>
            <w:gridSpan w:val="2"/>
          </w:tcPr>
          <w:p>
            <w:pPr>
              <w:spacing w:after="0"/>
              <w:rPr>
                <w:sz w:val="20"/>
                <w:szCs w:val="20"/>
                <w:color w:val="auto"/>
              </w:rPr>
            </w:pPr>
            <w:r>
              <w:rPr>
                <w:rFonts w:ascii="Arial" w:cs="Arial" w:eastAsia="Arial" w:hAnsi="Arial"/>
                <w:sz w:val="13"/>
                <w:szCs w:val="13"/>
                <w:color w:val="auto"/>
              </w:rPr>
              <w:t xml:space="preserve">Union Engineering Latam Ltda </w:t>
            </w:r>
            <w:r>
              <w:rPr>
                <w:rFonts w:ascii="Arial" w:cs="Arial" w:eastAsia="Arial" w:hAnsi="Arial"/>
                <w:sz w:val="16"/>
                <w:szCs w:val="16"/>
                <w:color w:val="auto"/>
                <w:vertAlign w:val="superscript"/>
              </w:rPr>
              <w:t>(6)</w:t>
            </w:r>
          </w:p>
        </w:tc>
        <w:tc>
          <w:tcPr>
            <w:tcW w:w="2920" w:type="dxa"/>
            <w:vAlign w:val="bottom"/>
          </w:tcPr>
          <w:p>
            <w:pPr>
              <w:ind w:left="2060"/>
              <w:spacing w:after="0"/>
              <w:rPr>
                <w:sz w:val="20"/>
                <w:szCs w:val="20"/>
                <w:color w:val="auto"/>
              </w:rPr>
            </w:pPr>
            <w:r>
              <w:rPr>
                <w:rFonts w:ascii="Arial" w:cs="Arial" w:eastAsia="Arial" w:hAnsi="Arial"/>
                <w:sz w:val="13"/>
                <w:szCs w:val="13"/>
                <w:color w:val="auto"/>
              </w:rPr>
              <w:t>Brazil</w:t>
            </w:r>
          </w:p>
        </w:tc>
      </w:tr>
      <w:tr>
        <w:trPr>
          <w:trHeight w:val="169"/>
        </w:trPr>
        <w:tc>
          <w:tcPr>
            <w:tcW w:w="4940" w:type="dxa"/>
            <w:vAlign w:val="bottom"/>
            <w:gridSpan w:val="2"/>
          </w:tcPr>
          <w:p>
            <w:pPr>
              <w:spacing w:after="0"/>
              <w:rPr>
                <w:sz w:val="20"/>
                <w:szCs w:val="20"/>
                <w:color w:val="auto"/>
              </w:rPr>
            </w:pPr>
            <w:r>
              <w:rPr>
                <w:rFonts w:ascii="Arial" w:cs="Arial" w:eastAsia="Arial" w:hAnsi="Arial"/>
                <w:sz w:val="13"/>
                <w:szCs w:val="13"/>
                <w:color w:val="auto"/>
              </w:rPr>
              <w:t>Union Engineering North America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Urban Organics Pentair Group,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Urban Organics Schmidt Real Estate Group,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69"/>
        </w:trPr>
        <w:tc>
          <w:tcPr>
            <w:tcW w:w="4940" w:type="dxa"/>
            <w:vAlign w:val="bottom"/>
            <w:gridSpan w:val="2"/>
          </w:tcPr>
          <w:p>
            <w:pPr>
              <w:spacing w:after="0"/>
              <w:rPr>
                <w:sz w:val="20"/>
                <w:szCs w:val="20"/>
                <w:color w:val="auto"/>
              </w:rPr>
            </w:pPr>
            <w:r>
              <w:rPr>
                <w:rFonts w:ascii="Arial" w:cs="Arial" w:eastAsia="Arial" w:hAnsi="Arial"/>
                <w:sz w:val="13"/>
                <w:szCs w:val="13"/>
                <w:color w:val="auto"/>
              </w:rPr>
              <w:t>Urban Organics St. Paul,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9"/>
        </w:trPr>
        <w:tc>
          <w:tcPr>
            <w:tcW w:w="4940" w:type="dxa"/>
            <w:vAlign w:val="bottom"/>
            <w:gridSpan w:val="2"/>
          </w:tcPr>
          <w:p>
            <w:pPr>
              <w:spacing w:after="0" w:line="179" w:lineRule="exact"/>
              <w:rPr>
                <w:sz w:val="20"/>
                <w:szCs w:val="20"/>
                <w:color w:val="auto"/>
              </w:rPr>
            </w:pPr>
            <w:r>
              <w:rPr>
                <w:rFonts w:ascii="Arial" w:cs="Arial" w:eastAsia="Arial" w:hAnsi="Arial"/>
                <w:sz w:val="13"/>
                <w:szCs w:val="13"/>
                <w:color w:val="auto"/>
              </w:rPr>
              <w:t xml:space="preserve">Voltea Ltd. </w:t>
            </w:r>
            <w:r>
              <w:rPr>
                <w:rFonts w:ascii="Arial" w:cs="Arial" w:eastAsia="Arial" w:hAnsi="Arial"/>
                <w:sz w:val="16"/>
                <w:szCs w:val="16"/>
                <w:color w:val="auto"/>
                <w:vertAlign w:val="superscript"/>
              </w:rPr>
              <w:t>(7)</w:t>
            </w:r>
          </w:p>
        </w:tc>
        <w:tc>
          <w:tcPr>
            <w:tcW w:w="2920" w:type="dxa"/>
            <w:vAlign w:val="bottom"/>
          </w:tcPr>
          <w:p>
            <w:pPr>
              <w:ind w:left="2060"/>
              <w:spacing w:after="0"/>
              <w:rPr>
                <w:sz w:val="20"/>
                <w:szCs w:val="20"/>
                <w:color w:val="auto"/>
              </w:rPr>
            </w:pPr>
            <w:r>
              <w:rPr>
                <w:rFonts w:ascii="Arial" w:cs="Arial" w:eastAsia="Arial" w:hAnsi="Arial"/>
                <w:sz w:val="13"/>
                <w:szCs w:val="13"/>
                <w:color w:val="auto"/>
                <w:w w:val="90"/>
              </w:rPr>
              <w:t>United Kingdom</w:t>
            </w:r>
          </w:p>
        </w:tc>
      </w:tr>
      <w:tr>
        <w:trPr>
          <w:trHeight w:val="161"/>
        </w:trPr>
        <w:tc>
          <w:tcPr>
            <w:tcW w:w="4940" w:type="dxa"/>
            <w:vAlign w:val="bottom"/>
            <w:gridSpan w:val="2"/>
          </w:tcPr>
          <w:p>
            <w:pPr>
              <w:spacing w:after="0"/>
              <w:rPr>
                <w:sz w:val="20"/>
                <w:szCs w:val="20"/>
                <w:color w:val="auto"/>
              </w:rPr>
            </w:pPr>
            <w:r>
              <w:rPr>
                <w:rFonts w:ascii="Arial" w:cs="Arial" w:eastAsia="Arial" w:hAnsi="Arial"/>
                <w:sz w:val="13"/>
                <w:szCs w:val="13"/>
                <w:color w:val="auto"/>
              </w:rPr>
              <w:t>Water Ingenuity Holdings Corp.</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Webster Electric Company, LLC</w:t>
            </w:r>
          </w:p>
        </w:tc>
        <w:tc>
          <w:tcPr>
            <w:tcW w:w="2920" w:type="dxa"/>
            <w:vAlign w:val="bottom"/>
          </w:tcPr>
          <w:p>
            <w:pPr>
              <w:ind w:left="2060"/>
              <w:spacing w:after="0"/>
              <w:rPr>
                <w:sz w:val="20"/>
                <w:szCs w:val="20"/>
                <w:color w:val="auto"/>
              </w:rPr>
            </w:pPr>
            <w:r>
              <w:rPr>
                <w:rFonts w:ascii="Arial" w:cs="Arial" w:eastAsia="Arial" w:hAnsi="Arial"/>
                <w:sz w:val="13"/>
                <w:szCs w:val="13"/>
                <w:color w:val="auto"/>
              </w:rPr>
              <w:t>United States</w:t>
            </w:r>
          </w:p>
        </w:tc>
      </w:tr>
      <w:tr>
        <w:trPr>
          <w:trHeight w:val="170"/>
        </w:trPr>
        <w:tc>
          <w:tcPr>
            <w:tcW w:w="4940" w:type="dxa"/>
            <w:vAlign w:val="bottom"/>
            <w:gridSpan w:val="2"/>
          </w:tcPr>
          <w:p>
            <w:pPr>
              <w:spacing w:after="0"/>
              <w:rPr>
                <w:sz w:val="20"/>
                <w:szCs w:val="20"/>
                <w:color w:val="auto"/>
              </w:rPr>
            </w:pPr>
            <w:r>
              <w:rPr>
                <w:rFonts w:ascii="Arial" w:cs="Arial" w:eastAsia="Arial" w:hAnsi="Arial"/>
                <w:sz w:val="13"/>
                <w:szCs w:val="13"/>
                <w:color w:val="auto"/>
              </w:rPr>
              <w:t>X-Flow B.V.</w:t>
            </w:r>
          </w:p>
        </w:tc>
        <w:tc>
          <w:tcPr>
            <w:tcW w:w="2920" w:type="dxa"/>
            <w:vAlign w:val="bottom"/>
          </w:tcPr>
          <w:p>
            <w:pPr>
              <w:ind w:left="2060"/>
              <w:spacing w:after="0"/>
              <w:rPr>
                <w:sz w:val="20"/>
                <w:szCs w:val="20"/>
                <w:color w:val="auto"/>
              </w:rPr>
            </w:pPr>
            <w:r>
              <w:rPr>
                <w:rFonts w:ascii="Arial" w:cs="Arial" w:eastAsia="Arial" w:hAnsi="Arial"/>
                <w:sz w:val="13"/>
                <w:szCs w:val="13"/>
                <w:color w:val="auto"/>
              </w:rPr>
              <w:t>Netherlands</w:t>
            </w:r>
          </w:p>
        </w:tc>
      </w:tr>
      <w:tr>
        <w:trPr>
          <w:trHeight w:val="255"/>
        </w:trPr>
        <w:tc>
          <w:tcPr>
            <w:tcW w:w="420" w:type="dxa"/>
            <w:vAlign w:val="bottom"/>
          </w:tcPr>
          <w:p>
            <w:pPr>
              <w:ind w:left="180"/>
              <w:spacing w:after="0"/>
              <w:rPr>
                <w:sz w:val="20"/>
                <w:szCs w:val="20"/>
                <w:color w:val="auto"/>
              </w:rPr>
            </w:pPr>
            <w:r>
              <w:rPr>
                <w:rFonts w:ascii="Arial" w:cs="Arial" w:eastAsia="Arial" w:hAnsi="Arial"/>
                <w:sz w:val="13"/>
                <w:szCs w:val="13"/>
                <w:color w:val="auto"/>
              </w:rPr>
              <w:t>(1)</w:t>
            </w:r>
          </w:p>
        </w:tc>
        <w:tc>
          <w:tcPr>
            <w:tcW w:w="4520" w:type="dxa"/>
            <w:vAlign w:val="bottom"/>
          </w:tcPr>
          <w:p>
            <w:pPr>
              <w:ind w:left="100"/>
              <w:spacing w:after="0"/>
              <w:rPr>
                <w:sz w:val="20"/>
                <w:szCs w:val="20"/>
                <w:color w:val="auto"/>
              </w:rPr>
            </w:pPr>
            <w:r>
              <w:rPr>
                <w:rFonts w:ascii="Arial" w:cs="Arial" w:eastAsia="Arial" w:hAnsi="Arial"/>
                <w:sz w:val="13"/>
                <w:szCs w:val="13"/>
                <w:color w:val="auto"/>
              </w:rPr>
              <w:t>10.37% owned</w:t>
            </w:r>
          </w:p>
        </w:tc>
        <w:tc>
          <w:tcPr>
            <w:tcW w:w="2920" w:type="dxa"/>
            <w:vAlign w:val="bottom"/>
          </w:tcPr>
          <w:p>
            <w:pPr>
              <w:spacing w:after="0"/>
              <w:rPr>
                <w:sz w:val="22"/>
                <w:szCs w:val="22"/>
                <w:color w:val="auto"/>
              </w:rPr>
            </w:pPr>
          </w:p>
        </w:tc>
      </w:tr>
      <w:tr>
        <w:trPr>
          <w:trHeight w:val="170"/>
        </w:trPr>
        <w:tc>
          <w:tcPr>
            <w:tcW w:w="420" w:type="dxa"/>
            <w:vAlign w:val="bottom"/>
          </w:tcPr>
          <w:p>
            <w:pPr>
              <w:ind w:left="180"/>
              <w:spacing w:after="0"/>
              <w:rPr>
                <w:sz w:val="20"/>
                <w:szCs w:val="20"/>
                <w:color w:val="auto"/>
              </w:rPr>
            </w:pPr>
            <w:r>
              <w:rPr>
                <w:rFonts w:ascii="Arial" w:cs="Arial" w:eastAsia="Arial" w:hAnsi="Arial"/>
                <w:sz w:val="13"/>
                <w:szCs w:val="13"/>
                <w:color w:val="auto"/>
              </w:rPr>
              <w:t>(2)</w:t>
            </w:r>
          </w:p>
        </w:tc>
        <w:tc>
          <w:tcPr>
            <w:tcW w:w="4520" w:type="dxa"/>
            <w:vAlign w:val="bottom"/>
          </w:tcPr>
          <w:p>
            <w:pPr>
              <w:ind w:left="100"/>
              <w:spacing w:after="0"/>
              <w:rPr>
                <w:sz w:val="20"/>
                <w:szCs w:val="20"/>
                <w:color w:val="auto"/>
              </w:rPr>
            </w:pPr>
            <w:r>
              <w:rPr>
                <w:rFonts w:ascii="Arial" w:cs="Arial" w:eastAsia="Arial" w:hAnsi="Arial"/>
                <w:sz w:val="13"/>
                <w:szCs w:val="13"/>
                <w:color w:val="auto"/>
              </w:rPr>
              <w:t>50% owned</w:t>
            </w:r>
          </w:p>
        </w:tc>
        <w:tc>
          <w:tcPr>
            <w:tcW w:w="2920" w:type="dxa"/>
            <w:vAlign w:val="bottom"/>
          </w:tcPr>
          <w:p>
            <w:pPr>
              <w:spacing w:after="0"/>
              <w:rPr>
                <w:sz w:val="14"/>
                <w:szCs w:val="14"/>
                <w:color w:val="auto"/>
              </w:rPr>
            </w:pPr>
          </w:p>
        </w:tc>
      </w:tr>
      <w:tr>
        <w:trPr>
          <w:trHeight w:val="170"/>
        </w:trPr>
        <w:tc>
          <w:tcPr>
            <w:tcW w:w="420" w:type="dxa"/>
            <w:vAlign w:val="bottom"/>
          </w:tcPr>
          <w:p>
            <w:pPr>
              <w:ind w:left="180"/>
              <w:spacing w:after="0"/>
              <w:rPr>
                <w:sz w:val="20"/>
                <w:szCs w:val="20"/>
                <w:color w:val="auto"/>
              </w:rPr>
            </w:pPr>
            <w:r>
              <w:rPr>
                <w:rFonts w:ascii="Arial" w:cs="Arial" w:eastAsia="Arial" w:hAnsi="Arial"/>
                <w:sz w:val="13"/>
                <w:szCs w:val="13"/>
                <w:color w:val="auto"/>
              </w:rPr>
              <w:t>(3)</w:t>
            </w:r>
          </w:p>
        </w:tc>
        <w:tc>
          <w:tcPr>
            <w:tcW w:w="4520" w:type="dxa"/>
            <w:vAlign w:val="bottom"/>
          </w:tcPr>
          <w:p>
            <w:pPr>
              <w:ind w:left="100"/>
              <w:spacing w:after="0"/>
              <w:rPr>
                <w:sz w:val="20"/>
                <w:szCs w:val="20"/>
                <w:color w:val="auto"/>
              </w:rPr>
            </w:pPr>
            <w:r>
              <w:rPr>
                <w:rFonts w:ascii="Arial" w:cs="Arial" w:eastAsia="Arial" w:hAnsi="Arial"/>
                <w:sz w:val="13"/>
                <w:szCs w:val="13"/>
                <w:color w:val="auto"/>
              </w:rPr>
              <w:t>4.81% owned</w:t>
            </w:r>
          </w:p>
        </w:tc>
        <w:tc>
          <w:tcPr>
            <w:tcW w:w="2920" w:type="dxa"/>
            <w:vAlign w:val="bottom"/>
          </w:tcPr>
          <w:p>
            <w:pPr>
              <w:spacing w:after="0"/>
              <w:rPr>
                <w:sz w:val="14"/>
                <w:szCs w:val="14"/>
                <w:color w:val="auto"/>
              </w:rPr>
            </w:pPr>
          </w:p>
        </w:tc>
      </w:tr>
      <w:tr>
        <w:trPr>
          <w:trHeight w:val="170"/>
        </w:trPr>
        <w:tc>
          <w:tcPr>
            <w:tcW w:w="420" w:type="dxa"/>
            <w:vAlign w:val="bottom"/>
          </w:tcPr>
          <w:p>
            <w:pPr>
              <w:ind w:left="180"/>
              <w:spacing w:after="0"/>
              <w:rPr>
                <w:sz w:val="20"/>
                <w:szCs w:val="20"/>
                <w:color w:val="auto"/>
              </w:rPr>
            </w:pPr>
            <w:r>
              <w:rPr>
                <w:rFonts w:ascii="Arial" w:cs="Arial" w:eastAsia="Arial" w:hAnsi="Arial"/>
                <w:sz w:val="13"/>
                <w:szCs w:val="13"/>
                <w:color w:val="auto"/>
              </w:rPr>
              <w:t>(4)</w:t>
            </w:r>
          </w:p>
        </w:tc>
        <w:tc>
          <w:tcPr>
            <w:tcW w:w="4520" w:type="dxa"/>
            <w:vAlign w:val="bottom"/>
          </w:tcPr>
          <w:p>
            <w:pPr>
              <w:ind w:left="100"/>
              <w:spacing w:after="0"/>
              <w:rPr>
                <w:sz w:val="20"/>
                <w:szCs w:val="20"/>
                <w:color w:val="auto"/>
              </w:rPr>
            </w:pPr>
            <w:r>
              <w:rPr>
                <w:rFonts w:ascii="Arial" w:cs="Arial" w:eastAsia="Arial" w:hAnsi="Arial"/>
                <w:sz w:val="13"/>
                <w:szCs w:val="13"/>
                <w:color w:val="auto"/>
              </w:rPr>
              <w:t>99.99% owned</w:t>
            </w:r>
          </w:p>
        </w:tc>
        <w:tc>
          <w:tcPr>
            <w:tcW w:w="2920" w:type="dxa"/>
            <w:vAlign w:val="bottom"/>
          </w:tcPr>
          <w:p>
            <w:pPr>
              <w:spacing w:after="0"/>
              <w:rPr>
                <w:sz w:val="14"/>
                <w:szCs w:val="14"/>
                <w:color w:val="auto"/>
              </w:rPr>
            </w:pPr>
          </w:p>
        </w:tc>
      </w:tr>
      <w:tr>
        <w:trPr>
          <w:trHeight w:val="170"/>
        </w:trPr>
        <w:tc>
          <w:tcPr>
            <w:tcW w:w="420" w:type="dxa"/>
            <w:vAlign w:val="bottom"/>
          </w:tcPr>
          <w:p>
            <w:pPr>
              <w:ind w:left="180"/>
              <w:spacing w:after="0"/>
              <w:rPr>
                <w:sz w:val="20"/>
                <w:szCs w:val="20"/>
                <w:color w:val="auto"/>
              </w:rPr>
            </w:pPr>
            <w:r>
              <w:rPr>
                <w:rFonts w:ascii="Arial" w:cs="Arial" w:eastAsia="Arial" w:hAnsi="Arial"/>
                <w:sz w:val="13"/>
                <w:szCs w:val="13"/>
                <w:color w:val="auto"/>
              </w:rPr>
              <w:t>(5)</w:t>
            </w:r>
          </w:p>
        </w:tc>
        <w:tc>
          <w:tcPr>
            <w:tcW w:w="4520" w:type="dxa"/>
            <w:vAlign w:val="bottom"/>
          </w:tcPr>
          <w:p>
            <w:pPr>
              <w:ind w:left="100"/>
              <w:spacing w:after="0"/>
              <w:rPr>
                <w:sz w:val="20"/>
                <w:szCs w:val="20"/>
                <w:color w:val="auto"/>
              </w:rPr>
            </w:pPr>
            <w:r>
              <w:rPr>
                <w:rFonts w:ascii="Arial" w:cs="Arial" w:eastAsia="Arial" w:hAnsi="Arial"/>
                <w:sz w:val="13"/>
                <w:szCs w:val="13"/>
                <w:color w:val="auto"/>
              </w:rPr>
              <w:t>0.03% owned</w:t>
            </w:r>
          </w:p>
        </w:tc>
        <w:tc>
          <w:tcPr>
            <w:tcW w:w="2920" w:type="dxa"/>
            <w:vAlign w:val="bottom"/>
          </w:tcPr>
          <w:p>
            <w:pPr>
              <w:spacing w:after="0"/>
              <w:rPr>
                <w:sz w:val="14"/>
                <w:szCs w:val="14"/>
                <w:color w:val="auto"/>
              </w:rPr>
            </w:pPr>
          </w:p>
        </w:tc>
      </w:tr>
      <w:tr>
        <w:trPr>
          <w:trHeight w:val="170"/>
        </w:trPr>
        <w:tc>
          <w:tcPr>
            <w:tcW w:w="420" w:type="dxa"/>
            <w:vAlign w:val="bottom"/>
          </w:tcPr>
          <w:p>
            <w:pPr>
              <w:ind w:left="180"/>
              <w:spacing w:after="0"/>
              <w:rPr>
                <w:sz w:val="20"/>
                <w:szCs w:val="20"/>
                <w:color w:val="auto"/>
              </w:rPr>
            </w:pPr>
            <w:r>
              <w:rPr>
                <w:rFonts w:ascii="Arial" w:cs="Arial" w:eastAsia="Arial" w:hAnsi="Arial"/>
                <w:sz w:val="13"/>
                <w:szCs w:val="13"/>
                <w:color w:val="auto"/>
              </w:rPr>
              <w:t>(6)</w:t>
            </w:r>
          </w:p>
        </w:tc>
        <w:tc>
          <w:tcPr>
            <w:tcW w:w="4520" w:type="dxa"/>
            <w:vAlign w:val="bottom"/>
          </w:tcPr>
          <w:p>
            <w:pPr>
              <w:ind w:left="100"/>
              <w:spacing w:after="0"/>
              <w:rPr>
                <w:sz w:val="20"/>
                <w:szCs w:val="20"/>
                <w:color w:val="auto"/>
              </w:rPr>
            </w:pPr>
            <w:r>
              <w:rPr>
                <w:rFonts w:ascii="Arial" w:cs="Arial" w:eastAsia="Arial" w:hAnsi="Arial"/>
                <w:sz w:val="13"/>
                <w:szCs w:val="13"/>
                <w:color w:val="auto"/>
              </w:rPr>
              <w:t>99% owned</w:t>
            </w:r>
          </w:p>
        </w:tc>
        <w:tc>
          <w:tcPr>
            <w:tcW w:w="2920" w:type="dxa"/>
            <w:vAlign w:val="bottom"/>
          </w:tcPr>
          <w:p>
            <w:pPr>
              <w:spacing w:after="0"/>
              <w:rPr>
                <w:sz w:val="14"/>
                <w:szCs w:val="14"/>
                <w:color w:val="auto"/>
              </w:rPr>
            </w:pPr>
          </w:p>
        </w:tc>
      </w:tr>
      <w:tr>
        <w:trPr>
          <w:trHeight w:val="170"/>
        </w:trPr>
        <w:tc>
          <w:tcPr>
            <w:tcW w:w="420" w:type="dxa"/>
            <w:vAlign w:val="bottom"/>
          </w:tcPr>
          <w:p>
            <w:pPr>
              <w:ind w:left="180"/>
              <w:spacing w:after="0"/>
              <w:rPr>
                <w:sz w:val="20"/>
                <w:szCs w:val="20"/>
                <w:color w:val="auto"/>
              </w:rPr>
            </w:pPr>
            <w:r>
              <w:rPr>
                <w:rFonts w:ascii="Arial" w:cs="Arial" w:eastAsia="Arial" w:hAnsi="Arial"/>
                <w:sz w:val="13"/>
                <w:szCs w:val="13"/>
                <w:color w:val="auto"/>
              </w:rPr>
              <w:t>(7)</w:t>
            </w:r>
          </w:p>
        </w:tc>
        <w:tc>
          <w:tcPr>
            <w:tcW w:w="4520" w:type="dxa"/>
            <w:vAlign w:val="bottom"/>
          </w:tcPr>
          <w:p>
            <w:pPr>
              <w:ind w:left="100"/>
              <w:spacing w:after="0"/>
              <w:rPr>
                <w:sz w:val="20"/>
                <w:szCs w:val="20"/>
                <w:color w:val="auto"/>
              </w:rPr>
            </w:pPr>
            <w:r>
              <w:rPr>
                <w:rFonts w:ascii="Arial" w:cs="Arial" w:eastAsia="Arial" w:hAnsi="Arial"/>
                <w:sz w:val="13"/>
                <w:szCs w:val="13"/>
                <w:color w:val="auto"/>
              </w:rPr>
              <w:t>1.69% owned</w:t>
            </w:r>
          </w:p>
        </w:tc>
        <w:tc>
          <w:tcPr>
            <w:tcW w:w="2920" w:type="dxa"/>
            <w:vAlign w:val="bottom"/>
          </w:tcPr>
          <w:p>
            <w:pPr>
              <w:spacing w:after="0"/>
              <w:rPr>
                <w:sz w:val="14"/>
                <w:szCs w:val="14"/>
                <w:color w:val="auto"/>
              </w:rPr>
            </w:pPr>
          </w:p>
        </w:tc>
      </w:tr>
    </w:tbl>
    <w:p>
      <w:pPr>
        <w:sectPr>
          <w:pgSz w:w="11900" w:h="16838" w:orient="portrait"/>
          <w:cols w:equalWidth="0" w:num="1">
            <w:col w:w="10139"/>
          </w:cols>
          <w:pgMar w:left="320" w:top="844"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4"/>
          <w:szCs w:val="14"/>
          <w:b w:val="1"/>
          <w:bCs w:val="1"/>
          <w:color w:val="auto"/>
        </w:rPr>
        <w:t>Exhibit 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4"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We consent to the incorporation by reference in Registration Statement Nos. 333-184151, 333-184152, and 333-238544 on Form S-8 and Registration Statement No. 333-265317 on Form S-3 of our reports dated February 21, 2023, relating to the financial statements of Pentair plc and the effectiveness of Pentair plc’s internal control over financial reporting appearing in this Annual Report on Form 10-K for the year ended December 31, 2022.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/s/ Deloitte &amp; Touche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Minneapolis, Minnesota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February 21, 2023</w:t>
      </w:r>
    </w:p>
    <w:p>
      <w:pPr>
        <w:sectPr>
          <w:pgSz w:w="11900" w:h="16838" w:orient="portrait"/>
          <w:cols w:equalWidth="0" w:num="1">
            <w:col w:w="11280"/>
          </w:cols>
          <w:pgMar w:left="300" w:top="729" w:right="3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4"/>
          <w:szCs w:val="14"/>
          <w:b w:val="1"/>
          <w:bCs w:val="1"/>
          <w:color w:val="auto"/>
        </w:rPr>
        <w:t>Exhibit 24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204" w:lineRule="exact"/>
        <w:rPr>
          <w:sz w:val="20"/>
          <w:szCs w:val="20"/>
          <w:color w:val="auto"/>
        </w:rPr>
      </w:pPr>
    </w:p>
    <w:p>
      <w:pPr>
        <w:ind w:right="80"/>
        <w:spacing w:after="0" w:line="288" w:lineRule="auto"/>
        <w:rPr>
          <w:sz w:val="20"/>
          <w:szCs w:val="20"/>
          <w:color w:val="auto"/>
        </w:rPr>
      </w:pPr>
      <w:r>
        <w:rPr>
          <w:rFonts w:ascii="Arial" w:cs="Arial" w:eastAsia="Arial" w:hAnsi="Arial"/>
          <w:sz w:val="13"/>
          <w:szCs w:val="13"/>
          <w:color w:val="auto"/>
        </w:rPr>
        <w:t>KNOW ALL MEN BY THESE PRESENTS that the undersigned directors of Pentair plc, an entity organized under the laws of Ireland, hereby constitute and appoint John L. Stauch and Karla C. Robertson,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21,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120" w:type="dxa"/>
            <w:vAlign w:val="bottom"/>
            <w:gridSpan w:val="3"/>
          </w:tcPr>
          <w:p>
            <w:pPr>
              <w:ind w:left="2840"/>
              <w:spacing w:after="0"/>
              <w:rPr>
                <w:sz w:val="20"/>
                <w:szCs w:val="20"/>
                <w:color w:val="auto"/>
              </w:rPr>
            </w:pPr>
            <w:r>
              <w:rPr>
                <w:rFonts w:ascii="Arial" w:cs="Arial" w:eastAsia="Arial" w:hAnsi="Arial"/>
                <w:sz w:val="11"/>
                <w:szCs w:val="11"/>
                <w:b w:val="1"/>
                <w:bCs w:val="1"/>
                <w:color w:val="auto"/>
              </w:rPr>
              <w:t>Signature</w:t>
            </w:r>
          </w:p>
        </w:tc>
        <w:tc>
          <w:tcPr>
            <w:tcW w:w="14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r>
      <w:tr>
        <w:trPr>
          <w:trHeight w:val="20"/>
        </w:trPr>
        <w:tc>
          <w:tcPr>
            <w:tcW w:w="28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5"/>
        </w:trPr>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Mona Abutaleb Stephenson</w:t>
            </w:r>
          </w:p>
        </w:tc>
        <w:tc>
          <w:tcPr>
            <w:tcW w:w="4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Mona Abutaleb Stephenson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Melissa Barra</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Melissa Barra</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Glynis A. Bryan</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Glynis A. Bryan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T. Michael Glenn</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T. Michael Glenn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Theodore L. Harris</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Theodore L. Harris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David A. Jones</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David A. Jones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Gregory E. Knight</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Gregory E. Knight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Michael T. Speetzen</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Michael T. Speetzen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3"/>
        </w:trPr>
        <w:tc>
          <w:tcPr>
            <w:tcW w:w="6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/s/ Billie I. Williamson</w:t>
            </w:r>
          </w:p>
        </w:tc>
        <w:tc>
          <w:tcPr>
            <w:tcW w:w="140" w:type="dxa"/>
            <w:vAlign w:val="bottom"/>
          </w:tcPr>
          <w:p>
            <w:pPr>
              <w:spacing w:after="0"/>
              <w:rPr>
                <w:sz w:val="19"/>
                <w:szCs w:val="19"/>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auto"/>
                <w:w w:val="89"/>
              </w:rPr>
              <w:t>Director</w:t>
            </w:r>
          </w:p>
        </w:tc>
      </w:tr>
      <w:tr>
        <w:trPr>
          <w:trHeight w:val="171"/>
        </w:trPr>
        <w:tc>
          <w:tcPr>
            <w:tcW w:w="6120" w:type="dxa"/>
            <w:vAlign w:val="bottom"/>
            <w:gridSpan w:val="3"/>
          </w:tcPr>
          <w:p>
            <w:pPr>
              <w:ind w:left="180"/>
              <w:spacing w:after="0"/>
              <w:rPr>
                <w:sz w:val="20"/>
                <w:szCs w:val="20"/>
                <w:color w:val="auto"/>
              </w:rPr>
            </w:pPr>
            <w:r>
              <w:rPr>
                <w:rFonts w:ascii="Arial" w:cs="Arial" w:eastAsia="Arial" w:hAnsi="Arial"/>
                <w:sz w:val="14"/>
                <w:szCs w:val="14"/>
                <w:color w:val="auto"/>
              </w:rPr>
              <w:t>Billie I. Williamson</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ectPr>
          <w:pgSz w:w="11900" w:h="16838" w:orient="portrait"/>
          <w:cols w:equalWidth="0" w:num="1">
            <w:col w:w="11280"/>
          </w:cols>
          <w:pgMar w:left="300" w:top="729" w:right="3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 John L. Stauch, certify that:</w:t>
      </w:r>
    </w:p>
    <w:p>
      <w:pPr>
        <w:spacing w:after="0" w:line="200" w:lineRule="exact"/>
        <w:rPr>
          <w:sz w:val="20"/>
          <w:szCs w:val="20"/>
          <w:color w:val="auto"/>
        </w:rPr>
      </w:pPr>
    </w:p>
    <w:p>
      <w:pPr>
        <w:ind w:left="260" w:hanging="255"/>
        <w:spacing w:after="0"/>
        <w:tabs>
          <w:tab w:leader="none" w:pos="2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 have reviewed this report on Form 10-K of Pentair plc;</w:t>
      </w:r>
    </w:p>
    <w:p>
      <w:pPr>
        <w:spacing w:after="0" w:line="199" w:lineRule="exact"/>
        <w:rPr>
          <w:rFonts w:ascii="Arial" w:cs="Arial" w:eastAsia="Arial" w:hAnsi="Arial"/>
          <w:sz w:val="14"/>
          <w:szCs w:val="14"/>
          <w:color w:val="auto"/>
        </w:rPr>
      </w:pPr>
    </w:p>
    <w:p>
      <w:pPr>
        <w:ind w:left="200" w:hanging="195"/>
        <w:spacing w:after="0" w:line="281" w:lineRule="auto"/>
        <w:tabs>
          <w:tab w:leader="none" w:pos="273"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200" w:hanging="195"/>
        <w:spacing w:after="0" w:line="281" w:lineRule="auto"/>
        <w:tabs>
          <w:tab w:leader="none" w:pos="284" w:val="left"/>
        </w:tabs>
        <w:numPr>
          <w:ilvl w:val="0"/>
          <w:numId w:val="6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200" w:hanging="195"/>
        <w:spacing w:after="0" w:line="281" w:lineRule="auto"/>
        <w:tabs>
          <w:tab w:leader="none" w:pos="264"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380" w:hanging="184"/>
        <w:spacing w:after="0" w:line="321" w:lineRule="auto"/>
        <w:tabs>
          <w:tab w:leader="none" w:pos="459" w:val="left"/>
        </w:tabs>
        <w:numPr>
          <w:ilvl w:val="1"/>
          <w:numId w:val="63"/>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380" w:hanging="184"/>
        <w:spacing w:after="0" w:line="321" w:lineRule="auto"/>
        <w:tabs>
          <w:tab w:leader="none" w:pos="527" w:val="left"/>
        </w:tabs>
        <w:numPr>
          <w:ilvl w:val="1"/>
          <w:numId w:val="6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380" w:hanging="184"/>
        <w:spacing w:after="0" w:line="281" w:lineRule="auto"/>
        <w:tabs>
          <w:tab w:leader="none" w:pos="449" w:val="left"/>
        </w:tabs>
        <w:numPr>
          <w:ilvl w:val="1"/>
          <w:numId w:val="6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380" w:hanging="184"/>
        <w:spacing w:after="0" w:line="321" w:lineRule="auto"/>
        <w:tabs>
          <w:tab w:leader="none" w:pos="505" w:val="left"/>
        </w:tabs>
        <w:numPr>
          <w:ilvl w:val="1"/>
          <w:numId w:val="6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200" w:hanging="195"/>
        <w:spacing w:after="0" w:line="281" w:lineRule="auto"/>
        <w:tabs>
          <w:tab w:leader="none" w:pos="258"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380" w:hanging="184"/>
        <w:spacing w:after="0" w:line="281" w:lineRule="auto"/>
        <w:tabs>
          <w:tab w:leader="none" w:pos="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440" w:hanging="244"/>
        <w:spacing w:after="0"/>
        <w:tabs>
          <w:tab w:leader="none" w:pos="44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220" w:type="dxa"/>
        <w:tblCellMar>
          <w:top w:w="0" w:type="dxa"/>
          <w:left w:w="0" w:type="dxa"/>
          <w:bottom w:w="0" w:type="dxa"/>
          <w:right w:w="0" w:type="dxa"/>
        </w:tblCellMar>
      </w:tblPr>
      <w:tr>
        <w:trPr>
          <w:trHeight w:val="180"/>
        </w:trPr>
        <w:tc>
          <w:tcPr>
            <w:tcW w:w="440" w:type="dxa"/>
            <w:vAlign w:val="bottom"/>
          </w:tcPr>
          <w:p>
            <w:pPr>
              <w:spacing w:after="0"/>
              <w:rPr>
                <w:sz w:val="20"/>
                <w:szCs w:val="20"/>
                <w:color w:val="auto"/>
              </w:rPr>
            </w:pPr>
            <w:r>
              <w:rPr>
                <w:rFonts w:ascii="Arial" w:cs="Arial" w:eastAsia="Arial" w:hAnsi="Arial"/>
                <w:sz w:val="14"/>
                <w:szCs w:val="14"/>
                <w:color w:val="auto"/>
              </w:rPr>
              <w:t>Date:</w:t>
            </w:r>
          </w:p>
        </w:tc>
        <w:tc>
          <w:tcPr>
            <w:tcW w:w="4820" w:type="dxa"/>
            <w:vAlign w:val="bottom"/>
          </w:tcPr>
          <w:p>
            <w:pPr>
              <w:ind w:left="140"/>
              <w:spacing w:after="0"/>
              <w:rPr>
                <w:sz w:val="20"/>
                <w:szCs w:val="20"/>
                <w:color w:val="auto"/>
              </w:rPr>
            </w:pPr>
            <w:r>
              <w:rPr>
                <w:rFonts w:ascii="Arial" w:cs="Arial" w:eastAsia="Arial" w:hAnsi="Arial"/>
                <w:sz w:val="14"/>
                <w:szCs w:val="14"/>
                <w:color w:val="auto"/>
              </w:rPr>
              <w:t>February 21, 2023</w:t>
            </w: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John L. Stauch</w:t>
            </w:r>
          </w:p>
        </w:tc>
      </w:tr>
      <w:tr>
        <w:trPr>
          <w:trHeight w:val="171"/>
        </w:trPr>
        <w:tc>
          <w:tcPr>
            <w:tcW w:w="4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John L. Stauch</w:t>
            </w:r>
          </w:p>
        </w:tc>
      </w:tr>
      <w:tr>
        <w:trPr>
          <w:trHeight w:val="180"/>
        </w:trPr>
        <w:tc>
          <w:tcPr>
            <w:tcW w:w="4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730" w:right="3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I, Robert P. Fishman, certify that:</w:t>
      </w:r>
    </w:p>
    <w:p>
      <w:pPr>
        <w:spacing w:after="0" w:line="200" w:lineRule="exact"/>
        <w:rPr>
          <w:sz w:val="20"/>
          <w:szCs w:val="20"/>
          <w:color w:val="auto"/>
        </w:rPr>
      </w:pPr>
    </w:p>
    <w:p>
      <w:pPr>
        <w:ind w:left="260" w:hanging="255"/>
        <w:spacing w:after="0"/>
        <w:tabs>
          <w:tab w:leader="none" w:pos="2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I have reviewed this report on Form 10-K of Pentair plc;</w:t>
      </w:r>
    </w:p>
    <w:p>
      <w:pPr>
        <w:spacing w:after="0" w:line="199" w:lineRule="exact"/>
        <w:rPr>
          <w:rFonts w:ascii="Arial" w:cs="Arial" w:eastAsia="Arial" w:hAnsi="Arial"/>
          <w:sz w:val="14"/>
          <w:szCs w:val="14"/>
          <w:color w:val="auto"/>
        </w:rPr>
      </w:pPr>
    </w:p>
    <w:p>
      <w:pPr>
        <w:ind w:left="200" w:hanging="195"/>
        <w:spacing w:after="0" w:line="281" w:lineRule="auto"/>
        <w:tabs>
          <w:tab w:leader="none" w:pos="273"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Arial" w:cs="Arial" w:eastAsia="Arial" w:hAnsi="Arial"/>
          <w:sz w:val="14"/>
          <w:szCs w:val="14"/>
          <w:color w:val="auto"/>
        </w:rPr>
      </w:pPr>
    </w:p>
    <w:p>
      <w:pPr>
        <w:ind w:left="200" w:hanging="195"/>
        <w:spacing w:after="0" w:line="281" w:lineRule="auto"/>
        <w:tabs>
          <w:tab w:leader="none" w:pos="284" w:val="left"/>
        </w:tabs>
        <w:numPr>
          <w:ilvl w:val="0"/>
          <w:numId w:val="6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Arial" w:cs="Arial" w:eastAsia="Arial" w:hAnsi="Arial"/>
          <w:sz w:val="14"/>
          <w:szCs w:val="14"/>
          <w:color w:val="auto"/>
        </w:rPr>
      </w:pPr>
    </w:p>
    <w:p>
      <w:pPr>
        <w:ind w:left="200" w:hanging="195"/>
        <w:spacing w:after="0" w:line="281" w:lineRule="auto"/>
        <w:tabs>
          <w:tab w:leader="none" w:pos="264"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4"/>
          <w:szCs w:val="14"/>
          <w:color w:val="auto"/>
        </w:rPr>
      </w:pPr>
    </w:p>
    <w:p>
      <w:pPr>
        <w:ind w:left="380" w:hanging="184"/>
        <w:spacing w:after="0" w:line="321" w:lineRule="auto"/>
        <w:tabs>
          <w:tab w:leader="none" w:pos="459" w:val="left"/>
        </w:tabs>
        <w:numPr>
          <w:ilvl w:val="1"/>
          <w:numId w:val="6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0" w:lineRule="exact"/>
        <w:rPr>
          <w:rFonts w:ascii="Arial" w:cs="Arial" w:eastAsia="Arial" w:hAnsi="Arial"/>
          <w:sz w:val="13"/>
          <w:szCs w:val="13"/>
          <w:color w:val="auto"/>
        </w:rPr>
      </w:pPr>
    </w:p>
    <w:p>
      <w:pPr>
        <w:ind w:left="380" w:hanging="184"/>
        <w:spacing w:after="0" w:line="321" w:lineRule="auto"/>
        <w:tabs>
          <w:tab w:leader="none" w:pos="527" w:val="left"/>
        </w:tabs>
        <w:numPr>
          <w:ilvl w:val="1"/>
          <w:numId w:val="6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3"/>
          <w:szCs w:val="13"/>
          <w:color w:val="auto"/>
        </w:rPr>
      </w:pPr>
    </w:p>
    <w:p>
      <w:pPr>
        <w:ind w:left="380" w:hanging="184"/>
        <w:spacing w:after="0" w:line="281" w:lineRule="auto"/>
        <w:tabs>
          <w:tab w:leader="none" w:pos="449" w:val="left"/>
        </w:tabs>
        <w:numPr>
          <w:ilvl w:val="1"/>
          <w:numId w:val="6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Arial" w:cs="Arial" w:eastAsia="Arial" w:hAnsi="Arial"/>
          <w:sz w:val="14"/>
          <w:szCs w:val="14"/>
          <w:color w:val="auto"/>
        </w:rPr>
      </w:pPr>
    </w:p>
    <w:p>
      <w:pPr>
        <w:ind w:left="380" w:hanging="184"/>
        <w:spacing w:after="0" w:line="321" w:lineRule="auto"/>
        <w:tabs>
          <w:tab w:leader="none" w:pos="505" w:val="left"/>
        </w:tabs>
        <w:numPr>
          <w:ilvl w:val="1"/>
          <w:numId w:val="6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3"/>
          <w:szCs w:val="13"/>
          <w:color w:val="auto"/>
        </w:rPr>
      </w:pPr>
    </w:p>
    <w:p>
      <w:pPr>
        <w:ind w:left="200" w:hanging="195"/>
        <w:spacing w:after="0" w:line="281" w:lineRule="auto"/>
        <w:tabs>
          <w:tab w:leader="none" w:pos="258"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4"/>
          <w:szCs w:val="14"/>
          <w:color w:val="auto"/>
        </w:rPr>
      </w:pPr>
    </w:p>
    <w:p>
      <w:pPr>
        <w:ind w:left="380" w:hanging="184"/>
        <w:spacing w:after="0" w:line="281" w:lineRule="auto"/>
        <w:tabs>
          <w:tab w:leader="none" w:pos="4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Arial" w:cs="Arial" w:eastAsia="Arial" w:hAnsi="Arial"/>
          <w:sz w:val="14"/>
          <w:szCs w:val="14"/>
          <w:color w:val="auto"/>
        </w:rPr>
      </w:pPr>
    </w:p>
    <w:p>
      <w:pPr>
        <w:ind w:left="440" w:hanging="244"/>
        <w:spacing w:after="0"/>
        <w:tabs>
          <w:tab w:leader="none" w:pos="440" w:val="left"/>
        </w:tabs>
        <w:numPr>
          <w:ilvl w:val="1"/>
          <w:numId w:val="6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4980" w:type="dxa"/>
            <w:vAlign w:val="bottom"/>
          </w:tcPr>
          <w:p>
            <w:pPr>
              <w:ind w:left="140"/>
              <w:spacing w:after="0"/>
              <w:rPr>
                <w:sz w:val="20"/>
                <w:szCs w:val="20"/>
                <w:color w:val="auto"/>
              </w:rPr>
            </w:pPr>
            <w:r>
              <w:rPr>
                <w:rFonts w:ascii="Arial" w:cs="Arial" w:eastAsia="Arial" w:hAnsi="Arial"/>
                <w:sz w:val="14"/>
                <w:szCs w:val="14"/>
                <w:color w:val="auto"/>
              </w:rPr>
              <w:t>February 21, 2023</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P. Fishman</w:t>
            </w:r>
          </w:p>
        </w:tc>
      </w:tr>
      <w:tr>
        <w:trPr>
          <w:trHeight w:val="171"/>
        </w:trPr>
        <w:tc>
          <w:tcPr>
            <w:tcW w:w="4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Robert P. Fishman</w:t>
            </w:r>
          </w:p>
        </w:tc>
      </w:tr>
      <w:tr>
        <w:trPr>
          <w:trHeight w:val="180"/>
        </w:trPr>
        <w:tc>
          <w:tcPr>
            <w:tcW w:w="4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Executive Vice President, Chief Financial Officer and Chief Accounting Officer</w:t>
            </w:r>
          </w:p>
        </w:tc>
      </w:tr>
    </w:tbl>
    <w:p>
      <w:pPr>
        <w:sectPr>
          <w:pgSz w:w="11900" w:h="16838" w:orient="portrait"/>
          <w:cols w:equalWidth="0" w:num="1">
            <w:col w:w="11280"/>
          </w:cols>
          <w:pgMar w:left="300" w:top="730" w:right="3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CEO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Annual Report of Pentair plc (the “Company”) on Form 10-K for the period ended December 31, 2022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3" w:lineRule="exact"/>
        <w:rPr>
          <w:sz w:val="20"/>
          <w:szCs w:val="20"/>
          <w:color w:val="auto"/>
        </w:rPr>
      </w:pPr>
    </w:p>
    <w:p>
      <w:pPr>
        <w:ind w:left="560" w:hanging="300"/>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60" w:hanging="300"/>
        <w:spacing w:after="0"/>
        <w:tabs>
          <w:tab w:leader="none" w:pos="5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4980" w:type="dxa"/>
            <w:vAlign w:val="bottom"/>
          </w:tcPr>
          <w:p>
            <w:pPr>
              <w:ind w:left="140"/>
              <w:spacing w:after="0"/>
              <w:rPr>
                <w:sz w:val="20"/>
                <w:szCs w:val="20"/>
                <w:color w:val="auto"/>
              </w:rPr>
            </w:pPr>
            <w:r>
              <w:rPr>
                <w:rFonts w:ascii="Arial" w:cs="Arial" w:eastAsia="Arial" w:hAnsi="Arial"/>
                <w:sz w:val="14"/>
                <w:szCs w:val="14"/>
                <w:color w:val="auto"/>
              </w:rPr>
              <w:t>February 21, 2023</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John L. Stauch</w:t>
            </w:r>
          </w:p>
        </w:tc>
      </w:tr>
      <w:tr>
        <w:trPr>
          <w:trHeight w:val="171"/>
        </w:trPr>
        <w:tc>
          <w:tcPr>
            <w:tcW w:w="4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John L. Stauch</w:t>
            </w:r>
          </w:p>
        </w:tc>
      </w:tr>
      <w:tr>
        <w:trPr>
          <w:trHeight w:val="180"/>
        </w:trPr>
        <w:tc>
          <w:tcPr>
            <w:tcW w:w="4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ectPr>
          <w:pgSz w:w="11900" w:h="16838" w:orient="portrait"/>
          <w:cols w:equalWidth="0" w:num="1">
            <w:col w:w="11280"/>
          </w:cols>
          <w:pgMar w:left="300" w:top="730" w:right="3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CFO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Annual Report of Pentair plc (the “Company”) on Form 10-K for the period ended December 31, 2022 as filed with the Securities and Exchange Commission on the date hereof (the “Report”), I, Robert P. Fishman, Executive Vice President, Chief Financial Officer and Chief Accounting Officer of the Company, certify, pursuant to 18 U.S.C. § 1350, as adopted pursuant to Section 906 of the Sarbanes-Oxley Act of 2002, that based on my knowledge:</w:t>
      </w:r>
    </w:p>
    <w:p>
      <w:pPr>
        <w:spacing w:after="0" w:line="163" w:lineRule="exact"/>
        <w:rPr>
          <w:sz w:val="20"/>
          <w:szCs w:val="20"/>
          <w:color w:val="auto"/>
        </w:rPr>
      </w:pPr>
    </w:p>
    <w:p>
      <w:pPr>
        <w:ind w:left="560" w:hanging="300"/>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9" w:lineRule="exact"/>
        <w:rPr>
          <w:rFonts w:ascii="Arial" w:cs="Arial" w:eastAsia="Arial" w:hAnsi="Arial"/>
          <w:sz w:val="14"/>
          <w:szCs w:val="14"/>
          <w:color w:val="auto"/>
        </w:rPr>
      </w:pPr>
    </w:p>
    <w:p>
      <w:pPr>
        <w:ind w:left="560" w:hanging="300"/>
        <w:spacing w:after="0"/>
        <w:tabs>
          <w:tab w:leader="none" w:pos="5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 of operations of the Company.</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Date:</w:t>
            </w:r>
          </w:p>
        </w:tc>
        <w:tc>
          <w:tcPr>
            <w:tcW w:w="4980" w:type="dxa"/>
            <w:vAlign w:val="bottom"/>
          </w:tcPr>
          <w:p>
            <w:pPr>
              <w:ind w:left="140"/>
              <w:spacing w:after="0"/>
              <w:rPr>
                <w:sz w:val="20"/>
                <w:szCs w:val="20"/>
                <w:color w:val="auto"/>
              </w:rPr>
            </w:pPr>
            <w:r>
              <w:rPr>
                <w:rFonts w:ascii="Arial" w:cs="Arial" w:eastAsia="Arial" w:hAnsi="Arial"/>
                <w:sz w:val="14"/>
                <w:szCs w:val="14"/>
                <w:color w:val="auto"/>
              </w:rPr>
              <w:t>February 21, 2023</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P. Fishman</w:t>
            </w:r>
          </w:p>
        </w:tc>
      </w:tr>
      <w:tr>
        <w:trPr>
          <w:trHeight w:val="171"/>
        </w:trPr>
        <w:tc>
          <w:tcPr>
            <w:tcW w:w="46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Robert P. Fishman</w:t>
            </w:r>
          </w:p>
        </w:tc>
      </w:tr>
      <w:tr>
        <w:trPr>
          <w:trHeight w:val="180"/>
        </w:trPr>
        <w:tc>
          <w:tcPr>
            <w:tcW w:w="4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800" w:type="dxa"/>
            <w:vAlign w:val="bottom"/>
          </w:tcPr>
          <w:p>
            <w:pPr>
              <w:ind w:left="20"/>
              <w:spacing w:after="0"/>
              <w:rPr>
                <w:sz w:val="20"/>
                <w:szCs w:val="20"/>
                <w:color w:val="auto"/>
              </w:rPr>
            </w:pPr>
            <w:r>
              <w:rPr>
                <w:rFonts w:ascii="Arial" w:cs="Arial" w:eastAsia="Arial" w:hAnsi="Arial"/>
                <w:sz w:val="14"/>
                <w:szCs w:val="14"/>
                <w:color w:val="auto"/>
              </w:rPr>
              <w:t>Executive Vice President, Chief Financial Officer and Chief Accounting Officer</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1)"/>
      <w:numFmt w:val="decimal"/>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endash "/>
      <w:numFmt w:val="bullet"/>
      <w:start w:val="1"/>
    </w:lvl>
  </w:abstractNum>
  <w:abstractNum w:abstractNumId="12">
    <w:nsid w:val="51EAD36B"/>
    <w:multiLevelType w:val="hybridMultilevel"/>
    <w:lvl w:ilvl="0">
      <w:lvlJc w:val="left"/>
      <w:lvlText w:val="(%1)"/>
      <w:numFmt w:val="lowerLetter"/>
      <w:start w:val="1"/>
    </w:lvl>
  </w:abstractNum>
  <w:abstractNum w:abstractNumId="13">
    <w:nsid w:val="2D517796"/>
    <w:multiLevelType w:val="hybridMultilevel"/>
    <w:lvl w:ilvl="0">
      <w:lvlJc w:val="left"/>
      <w:lvlText w:val="&amp;"/>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lvl w:ilvl="1">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1)"/>
      <w:numFmt w:val="decimal"/>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9"/>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decimal"/>
      <w:start w:val="12"/>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5"/>
    </w:lvl>
  </w:abstractNum>
  <w:abstractNum w:abstractNumId="52">
    <w:nsid w:val="15B5AF5C"/>
    <w:multiLevelType w:val="hybridMultilevel"/>
    <w:lvl w:ilvl="0">
      <w:lvlJc w:val="left"/>
      <w:lvlText w:val="(%1)"/>
      <w:numFmt w:val="decimal"/>
      <w:start w:val="1"/>
    </w:lvl>
  </w:abstractNum>
  <w:abstractNum w:abstractNumId="53">
    <w:nsid w:val="741226BB"/>
    <w:multiLevelType w:val="hybridMultilevel"/>
    <w:lvl w:ilvl="0">
      <w:lvlJc w:val="left"/>
      <w:lvlText w:val="(%1)"/>
      <w:numFmt w:val="decimal"/>
      <w:start w:val="2"/>
    </w:lvl>
  </w:abstractNum>
  <w:abstractNum w:abstractNumId="54">
    <w:nsid w:val="D34B6A8"/>
    <w:multiLevelType w:val="hybridMultilevel"/>
    <w:lvl w:ilvl="0">
      <w:lvlJc w:val="left"/>
      <w:lvlText w:val="%1"/>
      <w:numFmt w:val="decimal"/>
      <w:start w:val="21"/>
    </w:lvl>
  </w:abstractNum>
  <w:abstractNum w:abstractNumId="55">
    <w:nsid w:val="10233C99"/>
    <w:multiLevelType w:val="hybridMultilevel"/>
    <w:lvl w:ilvl="0">
      <w:lvlJc w:val="left"/>
      <w:lvlText w:val="%1"/>
      <w:numFmt w:val="decimal"/>
      <w:start w:val="101"/>
    </w:lvl>
  </w:abstractNum>
  <w:abstractNum w:abstractNumId="56">
    <w:nsid w:val="3F6AB60F"/>
    <w:multiLevelType w:val="hybridMultilevel"/>
    <w:lvl w:ilvl="0">
      <w:lvlJc w:val="left"/>
      <w:lvlText w:val="*"/>
      <w:numFmt w:val="bullet"/>
      <w:start w:val="1"/>
    </w:lvl>
    <w:lvl w:ilvl="1">
      <w:lvlJc w:val="left"/>
      <w:lvlText w:val="%2"/>
      <w:numFmt w:val="decimal"/>
      <w:start w:val="104"/>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44" Type="http://schemas.openxmlformats.org/officeDocument/2006/relationships/image" Target="media/image100.png"/><Relationship Id="rId145" Type="http://schemas.openxmlformats.org/officeDocument/2006/relationships/image" Target="media/image101.png"/><Relationship Id="rId146" Type="http://schemas.openxmlformats.org/officeDocument/2006/relationships/image" Target="media/image102.png"/><Relationship Id="rId147" Type="http://schemas.openxmlformats.org/officeDocument/2006/relationships/image" Target="media/image103.png"/><Relationship Id="rId148" Type="http://schemas.openxmlformats.org/officeDocument/2006/relationships/image" Target="media/image104.png"/><Relationship Id="rId149" Type="http://schemas.openxmlformats.org/officeDocument/2006/relationships/image" Target="media/image105.png"/><Relationship Id="rId150" Type="http://schemas.openxmlformats.org/officeDocument/2006/relationships/image" Target="media/image106.png"/><Relationship Id="rId151" Type="http://schemas.openxmlformats.org/officeDocument/2006/relationships/image" Target="media/image107.png"/><Relationship Id="rId152" Type="http://schemas.openxmlformats.org/officeDocument/2006/relationships/image" Target="media/image108.png"/><Relationship Id="rId153" Type="http://schemas.openxmlformats.org/officeDocument/2006/relationships/image" Target="media/image109.png"/><Relationship Id="rId154" Type="http://schemas.openxmlformats.org/officeDocument/2006/relationships/image" Target="media/image110.png"/><Relationship Id="rId155" Type="http://schemas.openxmlformats.org/officeDocument/2006/relationships/image" Target="media/image111.png"/><Relationship Id="rId156"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103" Type="http://schemas.openxmlformats.org/officeDocument/2006/relationships/hyperlink" Target="http://www.sec.gov/Archives/edgar/data/77360/000119312517164403/d365501dex31.htm" TargetMode="External"/><Relationship Id="rId104" Type="http://schemas.openxmlformats.org/officeDocument/2006/relationships/hyperlink" Target="http://www.sec.gov/Archives/edgar/data/77360/000110465921151404/tm2135751d1_ex4-1.htm" TargetMode="External"/><Relationship Id="rId105" Type="http://schemas.openxmlformats.org/officeDocument/2006/relationships/hyperlink" Target="http://www.sec.gov/Archives/edgar/data/77360/000119312515321236/d19886dex41.htm" TargetMode="External"/><Relationship Id="rId106" Type="http://schemas.openxmlformats.org/officeDocument/2006/relationships/hyperlink" Target="http://www.sec.gov/Archives/edgar/data/77360/000119312515321236/d19886dex44.htm" TargetMode="External"/><Relationship Id="rId107" Type="http://schemas.openxmlformats.org/officeDocument/2006/relationships/hyperlink" Target="http://www.sec.gov/Archives/edgar/data/77360/000007736017000025/exhibit43fifthsupplemental.htm" TargetMode="External"/><Relationship Id="rId108" Type="http://schemas.openxmlformats.org/officeDocument/2006/relationships/hyperlink" Target="http://www.sec.gov/Archives/edgar/data/77360/000110465919037009/a19-10746_8ex4d2.htm" TargetMode="External"/><Relationship Id="rId111" Type="http://schemas.openxmlformats.org/officeDocument/2006/relationships/hyperlink" Target="http://www.sec.gov/Archives/edgar/data/77360/000007736020000031/exhibit42seventhsupple.htm" TargetMode="External"/><Relationship Id="rId112" Type="http://schemas.openxmlformats.org/officeDocument/2006/relationships/hyperlink" Target="http://www.sec.gov/Archives/edgar/data/77360/000110465922078363/tm2220547d1_ex4-3.htm" TargetMode="External"/><Relationship Id="rId113" Type="http://schemas.openxmlformats.org/officeDocument/2006/relationships/hyperlink" Target="http://www.sec.gov/Archives/edgar/data/77360/000110465922038083/tm2210380d1_ex4-1.htm" TargetMode="External"/><Relationship Id="rId114" Type="http://schemas.openxmlformats.org/officeDocument/2006/relationships/hyperlink" Target="http://www.sec.gov/Archives/edgar/data/77360/000110465922076355/tm2219016d10_ex4-1.htm" TargetMode="External"/><Relationship Id="rId115" Type="http://schemas.openxmlformats.org/officeDocument/2006/relationships/hyperlink" Target="http://www.sec.gov/Archives/edgar/data/77360/000007736018000018/exhibit22.htm" TargetMode="External"/><Relationship Id="rId116" Type="http://schemas.openxmlformats.org/officeDocument/2006/relationships/hyperlink" Target="http://www.sec.gov/Archives/edgar/data/77360/000007736017000008/ex102pentairplc2012stockan.htm" TargetMode="External"/><Relationship Id="rId117" Type="http://schemas.openxmlformats.org/officeDocument/2006/relationships/hyperlink" Target="http://www.sec.gov/Archives/edgar/data/77360/000119312514223285/d738414dex107.htm" TargetMode="External"/><Relationship Id="rId118" Type="http://schemas.openxmlformats.org/officeDocument/2006/relationships/hyperlink" Target="http://www.sec.gov/Archives/edgar/data/77360/000119312514223285/d738414dex1010.htm" TargetMode="External"/><Relationship Id="rId119" Type="http://schemas.openxmlformats.org/officeDocument/2006/relationships/hyperlink" Target="http://www.sec.gov/Archives/edgar/data/77360/000007736018000027/exhibit10120180630.htm" TargetMode="External"/><Relationship Id="rId120" Type="http://schemas.openxmlformats.org/officeDocument/2006/relationships/hyperlink" Target="http://www.sec.gov/Archives/edgar/data/77360/000007736018000027/exhibit10320180630.htm" TargetMode="External"/><Relationship Id="rId121" Type="http://schemas.openxmlformats.org/officeDocument/2006/relationships/hyperlink" Target="http://www.sec.gov/Archives/edgar/data/77360/000007736021000005/exhibit1032.htm" TargetMode="External"/><Relationship Id="rId122" Type="http://schemas.openxmlformats.org/officeDocument/2006/relationships/hyperlink" Target="http://www.sec.gov/Archives/edgar/data/77360/000007736022000006/exhibit108keesa.htm" TargetMode="External"/><Relationship Id="rId123" Type="http://schemas.openxmlformats.org/officeDocument/2006/relationships/hyperlink" Target="http://www.sec.gov/Archives/edgar/data/77360/000119312514223285/d738414dex106.htm" TargetMode="External"/><Relationship Id="rId124" Type="http://schemas.openxmlformats.org/officeDocument/2006/relationships/hyperlink" Target="https://www.sec.gov/Archives/edgar/data/77360/000007736021000005/exhibit1011.htm" TargetMode="External"/><Relationship Id="rId125" Type="http://schemas.openxmlformats.org/officeDocument/2006/relationships/hyperlink" Target="http://www.sec.gov/Archives/edgar/data/77360/000007736019000006/ex1017non-qualifieddeferre.htm" TargetMode="External"/><Relationship Id="rId126" Type="http://schemas.openxmlformats.org/officeDocument/2006/relationships/hyperlink" Target="http://www.sec.gov/Archives/edgar/data/77360/0000077360-96-000028.txt" TargetMode="External"/><Relationship Id="rId127" Type="http://schemas.openxmlformats.org/officeDocument/2006/relationships/hyperlink" Target="http://www.sec.gov/Archives/edgar/data/77360/000119312514223285/d738414dex1013.htm" TargetMode="External"/><Relationship Id="rId130" Type="http://schemas.openxmlformats.org/officeDocument/2006/relationships/hyperlink" Target="http://www.sec.gov/Archives/edgar/data/77360/000119312514223285/d738414dex1014.htm" TargetMode="External"/><Relationship Id="rId131" Type="http://schemas.openxmlformats.org/officeDocument/2006/relationships/hyperlink" Target="http://www.sec.gov/Archives/edgar/data/77360/000119312514223285/d738414dex1015.htm" TargetMode="External"/><Relationship Id="rId132" Type="http://schemas.openxmlformats.org/officeDocument/2006/relationships/hyperlink" Target="http://www.sec.gov/Archives/edgar/data/77360/000119312514223285/d738414dex1016.htm" TargetMode="External"/><Relationship Id="rId133" Type="http://schemas.openxmlformats.org/officeDocument/2006/relationships/hyperlink" Target="http://www.sec.gov/Archives/edgar/data/77360/000007736017000008/ex1031pentairplc2012stocka.htm" TargetMode="External"/><Relationship Id="rId134" Type="http://schemas.openxmlformats.org/officeDocument/2006/relationships/hyperlink" Target="http://www.sec.gov/Archives/edgar/data/77360/000007736018000016/ex104pentairstockoptionagr.htm" TargetMode="External"/><Relationship Id="rId135" Type="http://schemas.openxmlformats.org/officeDocument/2006/relationships/hyperlink" Target="http://www.sec.gov/Archives/edgar/data/77360/000104746920001649/a2240951zdef14a.htm#a66" TargetMode="External"/><Relationship Id="rId136" Type="http://schemas.openxmlformats.org/officeDocument/2006/relationships/hyperlink" Target="http://www.sec.gov/Archives/edgar/data/77360/000110465920064373/tm2020013d2_ex99-1.htm" TargetMode="External"/><Relationship Id="rId137" Type="http://schemas.openxmlformats.org/officeDocument/2006/relationships/hyperlink" Target="http://www.sec.gov/Archives/edgar/data/77360/000110465920064373/tm2020013d2_ex99-2.htm" TargetMode="External"/><Relationship Id="rId138" Type="http://schemas.openxmlformats.org/officeDocument/2006/relationships/hyperlink" Target="http://www.sec.gov/Archives/edgar/data/77360/000110465920064373/tm2020013d2_ex99-3.htm" TargetMode="External"/><Relationship Id="rId139" Type="http://schemas.openxmlformats.org/officeDocument/2006/relationships/hyperlink" Target="http://www.sec.gov/Archives/edgar/data/77360/000110465920064373/tm2020013d2_ex99-4.htm" TargetMode="External"/><Relationship Id="rId140" Type="http://schemas.openxmlformats.org/officeDocument/2006/relationships/hyperlink" Target="http://www.sec.gov/Archives/edgar/data/77360/000110465920064373/tm2020013d2_ex99-5.htm" TargetMode="External"/><Relationship Id="rId141" Type="http://schemas.openxmlformats.org/officeDocument/2006/relationships/hyperlink" Target="https://www.sec.gov/Archives/edgar/data/77360/000007736021000005/exhibit1030.htm" TargetMode="External"/><Relationship Id="rId142" Type="http://schemas.openxmlformats.org/officeDocument/2006/relationships/hyperlink" Target="https://www.sec.gov/Archives/edgar/data/77360/000007736021000005/exhibit1031.htm" TargetMode="External"/><Relationship Id="rId143" Type="http://schemas.openxmlformats.org/officeDocument/2006/relationships/hyperlink" Target="http://www.sec.gov/Archives/edgar/data/77360/000007736022000008/exhibit101purchase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2023-02-21T17:22:56Z</dcterms:created>
  <dcterms:modified xsi:type="dcterms:W3CDTF">2023-02-21T17:22:56Z</dcterms:modified>
</cp:coreProperties>
</file>