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Fishman Robert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5500 WAYZATA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GOLDEN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PENTAIR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3"/>
        <w:gridCol w:w="774"/>
        <w:gridCol w:w="600"/>
        <w:gridCol w:w="343"/>
        <w:gridCol w:w="828"/>
        <w:gridCol w:w="439"/>
        <w:gridCol w:w="747"/>
        <w:gridCol w:w="1305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59.84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1,073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59.84</w:t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- Restricted Stock Units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13,265.79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surrendered to pay taxes applicable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End-of-period holdings reflect the vesting of restricted stock units that were previously reported.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Wilson, Attorney-in-Fact for Robert P. Fishman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744" TargetMode="External"/><Relationship Id="rId5" Type="http://schemas.openxmlformats.org/officeDocument/2006/relationships/hyperlink" Target="http://www.sec.gov/cgi-bin/browse-edgar?action=getcompany&amp;CIK=00000773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3345</Characters>
  <CharactersWithSpaces>3879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