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82" w:lineRule="exact"/>
        <w:rPr>
          <w:sz w:val="24"/>
          <w:szCs w:val="24"/>
          <w:color w:val="auto"/>
        </w:rPr>
      </w:pPr>
    </w:p>
    <w:p>
      <w:pPr>
        <w:ind w:left="500" w:right="2140" w:hanging="465"/>
        <w:spacing w:after="0" w:line="313"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60" w:right="1760" w:hanging="4325"/>
        <w:spacing w:after="0" w:line="353" w:lineRule="auto"/>
        <w:tabs>
          <w:tab w:leader="none" w:pos="49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001-11625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3800" w:type="dxa"/>
            <w:vAlign w:val="bottom"/>
            <w:gridSpan w:val="3"/>
          </w:tcPr>
          <w:p>
            <w:pPr>
              <w:jc w:val="center"/>
              <w:ind w:right="59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c>
          <w:tcPr>
            <w:tcW w:w="3460" w:type="dxa"/>
            <w:vAlign w:val="bottom"/>
          </w:tcPr>
          <w:p>
            <w:pPr>
              <w:spacing w:after="0"/>
              <w:rPr>
                <w:sz w:val="15"/>
                <w:szCs w:val="15"/>
                <w:color w:val="auto"/>
              </w:rPr>
            </w:pPr>
          </w:p>
        </w:tc>
      </w:tr>
      <w:tr>
        <w:trPr>
          <w:trHeight w:val="377"/>
        </w:trPr>
        <w:tc>
          <w:tcPr>
            <w:tcW w:w="4160" w:type="dxa"/>
            <w:vAlign w:val="bottom"/>
          </w:tcPr>
          <w:p>
            <w:pPr>
              <w:jc w:val="center"/>
              <w:ind w:left="1370"/>
              <w:spacing w:after="0"/>
              <w:rPr>
                <w:sz w:val="20"/>
                <w:szCs w:val="20"/>
                <w:color w:val="auto"/>
              </w:rPr>
            </w:pPr>
            <w:r>
              <w:rPr>
                <w:rFonts w:ascii="Arial" w:cs="Arial" w:eastAsia="Arial" w:hAnsi="Arial"/>
                <w:sz w:val="18"/>
                <w:szCs w:val="18"/>
                <w:b w:val="1"/>
                <w:bCs w:val="1"/>
                <w:color w:val="auto"/>
                <w:w w:val="98"/>
              </w:rPr>
              <w:t>Ireland</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6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98-1141328</w:t>
            </w:r>
          </w:p>
        </w:tc>
      </w:tr>
      <w:tr>
        <w:trPr>
          <w:trHeight w:val="34"/>
        </w:trPr>
        <w:tc>
          <w:tcPr>
            <w:tcW w:w="4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9"/>
        </w:trPr>
        <w:tc>
          <w:tcPr>
            <w:tcW w:w="4160" w:type="dxa"/>
            <w:vAlign w:val="bottom"/>
          </w:tcPr>
          <w:p>
            <w:pPr>
              <w:jc w:val="center"/>
              <w:ind w:left="139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460" w:type="dxa"/>
            <w:vAlign w:val="bottom"/>
          </w:tcPr>
          <w:p>
            <w:pPr>
              <w:jc w:val="center"/>
              <w:ind w:right="191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4160" w:type="dxa"/>
            <w:vAlign w:val="bottom"/>
          </w:tcPr>
          <w:p>
            <w:pPr>
              <w:jc w:val="center"/>
              <w:ind w:left="1370"/>
              <w:spacing w:after="0"/>
              <w:rPr>
                <w:sz w:val="20"/>
                <w:szCs w:val="20"/>
                <w:color w:val="auto"/>
              </w:rPr>
            </w:pPr>
            <w:r>
              <w:rPr>
                <w:rFonts w:ascii="Arial" w:cs="Arial" w:eastAsia="Arial" w:hAnsi="Arial"/>
                <w:sz w:val="18"/>
                <w:szCs w:val="18"/>
                <w:b w:val="1"/>
                <w:bCs w:val="1"/>
                <w:i w:val="1"/>
                <w:iCs w:val="1"/>
                <w:color w:val="auto"/>
                <w:w w:val="87"/>
              </w:rPr>
              <w:t>incorporation or organization)</w:t>
            </w: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9"/>
              </w:rPr>
              <w:t>Identification number)</w:t>
            </w:r>
          </w:p>
        </w:tc>
      </w:tr>
      <w:tr>
        <w:trPr>
          <w:trHeight w:val="405"/>
        </w:trPr>
        <w:tc>
          <w:tcPr>
            <w:tcW w:w="4160" w:type="dxa"/>
            <w:vAlign w:val="bottom"/>
          </w:tcPr>
          <w:p>
            <w:pPr>
              <w:ind w:left="1740"/>
              <w:spacing w:after="0"/>
              <w:rPr>
                <w:sz w:val="20"/>
                <w:szCs w:val="20"/>
                <w:color w:val="auto"/>
              </w:rPr>
            </w:pPr>
            <w:r>
              <w:rPr>
                <w:rFonts w:ascii="Arial" w:cs="Arial" w:eastAsia="Arial" w:hAnsi="Arial"/>
                <w:sz w:val="18"/>
                <w:szCs w:val="18"/>
                <w:b w:val="1"/>
                <w:bCs w:val="1"/>
                <w:color w:val="auto"/>
                <w:w w:val="90"/>
              </w:rPr>
              <w:t>Regal House, 70 London Road,</w:t>
            </w:r>
          </w:p>
        </w:tc>
        <w:tc>
          <w:tcPr>
            <w:tcW w:w="1800" w:type="dxa"/>
            <w:vAlign w:val="bottom"/>
            <w:gridSpan w:val="2"/>
          </w:tcPr>
          <w:p>
            <w:pPr>
              <w:ind w:left="660"/>
              <w:spacing w:after="0"/>
              <w:rPr>
                <w:sz w:val="20"/>
                <w:szCs w:val="20"/>
                <w:color w:val="auto"/>
              </w:rPr>
            </w:pPr>
            <w:r>
              <w:rPr>
                <w:rFonts w:ascii="Arial" w:cs="Arial" w:eastAsia="Arial" w:hAnsi="Arial"/>
                <w:sz w:val="18"/>
                <w:szCs w:val="18"/>
                <w:b w:val="1"/>
                <w:bCs w:val="1"/>
                <w:color w:val="auto"/>
                <w:w w:val="99"/>
              </w:rPr>
              <w:t>Twickenham,</w:t>
            </w:r>
          </w:p>
        </w:tc>
        <w:tc>
          <w:tcPr>
            <w:tcW w:w="2000" w:type="dxa"/>
            <w:vAlign w:val="bottom"/>
          </w:tcPr>
          <w:p>
            <w:pPr>
              <w:ind w:left="300"/>
              <w:spacing w:after="0"/>
              <w:rPr>
                <w:sz w:val="20"/>
                <w:szCs w:val="20"/>
                <w:color w:val="auto"/>
              </w:rPr>
            </w:pPr>
            <w:r>
              <w:rPr>
                <w:rFonts w:ascii="Arial" w:cs="Arial" w:eastAsia="Arial" w:hAnsi="Arial"/>
                <w:sz w:val="18"/>
                <w:szCs w:val="18"/>
                <w:b w:val="1"/>
                <w:bCs w:val="1"/>
                <w:color w:val="auto"/>
              </w:rPr>
              <w:t>London,  TW13QS</w:t>
            </w:r>
          </w:p>
        </w:tc>
        <w:tc>
          <w:tcPr>
            <w:tcW w:w="3460" w:type="dxa"/>
            <w:vAlign w:val="bottom"/>
          </w:tcPr>
          <w:p>
            <w:pPr>
              <w:ind w:left="300"/>
              <w:spacing w:after="0"/>
              <w:rPr>
                <w:sz w:val="20"/>
                <w:szCs w:val="20"/>
                <w:color w:val="auto"/>
              </w:rPr>
            </w:pPr>
            <w:r>
              <w:rPr>
                <w:rFonts w:ascii="Arial" w:cs="Arial" w:eastAsia="Arial" w:hAnsi="Arial"/>
                <w:sz w:val="18"/>
                <w:szCs w:val="18"/>
                <w:b w:val="1"/>
                <w:bCs w:val="1"/>
                <w:color w:val="auto"/>
              </w:rPr>
              <w:t>United Kingdom</w:t>
            </w:r>
          </w:p>
        </w:tc>
      </w:tr>
      <w:tr>
        <w:trPr>
          <w:trHeight w:val="27"/>
        </w:trPr>
        <w:tc>
          <w:tcPr>
            <w:tcW w:w="41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3800" w:type="dxa"/>
            <w:vAlign w:val="bottom"/>
            <w:gridSpan w:val="3"/>
          </w:tcPr>
          <w:p>
            <w:pPr>
              <w:jc w:val="center"/>
              <w:ind w:right="61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bl>
    <w:p>
      <w:pPr>
        <w:spacing w:after="0" w:line="9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44-74-9421-6154</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Trading Symbol(s)</w:t>
            </w:r>
          </w:p>
        </w:tc>
        <w:tc>
          <w:tcPr>
            <w:tcW w:w="3340" w:type="dxa"/>
            <w:vAlign w:val="bottom"/>
          </w:tcPr>
          <w:p>
            <w:pP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4680" w:type="dxa"/>
            <w:vAlign w:val="bottom"/>
            <w:gridSpan w:val="2"/>
          </w:tcPr>
          <w:p>
            <w:pPr>
              <w:spacing w:after="0"/>
              <w:rPr>
                <w:sz w:val="20"/>
                <w:szCs w:val="20"/>
                <w:color w:val="auto"/>
              </w:rPr>
            </w:pPr>
            <w:r>
              <w:rPr>
                <w:rFonts w:ascii="Arial" w:cs="Arial" w:eastAsia="Arial" w:hAnsi="Arial"/>
                <w:sz w:val="18"/>
                <w:szCs w:val="18"/>
                <w:color w:val="auto"/>
              </w:rPr>
              <w:t>Ordinary Shares, nominal value $0.01 per share</w:t>
            </w:r>
          </w:p>
        </w:tc>
        <w:tc>
          <w:tcPr>
            <w:tcW w:w="2060" w:type="dxa"/>
            <w:vAlign w:val="bottom"/>
            <w:gridSpan w:val="2"/>
          </w:tcPr>
          <w:p>
            <w:pPr>
              <w:ind w:left="820"/>
              <w:spacing w:after="0"/>
              <w:rPr>
                <w:sz w:val="20"/>
                <w:szCs w:val="20"/>
                <w:color w:val="auto"/>
              </w:rPr>
            </w:pPr>
            <w:r>
              <w:rPr>
                <w:rFonts w:ascii="Arial" w:cs="Arial" w:eastAsia="Arial" w:hAnsi="Arial"/>
                <w:sz w:val="18"/>
                <w:szCs w:val="18"/>
                <w:color w:val="auto"/>
              </w:rPr>
              <w:t>PNR</w:t>
            </w:r>
          </w:p>
        </w:tc>
        <w:tc>
          <w:tcPr>
            <w:tcW w:w="3340" w:type="dxa"/>
            <w:vAlign w:val="bottom"/>
          </w:tcPr>
          <w:p>
            <w:pPr>
              <w:spacing w:after="0"/>
              <w:rPr>
                <w:sz w:val="20"/>
                <w:szCs w:val="20"/>
                <w:color w:val="auto"/>
              </w:rPr>
            </w:pPr>
            <w:r>
              <w:rPr>
                <w:rFonts w:ascii="Arial" w:cs="Arial" w:eastAsia="Arial" w:hAnsi="Arial"/>
                <w:sz w:val="18"/>
                <w:szCs w:val="18"/>
                <w:color w:val="auto"/>
              </w:rPr>
              <w:t>New York Stock Exchange</w:t>
            </w:r>
          </w:p>
        </w:tc>
      </w:tr>
    </w:tbl>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61" w:lineRule="exact"/>
        <w:rPr>
          <w:sz w:val="24"/>
          <w:szCs w:val="24"/>
          <w:color w:val="auto"/>
        </w:rPr>
      </w:pPr>
    </w:p>
    <w:p>
      <w:pPr>
        <w:ind w:left="180" w:right="2320" w:hanging="179"/>
        <w:spacing w:after="0" w:line="290" w:lineRule="exact"/>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4" w:lineRule="exact"/>
        <w:rPr>
          <w:sz w:val="24"/>
          <w:szCs w:val="24"/>
          <w:color w:val="auto"/>
        </w:rPr>
      </w:pPr>
    </w:p>
    <w:p>
      <w:pPr>
        <w:ind w:left="180" w:right="2160" w:hanging="179"/>
        <w:spacing w:after="0" w:line="290" w:lineRule="exact"/>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54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100" w:type="dxa"/>
            <w:vAlign w:val="bottom"/>
            <w:vMerge w:val="restart"/>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440" w:type="dxa"/>
            <w:vAlign w:val="bottom"/>
            <w:vMerge w:val="restart"/>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66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56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vMerge w:val="continue"/>
          </w:tcPr>
          <w:p>
            <w:pPr>
              <w:spacing w:after="0"/>
              <w:rPr>
                <w:sz w:val="21"/>
                <w:szCs w:val="21"/>
                <w:color w:val="auto"/>
              </w:rPr>
            </w:pPr>
          </w:p>
        </w:tc>
        <w:tc>
          <w:tcPr>
            <w:tcW w:w="244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0"/>
              </w:rPr>
              <w:t>company</w:t>
            </w:r>
          </w:p>
        </w:tc>
        <w:tc>
          <w:tcPr>
            <w:tcW w:w="560" w:type="dxa"/>
            <w:vAlign w:val="bottom"/>
            <w:vMerge w:val="continue"/>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2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jc w:val="both"/>
        <w:ind w:right="140"/>
        <w:spacing w:after="0" w:line="334" w:lineRule="auto"/>
        <w:rPr>
          <w:sz w:val="20"/>
          <w:szCs w:val="20"/>
          <w:color w:val="auto"/>
        </w:rPr>
      </w:pPr>
      <w:r>
        <w:rPr>
          <w:rFonts w:ascii="Arial" w:cs="Arial" w:eastAsia="Arial" w:hAnsi="Arial"/>
          <w:sz w:val="16"/>
          <w:szCs w:val="16"/>
          <w:color w:val="auto"/>
        </w:rPr>
        <w:t>Aggregate market value of voting and non-voting common equity held by non-affiliates of the Registrant, based on the closing price of $37.20 per share as reported on the New York Stock Exchange on June 28, 2019 (the last business day of Registrant’s most recently completed second quarter): $6,191,407,033.</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only class of common stock on December 31, 2019 was 168,293,375.</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Parts of the Registrant’s definitive proxy statement for its annual general meeting to be held on May 5, 2020, are incorporated by reference in this Form 10-K in response to Part III, ITEM 10, 11, 12, 13 and 14.</w:t>
      </w:r>
    </w:p>
    <w:p>
      <w:pPr>
        <w:sectPr>
          <w:pgSz w:w="11900" w:h="16838" w:orient="portrait"/>
          <w:cols w:equalWidth="0" w:num="1">
            <w:col w:w="11420"/>
          </w:cols>
          <w:pgMar w:left="240" w:top="111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w w:val="91"/>
              </w:rPr>
              <w:t>Pentair plc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3"/>
              </w:rPr>
              <w:t>Annual Report on Form 10-K</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320" w:type="dxa"/>
            <w:vAlign w:val="bottom"/>
            <w:gridSpan w:val="8"/>
            <w:vMerge w:val="restart"/>
          </w:tcPr>
          <w:p>
            <w:pPr>
              <w:jc w:val="center"/>
              <w:ind w:right="4060"/>
              <w:spacing w:after="0"/>
              <w:rPr>
                <w:sz w:val="20"/>
                <w:szCs w:val="20"/>
                <w:color w:val="auto"/>
              </w:rPr>
            </w:pPr>
            <w:r>
              <w:rPr>
                <w:rFonts w:ascii="Arial" w:cs="Arial" w:eastAsia="Arial" w:hAnsi="Arial"/>
                <w:sz w:val="18"/>
                <w:szCs w:val="18"/>
                <w:b w:val="1"/>
                <w:bCs w:val="1"/>
                <w:color w:val="auto"/>
                <w:w w:val="98"/>
              </w:rPr>
              <w:t>PART I</w:t>
            </w: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20" w:type="dxa"/>
            <w:vAlign w:val="bottom"/>
            <w:gridSpan w:val="8"/>
            <w:vMerge w:val="continue"/>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000" w:type="dxa"/>
            <w:vAlign w:val="bottom"/>
            <w:gridSpan w:val="19"/>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7740" w:type="dxa"/>
            <w:vAlign w:val="bottom"/>
            <w:gridSpan w:val="17"/>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Unresolved Staff Comments</w:t>
              </w:r>
            </w:hyperlink>
          </w:p>
        </w:tc>
        <w:tc>
          <w:tcPr>
            <w:tcW w:w="660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rFonts w:ascii="Arial" w:cs="Arial" w:eastAsia="Arial" w:hAnsi="Arial"/>
                <w:sz w:val="18"/>
                <w:szCs w:val="18"/>
                <w:color w:val="0000EE"/>
                <w:w w:val="82"/>
              </w:rPr>
            </w:pPr>
            <w:hyperlink w:anchor="page17">
              <w:r>
                <w:rPr>
                  <w:rFonts w:ascii="Arial" w:cs="Arial" w:eastAsia="Arial" w:hAnsi="Arial"/>
                  <w:sz w:val="18"/>
                  <w:szCs w:val="18"/>
                  <w:color w:val="0000EE"/>
                  <w:w w:val="82"/>
                </w:rPr>
                <w:t>Properties</w:t>
              </w:r>
            </w:hyperlink>
          </w:p>
        </w:tc>
        <w:tc>
          <w:tcPr>
            <w:tcW w:w="1320" w:type="dxa"/>
            <w:vAlign w:val="bottom"/>
            <w:gridSpan w:val="7"/>
          </w:tcPr>
          <w:p>
            <w:pPr>
              <w:spacing w:after="0"/>
              <w:rPr>
                <w:sz w:val="24"/>
                <w:szCs w:val="24"/>
                <w:color w:val="auto"/>
              </w:rPr>
            </w:pPr>
          </w:p>
        </w:tc>
        <w:tc>
          <w:tcPr>
            <w:tcW w:w="660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3.</w:t>
            </w:r>
          </w:p>
        </w:tc>
        <w:tc>
          <w:tcPr>
            <w:tcW w:w="864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4.</w:t>
            </w:r>
          </w:p>
        </w:tc>
        <w:tc>
          <w:tcPr>
            <w:tcW w:w="86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rPr>
              <w:t>PART II</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Arial" w:cs="Arial" w:eastAsia="Arial" w:hAnsi="Arial"/>
                <w:sz w:val="18"/>
                <w:szCs w:val="18"/>
                <w:color w:val="auto"/>
              </w:rPr>
              <w:t>ITEM 5.</w:t>
            </w:r>
          </w:p>
        </w:tc>
        <w:tc>
          <w:tcPr>
            <w:tcW w:w="8640" w:type="dxa"/>
            <w:vAlign w:val="bottom"/>
            <w:gridSpan w:val="20"/>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Market for Registrant’s Common Equity, Related Stockholder Matters and Issuer Purchases of Equity Securities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6.</w:t>
            </w:r>
          </w:p>
        </w:tc>
        <w:tc>
          <w:tcPr>
            <w:tcW w:w="1700" w:type="dxa"/>
            <w:vAlign w:val="bottom"/>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Selected Financial Data</w:t>
              </w:r>
            </w:hyperlink>
          </w:p>
        </w:tc>
        <w:tc>
          <w:tcPr>
            <w:tcW w:w="636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7.</w:t>
            </w:r>
          </w:p>
        </w:tc>
        <w:tc>
          <w:tcPr>
            <w:tcW w:w="864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4"/>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Quantitative and Qualitative Disclosures about Market Risk</w:t>
              </w:r>
            </w:hyperlink>
          </w:p>
        </w:tc>
        <w:tc>
          <w:tcPr>
            <w:tcW w:w="2140" w:type="dxa"/>
            <w:vAlign w:val="bottom"/>
            <w:gridSpan w:val="2"/>
          </w:tcPr>
          <w:p>
            <w:pPr>
              <w:spacing w:after="0"/>
              <w:rPr>
                <w:sz w:val="24"/>
                <w:szCs w:val="24"/>
                <w:color w:val="auto"/>
              </w:rPr>
            </w:pPr>
          </w:p>
        </w:tc>
        <w:tc>
          <w:tcPr>
            <w:tcW w:w="2200" w:type="dxa"/>
            <w:vAlign w:val="bottom"/>
            <w:gridSpan w:val="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2"/>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Financial Statements and Supplementary Data</w:t>
              </w:r>
            </w:hyperlink>
          </w:p>
        </w:tc>
        <w:tc>
          <w:tcPr>
            <w:tcW w:w="980" w:type="dxa"/>
            <w:vAlign w:val="bottom"/>
            <w:gridSpan w:val="2"/>
          </w:tcPr>
          <w:p>
            <w:pPr>
              <w:spacing w:after="0"/>
              <w:rPr>
                <w:sz w:val="24"/>
                <w:szCs w:val="24"/>
                <w:color w:val="auto"/>
              </w:rPr>
            </w:pPr>
          </w:p>
        </w:tc>
        <w:tc>
          <w:tcPr>
            <w:tcW w:w="4340" w:type="dxa"/>
            <w:vAlign w:val="bottom"/>
            <w:gridSpan w:val="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9.</w:t>
            </w:r>
          </w:p>
        </w:tc>
        <w:tc>
          <w:tcPr>
            <w:tcW w:w="864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9A.</w:t>
            </w:r>
          </w:p>
        </w:tc>
        <w:tc>
          <w:tcPr>
            <w:tcW w:w="1760" w:type="dxa"/>
            <w:vAlign w:val="bottom"/>
            <w:gridSpan w:val="7"/>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Controls and Procedures</w:t>
              </w:r>
            </w:hyperlink>
          </w:p>
        </w:tc>
        <w:tc>
          <w:tcPr>
            <w:tcW w:w="4700" w:type="dxa"/>
            <w:vAlign w:val="bottom"/>
            <w:gridSpan w:val="10"/>
          </w:tcPr>
          <w:p>
            <w:pPr>
              <w:spacing w:after="0"/>
              <w:rPr>
                <w:sz w:val="24"/>
                <w:szCs w:val="24"/>
                <w:color w:val="auto"/>
              </w:rPr>
            </w:pPr>
          </w:p>
        </w:tc>
        <w:tc>
          <w:tcPr>
            <w:tcW w:w="218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6880" w:type="dxa"/>
            <w:vAlign w:val="bottom"/>
            <w:gridSpan w:val="1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Arial" w:cs="Arial" w:eastAsia="Arial" w:hAnsi="Arial"/>
                <w:sz w:val="18"/>
                <w:szCs w:val="18"/>
                <w:color w:val="auto"/>
              </w:rPr>
              <w:t>ITEM 10.</w:t>
            </w:r>
          </w:p>
        </w:tc>
        <w:tc>
          <w:tcPr>
            <w:tcW w:w="8640" w:type="dxa"/>
            <w:vAlign w:val="bottom"/>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Directors, Executive Officers and Corporate Governance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4"/>
                <w:szCs w:val="24"/>
                <w:color w:val="auto"/>
              </w:rPr>
            </w:pPr>
          </w:p>
        </w:tc>
        <w:tc>
          <w:tcPr>
            <w:tcW w:w="456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12.</w:t>
            </w:r>
          </w:p>
        </w:tc>
        <w:tc>
          <w:tcPr>
            <w:tcW w:w="8640" w:type="dxa"/>
            <w:vAlign w:val="bottom"/>
            <w:gridSpan w:val="2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13.</w:t>
            </w:r>
          </w:p>
        </w:tc>
        <w:tc>
          <w:tcPr>
            <w:tcW w:w="5400" w:type="dxa"/>
            <w:vAlign w:val="bottom"/>
            <w:gridSpan w:val="15"/>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Certain Relationships and Related Transactions and Director Independence</w:t>
              </w:r>
            </w:hyperlink>
          </w:p>
        </w:tc>
        <w:tc>
          <w:tcPr>
            <w:tcW w:w="188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14.</w:t>
            </w:r>
          </w:p>
        </w:tc>
        <w:tc>
          <w:tcPr>
            <w:tcW w:w="5400" w:type="dxa"/>
            <w:vAlign w:val="bottom"/>
            <w:gridSpan w:val="1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Principal Accounting Fees and Services</w:t>
              </w:r>
            </w:hyperlink>
          </w:p>
        </w:tc>
        <w:tc>
          <w:tcPr>
            <w:tcW w:w="3240" w:type="dxa"/>
            <w:vAlign w:val="bottom"/>
            <w:gridSpan w:val="5"/>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rPr>
              <w:t>PART IV</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Arial" w:cs="Arial" w:eastAsia="Arial" w:hAnsi="Arial"/>
                <w:sz w:val="18"/>
                <w:szCs w:val="18"/>
                <w:color w:val="auto"/>
              </w:rPr>
              <w:t>ITEM 15.</w:t>
            </w:r>
          </w:p>
        </w:tc>
        <w:tc>
          <w:tcPr>
            <w:tcW w:w="8640" w:type="dxa"/>
            <w:vAlign w:val="bottom"/>
            <w:gridSpan w:val="2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Exhibits and Financial Statement Schedules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16.</w:t>
            </w:r>
          </w:p>
        </w:tc>
        <w:tc>
          <w:tcPr>
            <w:tcW w:w="3140" w:type="dxa"/>
            <w:vAlign w:val="bottom"/>
            <w:gridSpan w:val="1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Form 10-K Summary</w:t>
              </w:r>
            </w:hyperlink>
          </w:p>
        </w:tc>
        <w:tc>
          <w:tcPr>
            <w:tcW w:w="5500" w:type="dxa"/>
            <w:vAlign w:val="bottom"/>
            <w:gridSpan w:val="9"/>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4"/>
                <w:szCs w:val="24"/>
                <w:color w:val="auto"/>
              </w:rPr>
            </w:pPr>
          </w:p>
        </w:tc>
        <w:tc>
          <w:tcPr>
            <w:tcW w:w="720" w:type="dxa"/>
            <w:vAlign w:val="bottom"/>
            <w:gridSpan w:val="2"/>
          </w:tcPr>
          <w:p>
            <w:pPr>
              <w:spacing w:after="0"/>
              <w:rPr>
                <w:rFonts w:ascii="Arial" w:cs="Arial" w:eastAsia="Arial" w:hAnsi="Arial"/>
                <w:sz w:val="18"/>
                <w:szCs w:val="18"/>
                <w:color w:val="0000EE"/>
                <w:w w:val="78"/>
              </w:rPr>
            </w:pPr>
            <w:hyperlink w:anchor="page100">
              <w:r>
                <w:rPr>
                  <w:rFonts w:ascii="Arial" w:cs="Arial" w:eastAsia="Arial" w:hAnsi="Arial"/>
                  <w:sz w:val="18"/>
                  <w:szCs w:val="18"/>
                  <w:color w:val="0000EE"/>
                  <w:w w:val="78"/>
                </w:rPr>
                <w:t>Signatures</w:t>
              </w:r>
            </w:hyperlink>
          </w:p>
        </w:tc>
        <w:tc>
          <w:tcPr>
            <w:tcW w:w="820" w:type="dxa"/>
            <w:vAlign w:val="bottom"/>
            <w:gridSpan w:val="3"/>
          </w:tcPr>
          <w:p>
            <w:pPr>
              <w:spacing w:after="0"/>
              <w:rPr>
                <w:sz w:val="24"/>
                <w:szCs w:val="24"/>
                <w:color w:val="auto"/>
              </w:rPr>
            </w:pPr>
          </w:p>
        </w:tc>
        <w:tc>
          <w:tcPr>
            <w:tcW w:w="7100" w:type="dxa"/>
            <w:vAlign w:val="bottom"/>
            <w:gridSpan w:val="15"/>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At Pentair plc, we believe the health of our world depends on reliable access to clean, safe water. We deliver a comprehensive range of smart, sustainable water solutions to homes, business and industry around the world. Whether it’s improving, moving or enjoying water, we help manage the world’s most precious resource. Smart, Sustainable Water Solutions. For Life.</w:t>
      </w:r>
    </w:p>
    <w:p>
      <w:pPr>
        <w:spacing w:after="0" w:line="1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2019, Pentair plc was comprised of three reportable business segments: Aquatic Systems, Filtration Solutions and Flow Technologies. See below for further discussion of each of these segments.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strategy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vision is to be the leading residential and commercial water treatment company. As a pure play water company, we are:</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Focused on strategies to advance pool growth and accelerate residential and commercial water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by innovation and digital transformation; and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Grounded in Win Right values and utilizing the Pentair Integrated Management System (“PIMS”) consisting of lean enterprise, growth and talent management to drive sustained and consistent performance.</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the context otherwise indicates, references herein to “Pentair,” the “Company,” and such words as “we,” “us,” and “our” include Pentair plc and its consolidated subsidiaries. 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 Although our jurisdiction of organization is Ireland, we manage our affairs so that we are centrally managed and controlled in the United Kingdom (the “U.K.”) and therefore have our tax residency in the U.K.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DEVELOPMENT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On April 28, 2017, we completed the sale of the Valves &amp; Controls business to Emerson Electric Co. for $3.15 billion in cash. The sale resulted in a gain of</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$181.1 million, net of tax. The results of the Valves &amp; Controls business have been presented as discontinued operations. The Valves &amp; Controls business was previously disclosed as a stand-alone reporting segment.</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30, 2018, Pentair completed the separation of its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On May 1, 2018, following the Separation and Distribution, nVent became an independent publicly traded company, trading on the New York Stock Exchange under the symbol “NVT.” The Company did not retain any equity interest in nVent. nVent’s historical financial results are reflected in the Company’s consolidated financial statements as a discontinued operation. Refer to Note 2 for further discussion.</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registered principal office is located at Regal House, 70 London Road, Twickenham, London, TW13QS United Kingdom. Our management office in the United States (“U.S.”) is located at 5500 Wayzata Boulevard, Suite 900, Minneapolis, Minnesota.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PRODUCTS</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following is a brief description of each of the Company’s 2019 reportable segments and business activities. Commencing with the first quarter of 2020 we revised our segments, going from three segments to two with the two revised segments named Consumer Solutions and Industrial &amp; Flow Technologies. The discussions below that speak to historical periods refer to the prior segments, while statements about present and future periods refer to the businesses underlying those segments and carry forward with those businesses (including our customers, seasonality and competition) in their re-segmented form. Additional information regarding this re-segmentation is found below under the section titled “New Segmentation.”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Aquatic Systems</w:t>
      </w:r>
    </w:p>
    <w:p>
      <w:pPr>
        <w:spacing w:after="0" w:line="2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Aquatic Systems segment manufactures and sells a complete line of energy-efficient residential and commercial pool equipment and accessories including pumps, filters, heaters, lights, automatic controls, automatic cleaners, maintenance equipment and pool accessories. Applications for our Aquatic Systems products include residential and commercial pool maintenance, pool repair, renovation, service and construction solutions.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Brand names for Aquatic Systems include Kreepy Krauly, Pentair and Sta-Rite.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5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jc w:val="both"/>
        <w:ind w:right="540"/>
        <w:spacing w:after="0" w:line="323" w:lineRule="auto"/>
        <w:rPr>
          <w:sz w:val="20"/>
          <w:szCs w:val="20"/>
          <w:color w:val="auto"/>
        </w:rPr>
      </w:pPr>
      <w:r>
        <w:rPr>
          <w:rFonts w:ascii="Arial" w:cs="Arial" w:eastAsia="Arial" w:hAnsi="Arial"/>
          <w:sz w:val="16"/>
          <w:szCs w:val="16"/>
          <w:color w:val="auto"/>
        </w:rPr>
        <w:t>Aquatic Systems customers include businesses engaged in wholesale and retail distribution in the residential &amp; commercial verticals. Customers in the residential &amp; commercial verticals also include end-users and consumers. Pentair’s verticals include residential, commercial, and industrial businesses.</w:t>
      </w:r>
    </w:p>
    <w:p>
      <w:pPr>
        <w:spacing w:after="0" w:line="139" w:lineRule="exact"/>
        <w:rPr>
          <w:sz w:val="20"/>
          <w:szCs w:val="20"/>
          <w:color w:val="auto"/>
        </w:rPr>
      </w:pPr>
    </w:p>
    <w:p>
      <w:pPr>
        <w:ind w:right="440"/>
        <w:spacing w:after="0" w:line="352" w:lineRule="auto"/>
        <w:rPr>
          <w:sz w:val="20"/>
          <w:szCs w:val="20"/>
          <w:color w:val="auto"/>
        </w:rPr>
      </w:pPr>
      <w:r>
        <w:rPr>
          <w:rFonts w:ascii="Arial" w:cs="Arial" w:eastAsia="Arial" w:hAnsi="Arial"/>
          <w:sz w:val="18"/>
          <w:szCs w:val="18"/>
          <w:color w:val="auto"/>
        </w:rPr>
        <w:t xml:space="preserve">One customer of the Aquatic Systems segment, Pool Corporation, represented approximately 15% of our consolidated net sales in 2019, 2018 and 2017. </w:t>
      </w:r>
      <w:r>
        <w:rPr>
          <w:rFonts w:ascii="Arial" w:cs="Arial" w:eastAsia="Arial" w:hAnsi="Arial"/>
          <w:sz w:val="18"/>
          <w:szCs w:val="18"/>
          <w:b w:val="1"/>
          <w:bCs w:val="1"/>
          <w:i w:val="1"/>
          <w:iCs w:val="1"/>
          <w:color w:val="auto"/>
        </w:rPr>
        <w:t>Seasonality</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experience seasonal demand with several end customers and end-users within Aquatic Systems. End-user demand for pool equipment follows warm weather trends and is at season highs from April to August. The magnitude of the sales increase is mitigated by employing some advance sale “early buy” programs (generally including extended payment terms and/or additional discounts).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Aquatic Systems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 We believe our distribution channels and reputation for quality also provide us a competitive advantage.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Filtration Solutions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Filtration Solutions segment designs, manufactures, markets and services innovative water solutions to meet filtration and separation challenges across residential, commercial, food &amp; beverage and industrial applications.</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Filtration Solutions offers a comprehensive product suite of components and systems that ranges from point-of-entry and point-of-use filtration, valves and automated controls for residential and commercial applications as well as advanced filtration, oil &amp; gas separation, membrane technology, and energy recovery for food &amp; beverage and industrial applications. Our equipment and solutions are found in water purification and sanitation systems, food service operations, food &amp; beverage processing plants and in other applications across the globe.</w:t>
      </w:r>
    </w:p>
    <w:p>
      <w:pPr>
        <w:spacing w:after="0" w:line="29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portfolio of products serves a range of industries, including use in the commercial, residential and industrial verticals. Brand names for Filtration Solutions offerings include Codeline, Everpure, Haffmans, Pelican, RainSoft, Südmo and X-Flow.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Filtration Solutions customers include businesses engaged in wholesale and retail distribution in the residential, commercial, food &amp; beverage and industrial verticals. Customers in the residential and commercial vertical also include end-users, consumers and original equipment manufacturers.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We experience seasonal demand with several end customers and end-users within Filtration Solutions. End-user demand for water filtration products generally follows warm weather trends and is at seasonal highs from April to July.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Filtration Solutions faces numerous domestic and international competitors, some of which have substantially greater resources directed to the verticals in which we compete. Competition focuses on brand names, product performance (including required specification), quality and price. We compete by offering a wide variety of innovative and high-quality products, which are competitively priced. We believe our distribution channels and reputation for quality also provide us a competitive advantage.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Flow Technologies</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Flow Technologies segment manufactures and sells products ranging from light duty diaphragm pumps to high-flow turbine pumps and 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29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Brand names for Flow Technologies include Aurora, Berkeley, Fairbanks-Nijhuis, Hydromatic, Hypro, Jung Pumpen, Pentair, Myers, Sta-Rite, and Shurflo.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Flow Technologies customers include businesses engaged in wholesale and retail distribution in the residential &amp; commercial, food &amp; beverage and industrial verticals. Customers also include end-users and consumers in the residential &amp; commercial vertical.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experience increased demand for residential water supply, infrastructure and agricultural products following warm weather trends, which are at season highs from April to August. The magnitude of the sales increase is mitigated by employing some advance sale “early buy” programs (generally including extended payment terms and/or additional discounts). Seasonal effects may vary from year to year and are impacted by weather patterns, particularly by temperatures, heavy flooding and droughts.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Flow Technologies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SEGMENTATION</w:t>
      </w:r>
    </w:p>
    <w:p>
      <w:pPr>
        <w:spacing w:after="0" w:line="17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the first quarter of 2020, we reorganized our business segments to better align our organization with our strategies and to better align with our customer base, resulting in a change to our reporting segments in 2020. We believe the new alignment into a business-to-consumer focused segment, Consumer Solutions, and primarily business-to-business driven segment, Industrial &amp; Flow Technologies, better positions our teams to build upon our core strengths, more aggressively pursue our growth opportunities, increase productivity, and enhance profitability.</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part of this reorganization, the legacy Aquatic Systems reporting segment was combined with the Residential and Commercial Systems and Components businesses of the legacy Filtrations Solutions reporting segment to form the Consumer Solutions reporting segment. In addition, the Industrial Filtration and Food and Beverage businesses of the legacy Filtration Solutions reporting segment were combined with the legacy Flow Technologies reporting segment to form the Industrial &amp; Flow Technologies reporting segment. All segment information presented throughout this Annual Report on Form 10-K, with exception of the table below, was prepared based on the reporting segments in place during 2019.</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below table presents net sales and segment income under the revised reporting segments (Consumer Solutions and Industrial &amp; Flow Technologies) for the years ended December 31, 2019, 2018 and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Consumer Solutions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1,578.4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1,489.5</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&amp; Flow Technologies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Solutions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Industrial &amp; Flow Technologies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199.0</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198.8</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177.2</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536.8</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496.5</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1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INFORMATION REGARDING ALL REPORTABLE SEGMENTS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40"/>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Backlog of orders by segment</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December 31</w:t>
            </w:r>
          </w:p>
        </w:tc>
        <w:tc>
          <w:tcPr>
            <w:tcW w:w="1420" w:type="dxa"/>
            <w:vAlign w:val="bottom"/>
          </w:tcPr>
          <w:p>
            <w:pPr>
              <w:spacing w:after="0"/>
              <w:rPr>
                <w:sz w:val="24"/>
                <w:szCs w:val="24"/>
                <w:color w:val="auto"/>
              </w:rPr>
            </w:pPr>
          </w:p>
        </w:tc>
      </w:tr>
      <w:tr>
        <w:trPr>
          <w:trHeight w:val="34"/>
        </w:trPr>
        <w:tc>
          <w:tcPr>
            <w:tcW w:w="5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34"/>
        </w:trPr>
        <w:tc>
          <w:tcPr>
            <w:tcW w:w="5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76.1</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(20.1)</w:t>
            </w:r>
          </w:p>
        </w:tc>
        <w:tc>
          <w:tcPr>
            <w:tcW w:w="14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substantial portion of our revenues result from orders received and products delivered in the same month. Our backlog typically has a short manufacturing cycle and products generally ship within 90 days of the date on which a customer places an order. However, a portion of our backlog, particularly from orders for major capital projects, can take more than one year depending on the size and type of order. We record as part of our backlog all orders from external customers, which represent firm commitments, and are supported by a purchase order or other legitimate contract. We expect the majority of our backlog at December 31, 2019 will be shipped in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conduct research and development activities primarily in our own facilities. These efforts consist primarily of the development of new products, product applications and manufacturing processes.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principal materials we use in manufacturing our products are electric motors, mild steel, stainless steel, electronic components, plastics (resins, fiberglass, epoxies), copper and paint (powder and liquid). In addition to the purchase of raw materials, we purchase some finished goods for distribution through our sales channels.</w:t>
      </w:r>
    </w:p>
    <w:p>
      <w:pPr>
        <w:spacing w:after="0" w:line="13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purchase the materials we use in various manufacturing processes on the open market, and the majority is available through multiple sources which are in adequate supply. We have not experienced any significant work stoppages to date due to shortages of materials. We have certain long-term commitments, principally price commitments, for the purchase of various component parts and raw materials and believe that it is unlikely that any of these agreements would be terminated prematurely. Alternate sources of supply at competitive prices are available for most materials for which long-term commitments exist, and we believe that the termination of any of these commitments would not have a material adverse effect on our financial position, results of operations or cash flows.</w:t>
      </w:r>
    </w:p>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commodities, such as metals and resin, are subject to market and duty-driven price fluctuations. We manage these fluctuations through several mechanisms, including long-term agreements with price adjustment clauses for significant commodity market movements in certain circumstances. Prices for raw materials, such as metals and resins, may trend higher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spacing w:after="0" w:line="13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employed approximately 9,500 people worldwide.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Captive insurance subsidiary</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 portion of our property and casualty insurance program is insured through our regulated wholly-owned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spacing w:after="0" w:line="10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Matters pertaining to Penwald are discussed in ITEM 3 and ITEM 8, Note 1 of the Notes to Consolidated Financial Statements – Insurance subsidiary, included in this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make available free of charge (other than an investor’s own Internet access charges) through our Internet website (</w:t>
      </w:r>
      <w:r>
        <w:rPr>
          <w:rFonts w:ascii="Arial" w:cs="Arial" w:eastAsia="Arial" w:hAnsi="Arial"/>
          <w:sz w:val="18"/>
          <w:szCs w:val="18"/>
          <w:u w:val="single" w:color="auto"/>
          <w:color w:val="auto"/>
        </w:rPr>
        <w:t>http://www.pentair.com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global economic and business conditions affect demand for our products.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compete in various geographic regions and product markets around the world. Among these, the most significant are global industrial, commercial, and residential markets. We have experienced, and expect to continue to experience, fluctuations in revenues and results of operations due to economic and business cycles. Important factors for our businesses and the businesses of our customers include the overall strength of the global economy and various regional economies and our customers’ confidence in these economies, industrial and governmental capital spending, the strength of the residential and commercial real estate markets, the residential housing market, the commercial business climate, unemployment rates, availability of consumer and commercial financing, interest rates, and energy and commodity prices.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spacing w:after="0" w:line="28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We compete in attractive markets with a high level of competition, which may result in pressure on our profit margins and limit our ability to maintain or increase the market share of our products.</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markets for our products and services are geographically diverse and highly competitive. We compete against large and well-established national and global companies, as well as regional and local companies and lower cost manufacturers. Competition may also result from new entrants into the markets we serve, offering products and/or services that compete with us. We compete based on technical expertise, intellectual property, reputation for quality and reliability, timeliness of delivery, previous installation history, contractual terms, service offerings, customer experience and service, and price. Competition may also result from new entrants into the markets we serve, offering products and/or services that compete with us. Some of our competitors, in particular smaller companies,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Moreover, demand for our products, which impacts profit margins, is affected by changes in customer order patterns, such as changes in the levels of inventory maintained by customers and the timing of customer purchases, and changes in customers’ preferences for our products, including the success of products offered by our competitors. Customer purchasing behavior may also shift by product mix in the market or result in a shift to new distribution channels, including e-commerce, which is a rapidly developing area. If we are unable to continue to differentiate our products, services and solutions or adapt to changes in customer purchasing behavior or shifts in distribution channels, or if we are forced to cut prices or to incur additional costs to remain competitive, it could have a material adverse effect on our business, financial condition,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Volatility in currency exchange rates could have a material adverse effect on our financial condition, results of operations and cash flows.</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Sales outside of the U.S. for the year ended December 31, 2019 accounted for 37%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Fluctuations in foreign currency exchange rates, most notably the strengthening of the U.S. dollar against the euro, could have a</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719" w:right="299" w:bottom="1440" w:gutter="0" w:footer="0" w:header="0"/>
        </w:sectPr>
      </w:pPr>
    </w:p>
    <w:bookmarkStart w:id="7" w:name="page8"/>
    <w:bookmarkEnd w:id="7"/>
    <w:p>
      <w:pPr>
        <w:ind w:right="120"/>
        <w:spacing w:after="0" w:line="342" w:lineRule="auto"/>
        <w:rPr>
          <w:sz w:val="20"/>
          <w:szCs w:val="20"/>
          <w:color w:val="auto"/>
        </w:rPr>
      </w:pPr>
      <w:r>
        <w:rPr>
          <w:rFonts w:ascii="Arial" w:cs="Arial" w:eastAsia="Arial" w:hAnsi="Arial"/>
          <w:sz w:val="16"/>
          <w:szCs w:val="16"/>
          <w:color w:val="auto"/>
        </w:rPr>
        <w:t>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spacing w:after="0" w:line="7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Our future growth is dependent upon our ability to transform and adapt our products, services, solutions, and organization to meet the demands of local markets in both developed and emerging economies and by developing or acquiring new technologies that achieve market acceptance with acceptable margins.</w:t>
      </w:r>
    </w:p>
    <w:p>
      <w:pPr>
        <w:spacing w:after="0" w:line="251" w:lineRule="auto"/>
        <w:rPr>
          <w:sz w:val="20"/>
          <w:szCs w:val="20"/>
          <w:color w:val="auto"/>
        </w:rPr>
      </w:pPr>
      <w:r>
        <w:rPr>
          <w:rFonts w:ascii="Arial" w:cs="Arial" w:eastAsia="Arial" w:hAnsi="Arial"/>
          <w:sz w:val="18"/>
          <w:szCs w:val="18"/>
          <w:color w:val="auto"/>
        </w:rPr>
        <w:t>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Accordingly, our future success depends upon a number of factors, including our ability to transform and adapt our products, services, solutions, organization, workforce and sales strategies to fit localities throughout the world, particularly in high growth emerging markets; identify emerging technological and other trends in our target end markets; and develop or acquire competitive technologies, products, services, and solutions and bring them to market quickly and cost-effectively. The failure to effectively adapt our products, services, or solutions could have a material adverse effect on our business, financial condition, results of operations and cash flows.</w:t>
      </w:r>
    </w:p>
    <w:p>
      <w:pPr>
        <w:spacing w:after="0" w:line="144"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b w:val="1"/>
          <w:bCs w:val="1"/>
          <w:i w:val="1"/>
          <w:iCs w:val="1"/>
          <w:color w:val="auto"/>
        </w:rPr>
        <w:t>We may not be able to identify, finance and complete suitable acquisitions and investments, and any completed acquisitions and investments may be unsuccessful or consume significant resources.</w:t>
      </w:r>
    </w:p>
    <w:p>
      <w:pPr>
        <w:spacing w:after="0" w:line="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service, and solution offerings. We may not be able to identify suitable acquisition candidates, obtain financing or have sufficient cash necessary for acquisitions or successfully complete acquisitions in the future. Any acquisitions that we complete may not be successful. Acquisitions and investments may involve significant cash expenditures, debt incurrences, equity issuances, operating losses and expenses. Acquisitions involve numerous other risks, including:</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 time and attention from daily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integrating acquired businesses, technologies and personnel into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obtaining and verifying the financial statements and other business information of acquired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loss of key employees, key contractual relationships or key customers of acquired companies or of ours;</w:t>
      </w:r>
    </w:p>
    <w:p>
      <w:pPr>
        <w:spacing w:after="0" w:line="103" w:lineRule="exact"/>
        <w:rPr>
          <w:rFonts w:ascii="Arial" w:cs="Arial" w:eastAsia="Arial" w:hAnsi="Arial"/>
          <w:sz w:val="18"/>
          <w:szCs w:val="18"/>
          <w:color w:val="auto"/>
        </w:rPr>
      </w:pPr>
    </w:p>
    <w:p>
      <w:pPr>
        <w:ind w:left="660" w:right="58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 of the liabilities and exposure to unforeseen liabilities of acquired companies, including risks relating to the U.S. Foreign Corrupt Practices Act (the “FCPA”) and privacy laws, including the General Data Protection Regulation (“GDPR”);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interests of holders of our shares through the issuance of equity securities or equity-linked securities.</w:t>
      </w:r>
    </w:p>
    <w:p>
      <w:pPr>
        <w:spacing w:after="0" w:line="2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It may be difficult for us to integrate acquired operations, including those from our recent acquisitions of Aquion, Inc. and Pelican Water Systems, efficiently into our business operations. Any acquisitions or investments may not be successful and may ultimately result in impairment charges and have a material adverse effect on our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some or all of the expected benefits of our business initiatives.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During 2019, 2018 and 2017, we initiated and continued execution of certain business initiatives aimed at reducing our fixed cost structure and realigning our business. As a result, we have incurred substantial expense, including restructuring charges. We may not be able to achieve the operating efficiencies to reduce costs or realize benefits that were anticipated in connection with these initiatives. If we are unable to execute these initiatives as planned, we may not realize all or any of the anticipated benefits, which could have a material adverse effect on our business, financial condition, results of operations and cash flows</w:t>
      </w:r>
      <w:r>
        <w:rPr>
          <w:rFonts w:ascii="Arial" w:cs="Arial" w:eastAsia="Arial" w:hAnsi="Arial"/>
          <w:sz w:val="19"/>
          <w:szCs w:val="19"/>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political, regulatory, economic, trade, and other risks that arise from operating a multinational business.</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Sales outside of the U.S. for the year ended December 31, 2019 accounted for 37% of our net sales. Further, most of our businesses obtain some products, components and raw materials from non-U.S. suppliers. Accordingly, our business is subject to the political, regulatory, economic, trade, and other risks that are inherent in operating in numerous countries. These risks include:</w:t>
      </w:r>
    </w:p>
    <w:p>
      <w:pPr>
        <w:spacing w:after="0" w:line="28" w:lineRule="exact"/>
        <w:rPr>
          <w:sz w:val="20"/>
          <w:szCs w:val="20"/>
          <w:color w:val="auto"/>
        </w:rPr>
      </w:pPr>
    </w:p>
    <w:p>
      <w:pPr>
        <w:ind w:left="5660" w:right="2240" w:hanging="5328"/>
        <w:spacing w:after="0" w:line="575" w:lineRule="auto"/>
        <w:tabs>
          <w:tab w:leader="none" w:pos="64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countries where we operate, particularly in emerging markets; 6</w:t>
      </w:r>
    </w:p>
    <w:p>
      <w:pPr>
        <w:sectPr>
          <w:pgSz w:w="11900" w:h="16838" w:orient="portrait"/>
          <w:cols w:equalWidth="0" w:num="1">
            <w:col w:w="11420"/>
          </w:cols>
          <w:pgMar w:left="240" w:top="557" w:right="239" w:bottom="1440" w:gutter="0" w:footer="0" w:header="0"/>
        </w:sectPr>
      </w:pPr>
    </w:p>
    <w:bookmarkStart w:id="8" w:name="page9"/>
    <w:bookmarkEnd w:id="8"/>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relatively more severe economic conditions in some international markets than in the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tariffs, duties, exchange controls or other trade restrictions;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treaties, laws or rulings that could have a material adverse impact on our effective tax 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difficulty of enforcing agreements and collecting receivables through non-U.S. legal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difficulty of communicating and monitoring evolving standards and directives across our product lines, services, and global facilities;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and restrictions;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of terrorist action affecting us or our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threat of nationalization and expropriation;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in non-U.S. labor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repatriation of earnings or other regionally-imposed capital requirements;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difficulty of protecting intellectual property in non-U.S.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and required compliance with a variety of non-U.S. laws and regulations.</w:t>
      </w:r>
    </w:p>
    <w:p>
      <w:pPr>
        <w:spacing w:after="0" w:line="2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2016, the United Kingdom voted in a referendum to exit the European Union (“Brexit”), which resulted in significant currency exchange rate fluctuations and volatility. The Brexit bill was passed by the United Kingdom on January 23, 2020, and it was passed by the European Parliament on January 29, 2020. The United Kingdom’s exit from the European Union became effective on January 31, 2020. Given the lack of comparable precedent, the implications</w:t>
      </w:r>
    </w:p>
    <w:p>
      <w:pPr>
        <w:ind w:right="200"/>
        <w:spacing w:after="0" w:line="255" w:lineRule="auto"/>
        <w:rPr>
          <w:sz w:val="20"/>
          <w:szCs w:val="20"/>
          <w:color w:val="auto"/>
        </w:rPr>
      </w:pPr>
      <w:r>
        <w:rPr>
          <w:rFonts w:ascii="Arial" w:cs="Arial" w:eastAsia="Arial" w:hAnsi="Arial"/>
          <w:sz w:val="18"/>
          <w:szCs w:val="18"/>
          <w:color w:val="auto"/>
        </w:rPr>
        <w:t>of Brexit, or how such implications might affect our company, continue to remain unclear at this time. Brexit could, among other impacts, disrupt trade and the movement of goods, services and people between the United Kingdom and the European Union or other countries as well as create legal and global economic uncertainty.</w:t>
      </w:r>
    </w:p>
    <w:p>
      <w:pPr>
        <w:spacing w:after="0" w:line="13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success depends in part on our ability to anticipate and effectively manage these and other risks. We cannot assure that these and other factors will not have a material adverse effect on our international operations or on our business as a whole.</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Changes in U.S. or foreign government administrative policy, including changes to existing trade agreements, could have a material adverse effect on us. </w:t>
      </w:r>
      <w:r>
        <w:rPr>
          <w:rFonts w:ascii="Arial" w:cs="Arial" w:eastAsia="Arial" w:hAnsi="Arial"/>
          <w:sz w:val="17"/>
          <w:szCs w:val="17"/>
          <w:color w:val="auto"/>
        </w:rPr>
        <w:t>As a result of changes to U.S. or foreign government administrative policy, there may be changes to existing trade agreements, like the North American Free Trade Agreement (“NAFTA”) and its anticipated successor agreement, the U.S.-Mexico-Canada Agreement (“USMCA”), which is still subject to approval by Canada, greater restrictions on free trade generally, and significant increases in tariffs on goods imported into the U.S., particularly tariffs on products manufactured in Mexico, China, or other U.S. trading countries where we have operations or manufacture or sell products, among other possible changes. If the USMCA is ratified by Canada, its provisions will go into effect shortly thereafter. While the USMCA is somewhat similar to NAFTA, it contains several new compliance obligations addressing such issues as rules of origin, labor standard, certificate of origin documentation and de minimis thresholds, as well as new policies on labor and environmental standards, intellectual property protections and some digital trade provisions. We are currently analyzing the expected impact of the USMCA. While certain aspects of the USMCA are expected to be positive, others, including potentially higher regulatory compliance costs, may have an adverse impact on our business. It remains unclear what the U.S. administration or foreign governments, including China, will or will not do with respect to tariffs, NAFTA, USMCA or other international trade agreements and policies. A trade war, other governmental action related to tariffs or international trade agreements, including NAFTA and USMCA, changes in U.S. social, political, regulatory and economic conditions or in laws and policies governing foreign trade, manufacturing, development and investment in the territories and countries where we currently manufacture and sell products, and any resulting negative sentiments towards the U.S. as a result of such changes, could have a material adverse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cost and other inflation.</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past, we have experienced material cost and other inflation in a number of our businesses. We strive for productivity improvements and implement increases in selling prices to help mitigate cost increases in raw materials (especially metals and resins), energy and other costs including wages, pension, health care and insurance. We continue to implement operational initiatives in order to mitigate the impacts of this inflation and continuously reduce our costs. However, these actions may not be successful in managing our costs or increasing our productivity. Continued cost inflation or failure of our initiatives to generate cost savings or improve productivity could have a material adverse effect on our business, financial condition, results of operations and cash flows.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1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Intellectual property challenges may hinder our ability to develop, engineer and market our products.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Patents, non-compete agreements, proprietary technologies, customer relationships, trademarks, trade names and brand names are important to our business. Intellectual property protection, however, may not preclude competitors from developing products similar to ours or from challenging our names or products. Our pending patent applications, and our pending copyright and trademark registration applications, may not be allowed, or competitors may challenge the validity or scope of our patents, copyrights or trademarks. In addition, our patents, copyrights, trademarks and other intellectual property rights may not provide us a significant competitive advantage. Over the past few years, we have noticed an increasing tendency for participants in our markets to use challenges to intellectual property as a means to compete. Patent and trademark challenges increase our costs to develop, engineer and market our products. We may need to spend significant resources monitoring, enforcing and defending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spacing w:after="0" w:line="11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adverse effect on our results of operations.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test goodwill and other indefinite-lived intangible assets for impairment on at least an annual basis, and more frequently if circumstances warrant. As of December 31, 2019 our goodwill and intangible assets were $2,598 million and represented 63% of our total assets. Declines in fair market value could result in future goodwill and intangible asset impairment charges.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loss of, or material cancellation, reduction, or delay in purchases by, one or more of our largest customers could harm our business.</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net sales to our largest customer represented approximately 15% of our consolidated net sales in 2019. While we do not have any other customers that accounted for 10% or more of our consolidated net sales in 2019, we have other customers that are key to the success of our business. Our concentration of sales to a relatively small number of larger customers makes our relationship with each of these customers important to our business. Our success is dependent on retaining these customers, which requires us to successfully manage relationships and anticipate the needs of our customers in the channels in which we sell our products. Our customers also may be impacted by economic conditions in the industries of those customers, which could result in reduced demand for our products. We cannot provide assurance that we will be able to retain our largest customers. In addition, some of our customers may shift their purchases to our competitors in the future. The loss of one or more of our largest customers, any material cancellation, reduction, or delay in purchases by these customers, or our inability to successfully develop relationships with additional customers could have a material adverse effect on our business, financial condition, results of operations and cash flows.</w:t>
      </w:r>
    </w:p>
    <w:p>
      <w:pPr>
        <w:spacing w:after="0" w:line="12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Catastrophic and other events beyond our control may disrupt operations at our manufacturing facilities and those of our suppliers, which could cause us to be unable to meet customer demands or increase our costs, or reduce customer spending.</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operations at any of our manufacturing facilities or those of our suppliers were to be disrupted as a result of significant equipment failures, natural disasters, earthquakes, power outages, fires, explosions, terrorism, adverse weather conditions, labor disputes, public health epidemics or other catastrophic events or events outside of our control, we may be unable to fill customer orders and otherwise meet customer demand for our products. In addition, these types of events may negatively impact residential, commercial and industrial spending in impacted regions or, depending on the severity, globally. As a result, any of such events could have a material adverse effect on our business, financial condition, results of operations and cash flows. For example, we are evaluating the potential impact of the coronavirus (COVID-19) outbreak that originated in China, including evaluating the impact on our employees, customers, and global supply chain, and of governmental actions being taken to curtail the spread of the virus. The significance of the impact of the coronavirus outbreak to us remains unclear at this time; however, it could have a material adverse effect on our business, financial condition, results of operations and cash flows. Interruptions in production, in particular at our manufacturing facilities, could increase our costs and reduce our sales. Any interruption in production capability could require us to make substantial capital expenditures to fill customer orders. We maintain property damage insurance that we believe to be adequate to provide for reconstruction of facilities and equipment, as well as business interruption insurance to mitigate losses resulting from any production interruption or shutdown caused by an insured loss. However, any recovery under our insurance policies may not offset the lost sales or increased costs that may be experienced during the disruption of operations, which could have a material adverse effect on our business, financial condition,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sales and weather conditions could have a material adverse effect on our financial results.</w:t>
      </w:r>
    </w:p>
    <w:p>
      <w:pPr>
        <w:spacing w:after="0" w:line="5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experience seasonal demand with end-customers and end-users within each of our business segments. Demand for pool equipment in the Pool business, water treatment solutions in our Water Solutions and Industrial Filtration businesses, and residential water supply, infrastructure and agricultural products in the businesses within the Industrial &amp; Flow Technologies segment follows warm weather trends and is at seasonal highs from April to August. While we attempt to mitigate the magnitude of the sales spike in the Pool business and in the businesses within the Industrial &amp; Flow Technologies segment by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19" w:right="259" w:bottom="1440" w:gutter="0" w:footer="0" w:header="0"/>
        </w:sectPr>
      </w:pPr>
    </w:p>
    <w:bookmarkStart w:id="10" w:name="page11"/>
    <w:bookmarkEnd w:id="10"/>
    <w:p>
      <w:pPr>
        <w:ind w:right="40"/>
        <w:spacing w:after="0" w:line="297" w:lineRule="auto"/>
        <w:rPr>
          <w:sz w:val="20"/>
          <w:szCs w:val="20"/>
          <w:color w:val="auto"/>
        </w:rPr>
      </w:pPr>
      <w:r>
        <w:rPr>
          <w:rFonts w:ascii="Arial" w:cs="Arial" w:eastAsia="Arial" w:hAnsi="Arial"/>
          <w:sz w:val="16"/>
          <w:szCs w:val="16"/>
          <w:color w:val="auto"/>
        </w:rPr>
        <w:t>employing some advance sale “early buy” programs (generally including extended payment terms and/or additional discounts), we cannot provide any assurance that such programs will be successful. In addition, seasonal effects in the Pool business and in the businesses within the Industrial &amp; Flow Technologies segment may vary from year to year and be impacted by weather patterns, particularly by temperature, heavy flooding and droughts. Moreover, adverse weather conditions, such as cold or wet weather, may negatively impact demand for, and sales of, pool equipment in the Pool business and residential water supply, commercial, infrastructure and agricultural products in the businesses within the Industrial &amp; Flow Technologies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instruments may adversely affect us.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may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116"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b w:val="1"/>
          <w:bCs w:val="1"/>
          <w:i w:val="1"/>
          <w:iCs w:val="1"/>
          <w:color w:val="auto"/>
        </w:rPr>
        <w:t>We may increase our debt or raise additional capital, our credit ratings may be downgraded in the future, or our interest rates may increase, each of which could affect our financial condition, and may decrease our profitability.</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of December 31, 2019, we had $1,029.1 million of total debt outstanding.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if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 Unfavorable changes in the ratings that rating agencies assign to our debt may ultimately negatively impact our access to the debt capital markets and increase the costs we incur to borrow funds. If ratings for our debt fall below investment grade, our access to the debt capital markets may become restricted. Additionally, our credit agreements generally include an increase in interest rates if the ratings for our debt are downgraded. In addition, borrowings under our revolving credit facility and term loans bear interest at a rate equal to an adjusted base rate or the London Interbank Offered Rate (“LIBOR”), plus, in each case, an applicable margin. The U.K. Financial Conduct Authority, which regulates LIBOR, has announced it intends to stop compelling banks to submit rates for calculation of LIBOR after 2021. The credit agreement governing our revolving credit facility and term loans provides procedures for determining a replacement or alternative base rate in the event that LIBOR is discontinued; however, any calculation of interest based upon such replacement or alternative base rate may result in higher interest rates. To the extent that our interest rates increase, our interest expense will increase, which could adversely affect our financial condition, results of operations and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could have a material adverse effect on our business, financial condition or results of operations.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ability to make payments on and to refinance our indebtedness, including our existing debt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 If we are not able to repay or refinance our debt as it becomes due, we may be forced to sell assets or take other disadvantageous actions, including (i) reducing financing in the future for working capital, capital expenditures and general corporate purposes or (ii) dedicating an unsustainable level of our cash flow from operations to the payment of principal and interest on our indebtedness. The lenders who hold such debt could also accelerate amounts due, which could potentially trigger a default or acceleration of any of our other debt.</w:t>
      </w:r>
    </w:p>
    <w:p>
      <w:pPr>
        <w:spacing w:after="0" w:line="193"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Disruptions in the financial markets could adversely affect us, our customers and our suppliers by increasing funding costs or reducing availability of credit.</w:t>
      </w:r>
    </w:p>
    <w:p>
      <w:pPr>
        <w:spacing w:after="0" w:line="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which have occurred in the past and made financing terms for borrowers unattractive or unavailable. These factors may make it more difficult or expensive for us 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11" w:name="page12"/>
    <w:bookmarkEnd w:id="11"/>
    <w:p>
      <w:pPr>
        <w:ind w:right="80"/>
        <w:spacing w:after="0" w:line="257" w:lineRule="auto"/>
        <w:rPr>
          <w:sz w:val="20"/>
          <w:szCs w:val="20"/>
          <w:color w:val="auto"/>
        </w:rPr>
      </w:pPr>
      <w:r>
        <w:rPr>
          <w:rFonts w:ascii="Arial" w:cs="Arial" w:eastAsia="Arial" w:hAnsi="Arial"/>
          <w:sz w:val="18"/>
          <w:szCs w:val="18"/>
          <w:color w:val="auto"/>
        </w:rPr>
        <w:t>access credit markets if the need arises. In addition, these factors may make it more difficult for our suppliers to meet demand for their products or for prospective customers to commence new projects, as customers and suppliers may experience increased costs of debt financing or difficulties in obtaining debt financing. Disruptions in the financial markets have had adverse effects on other areas of the economy and have led to a slowdown in general economic activity that may continue to adversely affect our businesses. One or more of these factors could adversely affect our business, financial condition,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fluctuate significantly.</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cannot predict the prices at which our shares may trade. The market price of our shares may fluctuate widely, depending on many factors, some of which may be beyond our control, including:</w:t>
      </w:r>
    </w:p>
    <w:p>
      <w:pPr>
        <w:spacing w:after="0" w:line="2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factors related to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third-party financing as needed;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earnings estimates or guidance by us or securities analysts or our ability to meet those estimates or guidance;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perception of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governmental investigation or environmental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or other environmental disasters;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have a material adverse effect on our share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Compliance Matters</w:t>
      </w:r>
    </w:p>
    <w:p>
      <w:pPr>
        <w:spacing w:after="0" w:line="175"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Violations of the U.S. Foreign Corrupt Practices Act, U.K. Bribery Act, and other anti-corruption laws outside the U.S. could have a material adverse effect on us.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FCPA, U.K. Bribery Act, and other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Because many of our customers and end users are involved in infrastructure construction and energy production, they are often subject to increased scrutiny by regulators. We cannot assure you that our internal control policies and procedures will always protect us from reckless or criminal acts committed by our employees or third-party intermediaries. In the event that we believe or have reason to believe that our employees or agents have or may have violated applicable anti-corruption laws, including the FCPA, we may be required to investigate or have outside counsel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57" w:right="279" w:bottom="1440" w:gutter="0" w:footer="0" w:header="0"/>
        </w:sectPr>
      </w:pPr>
    </w:p>
    <w:bookmarkStart w:id="12" w:name="page13"/>
    <w:bookmarkEnd w:id="12"/>
    <w:p>
      <w:pPr>
        <w:ind w:right="120"/>
        <w:spacing w:after="0" w:line="253" w:lineRule="auto"/>
        <w:rPr>
          <w:sz w:val="20"/>
          <w:szCs w:val="20"/>
          <w:color w:val="auto"/>
        </w:rPr>
      </w:pPr>
      <w:r>
        <w:rPr>
          <w:rFonts w:ascii="Arial" w:cs="Arial" w:eastAsia="Arial" w:hAnsi="Arial"/>
          <w:sz w:val="18"/>
          <w:szCs w:val="18"/>
          <w:b w:val="1"/>
          <w:bCs w:val="1"/>
          <w:i w:val="1"/>
          <w:iCs w:val="1"/>
          <w:color w:val="auto"/>
        </w:rPr>
        <w:t xml:space="preserve">Our failure to satisfy international trade compliance regulations, and changes in U.S. government sanctions, could have a material adverse effect on us. </w:t>
      </w:r>
      <w:r>
        <w:rPr>
          <w:rFonts w:ascii="Arial" w:cs="Arial" w:eastAsia="Arial" w:hAnsi="Arial"/>
          <w:sz w:val="18"/>
          <w:szCs w:val="18"/>
          <w:color w:val="auto"/>
        </w:rPr>
        <w:t>Our global operations require importing and exporting goods and technology across international borders on a regular basis. Certain of the products we manufacture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policy mandates strict compliance with U.S. and non-U.S. trade laws applicable to our products. However, even when we are in strict compliance with law and our policies, we may suffer reputational damage if certain of our products are sold through various intermediaries to entities operating in sanctioned countries. When we receive information alleging improper activity, our policy is to investigate that information and respond appropriately, including, if warranted, reporting our findings to relevant governmental authorities. Nonetheless, our policies and procedures may not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potential environmental laws, liabilities and litigation.</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subject to U.S. federal, state, local and non-U.S. laws and regulations governing our environmental practices, public and worker health and safety, and the indoor and outdoor environment. Compliance with these environmental, health and safety regulations could require us to satisfy environmental liabilities,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some of which are subject to renewal from time to time, for many of our businesses, and we could suffer if we are unable to renew existing permits or to obtain any additional permits that we may require. Compliance with environmental requirements also could require significant operating or capital expenditures or result in significant operational restrictions. We cannot assure you that we have been or will be at all times in compliance with environmental and health and safety laws. If we violate these laws, we could be fined, criminally charged or otherwise sanctioned by regulators.</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businesses.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 The cost of clean-up and other environmental liabilities can be difficult to accurately predict. In addition, environmental requirements change and tend to become more stringent over time. Our eventual environmental clean-up costs and liabilities could exceed the amount of our current reserves.</w:t>
      </w:r>
    </w:p>
    <w:p>
      <w:pPr>
        <w:spacing w:after="0" w:line="13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Our subsidiaries are party to asbestos-related product litigation that could adversely affect our financial condition, results of operations and cash flows. </w:t>
      </w:r>
      <w:r>
        <w:rPr>
          <w:rFonts w:ascii="Arial" w:cs="Arial" w:eastAsia="Arial" w:hAnsi="Arial"/>
          <w:sz w:val="17"/>
          <w:szCs w:val="17"/>
          <w:color w:val="auto"/>
        </w:rPr>
        <w:t>Our subsidiaries, along with numerous other companies, are named as defendants in a substantial number of lawsuits based on alleged exposure to asbestos-containing materials, substantially all of which relate to our discontinued operations. These cases typically involve product liability claims based primarily on allegations of manufacture, sale or distribution of industrial products that either contained asbestos or were attached to or used with asbestos-containing components manufactured by third parties. Each case typically names between several dozen to more than a hundred corporate defendants. Historically, our subsidiaries have been identified as defendants in asbestos-related claims. Our strategy has been, and continues to be, to mount a vigorous defense aimed at having unsubstantiated suits dismissed, and, only where appropriate, settling claims before trial. As of December 31, 2019, there were approximately 730 claims pending against our subsidiaries, substantially all of which relate to our discontinued operations. We cannot predict with certainty the extent to which we will be successful in litigating or otherwise resolving lawsuits in the future, and we continue to evaluate different strategies related to asbestos claims filed against us including entity restructuring and judicial relief. Unfavorable rulings, judgments or settlement terms could have a material adverse impact on our business and financial condition,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regulatory and financial risks related to climate change.</w:t>
      </w:r>
    </w:p>
    <w:p>
      <w:pPr>
        <w:spacing w:after="0" w:line="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Climate change is receiving ever increasing attention worldwide. Many scientists, legislators and others attribute global warming to increased levels of greenhouse gases, which has led to significant legislative and regulatory efforts to limit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19" w:right="259" w:bottom="1440" w:gutter="0" w:footer="0" w:header="0"/>
        </w:sectPr>
      </w:pPr>
    </w:p>
    <w:bookmarkStart w:id="13" w:name="page14"/>
    <w:bookmarkEnd w:id="13"/>
    <w:p>
      <w:pPr>
        <w:ind w:right="20"/>
        <w:spacing w:after="0" w:line="285" w:lineRule="auto"/>
        <w:rPr>
          <w:sz w:val="20"/>
          <w:szCs w:val="20"/>
          <w:color w:val="auto"/>
        </w:rPr>
      </w:pPr>
      <w:r>
        <w:rPr>
          <w:rFonts w:ascii="Arial" w:cs="Arial" w:eastAsia="Arial" w:hAnsi="Arial"/>
          <w:sz w:val="16"/>
          <w:szCs w:val="16"/>
          <w:color w:val="auto"/>
        </w:rPr>
        <w:t>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and/or the Paris Accord, and these and other existing international initiatives and regulations or those under consideration could affect our international operations. To the extent our customers, particularly our energy and industrial customers,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In addition, as customers become increasingly concerned about the environmental impact of their purchases, if we fail to keep up with changing regulations or innovate in ways that minimize the energy use of our products, customers may choose more energy efficient alternatives. These actions could also increase costs associated with our operations, including costs for raw materials and transportation. It is uncertain what laws will be enacted and therefore we cannot predict the potential impact of such laws on our future financial condition, results of operations and cash flows.</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Increased information technology security threats and computer crime pose a risk to our systems, networks, products and services, and we are exposed to potential regulatory, financial and reputational risks relating to the protection of our data.</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rely upon information technology systems and networks in connection with a variety of business activities, some of which are managed by third parties. As our business increasingly interfaces with employees, customers, dealers and suppliers using information technology systems and networks, we are subject to an increased risk to the secure operation of these systems and networks. Our evolution into smart products, Internet of Things, business-to-consumer, and e-commerce subjects us to increased cyber and technology risks. The secure operation of our information technology systems and networks is critical to our business operations and strategy. Information technology security threats -- from user error to attacks designed to gain unauthorized access to our systems, networks and data -- are increasing in frequency and sophistication. These threats pose a risk to the security of our systems and networks and the confidentiality, availability and integrity of the data we process and maintain. Establishing systems and processes to address these threats may increase our costs. We have experienced data breaches, and, although we have determined such data breaches to be immaterial and such data breaches have not had a material adverse effect on our financial condition, results of operations or cash flows, there can be no assurance of similar results in the future. Should future attacks succeed in the theft of assets, exporting sensitive data or financial information or controlling sensitive systems or networks, it could expose us and our employees, customers, dealers and suppliers to the theft of assets, misuse of information or systems, compromising of confidential information, manipulation and destruction of data, defective products, production downtimes and operations disruptions. The occurrence of any of these events could have a material adverse effect on our reputation, business, financial condition, results of operations and cash flows. In addition, such breaches in security could result in litigation, regulatory action and potential liability and the costs and operational consequences of implementing further data protection measures.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data privacy laws and our ability to comply with them could have a material adverse effect on us.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collect and store data that is sensitive to Pentair and its employees, customers, dealers and suppliers. A variety of state, national, foreign and international laws and regulations apply to the collection, use, retention, protection, security, disclosure, transfer and other processing of personal and other data. Many foreign data privacy regulations, including the GDPR, which became effective in the European Union in 2018, are more stringent than federal regulations in the United States. Within the United States, many states are considering adopting, or have already adopted privacy regulations, including, for example, the California Consumer Privacy Act. These laws and regulations are rapidly evolving and changing, and could have an adverse effect on our operations. Companies’ obligations and requirements under these laws and regulations are subject to uncertainty in how they may be interpreted by courts and governmental authorities. The costs of compliance with, and the other burdens imposed by, these and other laws or regulatory actions may increase our operational costs, and/or result in interruptions or delays in the availability of systems. In the case of non-compliance of these laws, including the GDPR, regulators have the authority to levy significant fines. In addition, if there is a breach of privacy, we may be required to make notifications under data privacy regulations. The occurrence of any of these events could have a material adverse effect on our reputation, business, financial condition, results of operations and cash flows.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57"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may be negatively impacted by litigation and other claims.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currently, and may in the future, become subject to litigation and other claims. These legal proceedings are typically claims that relate to the products or to the conduct of our business and include, without limitation, claims relating to commercial or contractual disputes with suppliers, customers or parties to acquisitions and divestitures, intellectual property matters, environmental, safety and health matters, product liability, the use or installation of our products, consumer protection matters, and employment and labor matters. The outcome of such legal proceedings cannot be predicted with certainty and some may be disposed of unfavorably to us. We also may not have insurance that covers such claims. While we currently maintain what we believe to be suitable product liability insurance, we may not be able to maintain this insurance on acceptable terms, and this insurance may not provide adequate protection against potential or previously existing liabilities. In addition, we self-insure a portion of product liability claims. Further, some of our business involves the sale of our products to customers that are constructing large and complex systems, facilities or other capital projects, and while we generally try to limit our exposure liquidated damages, consequential damages and other damages in the contracts for these projects, we could be exposed to significant monetary damages and other liabilities in connection with the sale of our products for these projects for a variety of reasons. In addition, some of our businesses, customers, and dealers are subject to various laws and regulations regarding consumer protection and advertising and sales practices, and we have been named, and may be named in the future, as a defendant in litigation, some of which are or may be class action complaints, arising from alleged violation of these laws and regulations. Successful claims or litigation against us for significant amounts could have a material adverse effect on our reputation, business, financial condition, results of operations and cash flows.</w:t>
      </w:r>
    </w:p>
    <w:p>
      <w:pPr>
        <w:spacing w:after="0" w:line="182"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b w:val="1"/>
          <w:bCs w:val="1"/>
          <w:i w:val="1"/>
          <w:iCs w:val="1"/>
          <w:color w:val="auto"/>
        </w:rPr>
        <w:t>Our focus on consumer solutions for residential and commercial water treatment as a strategic priority exposes us to certain risks that could have a material adverse impact on our revenue and profitability as well as our reputation.</w:t>
      </w:r>
    </w:p>
    <w:p>
      <w:pPr>
        <w:spacing w:after="0" w:line="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As we introduce residential and commercial water solutions, we may have limited experience in markets we choose to enter, and our customers may not like our value propositions. New initiatives we test through trials and pilots may not scale or grow effectively or as we expected, which could limit our growth and negatively affect our operating results. Designing, marketing and executing these solutions is subject to incremental risks. These risks include, for example: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labor expense to fulfill our customer promises, which may be higher than the related revenue;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 to recruit, train and retain qualified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risk of errors or omissions in the fulfillment of solutions or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unpredictable extended warranty failure rates and related expenses;</w:t>
      </w:r>
    </w:p>
    <w:p>
      <w:pPr>
        <w:spacing w:after="0" w:line="103" w:lineRule="exact"/>
        <w:rPr>
          <w:rFonts w:ascii="Arial" w:cs="Arial" w:eastAsia="Arial" w:hAnsi="Arial"/>
          <w:sz w:val="18"/>
          <w:szCs w:val="18"/>
          <w:color w:val="auto"/>
        </w:rPr>
      </w:pPr>
    </w:p>
    <w:p>
      <w:pPr>
        <w:ind w:left="660" w:right="240" w:hanging="328"/>
        <w:spacing w:after="0" w:line="3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employees in transit using company vehicles to visit customer locations and employees being present in customer homes, which may increase our scope of liability;</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increased scope of liability relating to our consumer products, services and solutions and related business model;</w:t>
      </w:r>
    </w:p>
    <w:p>
      <w:pPr>
        <w:spacing w:after="0" w:line="103" w:lineRule="exact"/>
        <w:rPr>
          <w:rFonts w:ascii="Arial" w:cs="Arial" w:eastAsia="Arial" w:hAnsi="Arial"/>
          <w:sz w:val="18"/>
          <w:szCs w:val="18"/>
          <w:color w:val="auto"/>
        </w:rPr>
      </w:pPr>
    </w:p>
    <w:p>
      <w:pPr>
        <w:ind w:left="660" w:right="240" w:hanging="328"/>
        <w:spacing w:after="0" w:line="3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engagement of third parties to assist with installation or servicing of our products and solutions, and the potential responsibility for the actions they take;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risk of non-compliance with new laws and regulations applicable to these solutions.</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expanded risks increase the complexity of our business and place significant responsibility on our management, employees, operations, systems, technical expertise, financial resources, and internal controls and compliance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Separation of nVent Electric plc by Spin-off</w:t>
      </w:r>
    </w:p>
    <w:p>
      <w:pPr>
        <w:spacing w:after="0" w:line="17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The spin-off transaction could result in substantial tax liability to us and our shareholders if the spin-off does not qualify as a tax-free transaction. </w:t>
      </w:r>
      <w:r>
        <w:rPr>
          <w:rFonts w:ascii="Arial" w:cs="Arial" w:eastAsia="Arial" w:hAnsi="Arial"/>
          <w:sz w:val="17"/>
          <w:szCs w:val="17"/>
          <w:color w:val="auto"/>
        </w:rPr>
        <w:t>On April 30, 2018, we completed the separation of our Electrical business through the spin-off of nVent Electric plc to our shareholders. The spin-off was conditioned on our receipt of opinions of tax advisors and tax rulings from taxing authorities. However, these tax opinions will not be binding on taxing authorities. Accordingly, taxing authorities or the courts may reach conclusions with respect to the spin-off that are different from the conclusions reached in such opinions. Moreover, such opinions were based on certain statements and representations made by us, which, if incomplete or inaccurate in any material respect, could invalidate the opinions. If the spin-off and certain related transactions were determined to be taxable, we could be subject to a substantial tax liability that could have a material adverse effect on our financial condition, results of operations and cash flows. In addition, if the spin-off were taxable, each holder of our ordinary shares who received shares of nVent Electric plc in the spin-off would generally be treated as receiving a taxable distribution of property in an amount equal to the fair market value of the shares received.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19"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may be exposed to claims and liabilities as a result of the spin-off.</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spin-off, we and nVent Electric plc entered into a separation and distribution agreement and various other agreements, including a transition services agreement, a tax matters agreement and an employee matters agreement. These agreements provide for the performance of services by each company for the benefit of the other for a period of time after the spin-off and provide for specific indemnity and liability obligations. The indemnity rights we have against nVent under the agreements may not be sufficient to protect us. In addition, our indemnity obligations to nVent may be significant, and these risks could negatively affect our financial condition, results of operations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Jurisdiction of Incorporation in Ireland and Tax Residency in the U.K.</w:t>
      </w:r>
    </w:p>
    <w:p>
      <w:pPr>
        <w:spacing w:after="0" w:line="17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of the U.S., the U.K., Ireland and other jurisdictions could change in the future, and such changes could cause a material change in our worldwide effective corporate tax rate. These changes include the Tax Cuts and Jobs Act enacted in the U.S. in December 2017, which made significant changes to certain U.S. tax laws relevant to us, including limitations on the deductibility of certain interest expense and employee compensation, limitations on various other deductions and credits, the imposition of taxes in respect of certain cross-border payments or transfers, the imposition of taxes on certain earnings of non-U.S. entities on a current basis, and changes in the timing of the recognition of income or its character. These items and regulations and guidance implementing the Tax Cuts and Jobs Act could materially adversely affect our financial condition, results of operations, cash flows or our effective tax rate in future reporting periods. In addition, legislative action could be taken by the U.S., the U.K., Ireland or the European Union that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and take advantage of the tax treaties among the U.S., the U.K. and Ireland, we could be subject to increased taxation, which could materially adversely affect our financial condition, results of operations, cash flows or our effective tax rate in future reporting periods.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change in our tax residency could have a negative effect on our future profitability, and may trigger taxes on dividends or exit charges.</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current Irish legislation, a company is regarded as resident for tax purposes in Ireland if it is centrally managed and controlled in Ireland, or, in certain circumstances,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Pentair.</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Where a company is treated as tax resident under the domestic laws of both the U.K. and Ireland, article 4(3) of the Double Tax Convention between Ireland and the U.K. (the “residence tie-breaker”) historically provided that the company should be treated as resident only in one of those two jurisdictions if its place of effective management is situated in that jurisdiction.</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Organization for Economic Co-operation and Development proposed a number of measures relating to the tax treatment of multinationals, some of which are implemented by amending double tax treaties through a multilateral instrument (the “MLI”). The MLI has now entered into force for a number of countries, including Ireland and the U.K. Under the MLI, the residence tie-breaker is amended so that a company will not cease being dual resident until there is a determination by the tax authorities of the two contracting states, instead of an objective application of the place of effective management test.</w:t>
      </w:r>
    </w:p>
    <w:p>
      <w:pPr>
        <w:spacing w:after="0" w:line="10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Under Ireland’s domestic tax residency rules, Pentair should not be Irish resident until January 1, 2021 (provided that there is no change in ownership and no major change in the nature or conduct of the business of the company before that date, in which case the residence tie-breaker should apply from the date of the change of ownership). Accordingly, we do not expect the change to the residence tie-breaker to have effect until January 1, 2021 at the earliest.</w:t>
      </w:r>
    </w:p>
    <w:p>
      <w:pPr>
        <w:spacing w:after="0" w:line="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It is possible that in the future, whether as a result of a change in law or the practice of any relevant tax authority or as a result of any change in the conduct of our affairs, we could become, or be regarded as having become, resident in a jurisdiction other than the U.K. If Pentair ceases to be resident in the U.K. and becomes resident in another jurisdiction, it may be subject to U.K. exit charges, and could become liable for additional tax charges in the other jurisdiction (including dividend withholding taxes or corporate income tax charges). If Pentair were to be treated as resident in more than one jurisdiction, it could be subject to taxation in multiple jurisdictions. If, for example, Pentair were considered to be a tax resident of Ireland, we could become liable for Irish corporation tax, and any dividends paid by it could be subject to Irish dividend withholding tax.</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our ordinary shares may be subject to Irish stamp duty.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percent of the higher of the price paid or the market value of the shares acquired). Payment of Irish stamp duty is generally a legal obligation of the transferee.</w:t>
      </w:r>
    </w:p>
    <w:p>
      <w:pPr>
        <w:spacing w:after="0" w:line="13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w:t>
      </w:r>
    </w:p>
    <w:p>
      <w:pPr>
        <w:ind w:right="20" w:firstLine="8"/>
        <w:spacing w:after="0" w:line="255"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ordinary shares, received by means of a gift or inheritance could be subject to Irish capital acquisitions tax.</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€335,000 per lifetime in respect of taxable gifts or inheritances received from their parents for periods on or after October 9,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principal office is located in leased premises in London, U.K., and our management office in the U.S. is located in leased premises in Minneapolis, Minnesota.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9" w:right="239" w:bottom="1440" w:gutter="0" w:footer="0" w:header="0"/>
        </w:sectPr>
      </w:pPr>
    </w:p>
    <w:bookmarkStart w:id="17" w:name="page18"/>
    <w:bookmarkEnd w:id="17"/>
    <w:p>
      <w:pPr>
        <w:ind w:right="20"/>
        <w:spacing w:after="0" w:line="264" w:lineRule="auto"/>
        <w:rPr>
          <w:sz w:val="20"/>
          <w:szCs w:val="20"/>
          <w:color w:val="auto"/>
        </w:rPr>
      </w:pPr>
      <w:r>
        <w:rPr>
          <w:rFonts w:ascii="Arial" w:cs="Arial" w:eastAsia="Arial" w:hAnsi="Arial"/>
          <w:sz w:val="18"/>
          <w:szCs w:val="18"/>
          <w:color w:val="auto"/>
        </w:rPr>
        <w:t>Our operations are conducted in facilities throughout the world. These facilities house manufacturing and distribution operations, as well as sales and marketing, engineering and administrative offices. The following is a summary of our principal properties as of December 31, 2019, including manufacturing, distribution, sales offices and service centers: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30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No. of Facilities</w:t>
            </w:r>
          </w:p>
        </w:tc>
        <w:tc>
          <w:tcPr>
            <w:tcW w:w="15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17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Sales and Corporate</w:t>
            </w:r>
          </w:p>
        </w:tc>
        <w:tc>
          <w:tcPr>
            <w:tcW w:w="15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220" w:type="dxa"/>
            <w:vAlign w:val="bottom"/>
          </w:tcPr>
          <w:p>
            <w:pPr>
              <w:ind w:left="1400"/>
              <w:spacing w:after="0"/>
              <w:rPr>
                <w:sz w:val="20"/>
                <w:szCs w:val="20"/>
                <w:color w:val="auto"/>
              </w:rPr>
            </w:pPr>
            <w:r>
              <w:rPr>
                <w:rFonts w:ascii="Arial" w:cs="Arial" w:eastAsia="Arial" w:hAnsi="Arial"/>
                <w:sz w:val="18"/>
                <w:szCs w:val="18"/>
                <w:b w:val="1"/>
                <w:bCs w:val="1"/>
                <w:color w:val="auto"/>
              </w:rPr>
              <w:t>Location</w:t>
            </w: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rPr>
              <w:t>Manufacturing</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Distribution</w:t>
            </w:r>
          </w:p>
        </w:tc>
        <w:tc>
          <w:tcPr>
            <w:tcW w:w="1940" w:type="dxa"/>
            <w:vAlign w:val="bottom"/>
          </w:tcPr>
          <w:p>
            <w:pPr>
              <w:jc w:val="right"/>
              <w:ind w:right="650"/>
              <w:spacing w:after="0"/>
              <w:rPr>
                <w:sz w:val="20"/>
                <w:szCs w:val="20"/>
                <w:color w:val="auto"/>
              </w:rPr>
            </w:pPr>
            <w:r>
              <w:rPr>
                <w:rFonts w:ascii="Arial" w:cs="Arial" w:eastAsia="Arial" w:hAnsi="Arial"/>
                <w:sz w:val="18"/>
                <w:szCs w:val="18"/>
                <w:b w:val="1"/>
                <w:bCs w:val="1"/>
                <w:color w:val="auto"/>
              </w:rPr>
              <w:t>Offices</w:t>
            </w:r>
          </w:p>
        </w:tc>
        <w:tc>
          <w:tcPr>
            <w:tcW w:w="1540" w:type="dxa"/>
            <w:vAlign w:val="bottom"/>
          </w:tcPr>
          <w:p>
            <w:pPr>
              <w:ind w:left="140"/>
              <w:spacing w:after="0"/>
              <w:rPr>
                <w:sz w:val="20"/>
                <w:szCs w:val="20"/>
                <w:color w:val="auto"/>
              </w:rPr>
            </w:pPr>
            <w:r>
              <w:rPr>
                <w:rFonts w:ascii="Arial" w:cs="Arial" w:eastAsia="Arial" w:hAnsi="Arial"/>
                <w:sz w:val="18"/>
                <w:szCs w:val="18"/>
                <w:b w:val="1"/>
                <w:bCs w:val="1"/>
                <w:color w:val="auto"/>
              </w:rPr>
              <w:t>Service Centers</w:t>
            </w:r>
          </w:p>
        </w:tc>
      </w:tr>
      <w:tr>
        <w:trPr>
          <w:trHeight w:val="27"/>
        </w:trPr>
        <w:tc>
          <w:tcPr>
            <w:tcW w:w="17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and 4 foreign countries</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220" w:type="dxa"/>
            <w:vAlign w:val="bottom"/>
          </w:tcPr>
          <w:p>
            <w:pPr>
              <w:ind w:left="280"/>
              <w:spacing w:after="0"/>
              <w:rPr>
                <w:sz w:val="20"/>
                <w:szCs w:val="20"/>
                <w:color w:val="auto"/>
              </w:rPr>
            </w:pPr>
            <w:r>
              <w:rPr>
                <w:rFonts w:ascii="Arial" w:cs="Arial" w:eastAsia="Arial" w:hAnsi="Arial"/>
                <w:sz w:val="18"/>
                <w:szCs w:val="18"/>
                <w:color w:val="auto"/>
              </w:rPr>
              <w:t>U.S. and 19 foreign countries</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and 10 foreign countries</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10</w:t>
            </w: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220" w:type="dxa"/>
            <w:vAlign w:val="bottom"/>
          </w:tcPr>
          <w:p>
            <w:pPr>
              <w:ind w:left="280"/>
              <w:spacing w:after="0"/>
              <w:rPr>
                <w:sz w:val="20"/>
                <w:szCs w:val="20"/>
                <w:color w:val="auto"/>
              </w:rPr>
            </w:pPr>
            <w:r>
              <w:rPr>
                <w:rFonts w:ascii="Arial" w:cs="Arial" w:eastAsia="Arial" w:hAnsi="Arial"/>
                <w:sz w:val="18"/>
                <w:szCs w:val="18"/>
                <w:color w:val="auto"/>
              </w:rPr>
              <w:t>U.S. and 3 foreign countries</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10</w:t>
            </w: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our production facilities as well as the related machinery and equipment, are well maintained and suitable for their purpose and are adequate to support our businesses.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0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several dozen to more than a hundred corporate defendants.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9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December 31, 2019, there were approximately 730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We have been named as defendant, target or a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2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ectPr>
          <w:pgSz w:w="11900" w:h="16838" w:orient="portrait"/>
          <w:cols w:equalWidth="0" w:num="1">
            <w:col w:w="11420"/>
          </w:cols>
          <w:pgMar w:left="240" w:top="719"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19" w:right="239" w:bottom="1440" w:gutter="0" w:footer="0" w:header="0"/>
          <w:type w:val="continuous"/>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2019,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692" w:right="2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Current executive officers of Pentair plc, their ages, current position and their business experience during at least the past five years are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Age</w:t>
            </w: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Current Position and Business Experience</w:t>
            </w:r>
          </w:p>
        </w:tc>
      </w:tr>
      <w:tr>
        <w:trPr>
          <w:trHeight w:val="20"/>
        </w:trPr>
        <w:tc>
          <w:tcPr>
            <w:tcW w:w="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76"/>
        </w:trPr>
        <w:tc>
          <w:tcPr>
            <w:tcW w:w="2060" w:type="dxa"/>
            <w:vAlign w:val="bottom"/>
            <w:gridSpan w:val="2"/>
          </w:tcPr>
          <w:p>
            <w:pPr>
              <w:spacing w:after="0"/>
              <w:rPr>
                <w:sz w:val="20"/>
                <w:szCs w:val="20"/>
                <w:color w:val="auto"/>
              </w:rPr>
            </w:pPr>
            <w:r>
              <w:rPr>
                <w:rFonts w:ascii="Arial" w:cs="Arial" w:eastAsia="Arial" w:hAnsi="Arial"/>
                <w:sz w:val="18"/>
                <w:szCs w:val="18"/>
                <w:color w:val="auto"/>
              </w:rPr>
              <w:t>John L. Stauch</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55</w:t>
            </w: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President and Chief Executive Officer since 2018; Executive Vice President and Chief Financial Officer 2007 -</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6"/>
              </w:rPr>
              <w:t>2018; Chief Financial Officer of the Automation and Control Systems unit of Honeywell International Inc.</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2005 - 2007; Vice President, Finance and Chief Financial Officer of the Sensing and Controls unit of</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Honeywell International Inc. 2004 - 2005; Vice President, Finance and Chief Financial Officer of the</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Automation &amp; Control Products unit of Honeywell International Inc. 2002 - 2004; Chief Financial Officer and</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7"/>
              </w:rPr>
              <w:t>IT Director of PerkinElmer Optoelectronics, a unit of PerkinElmer, Inc., 2000 - 2002; Various executive,</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6"/>
              </w:rPr>
              <w:t>investor relations and managerial finance positions with Honeywell International Inc. and its predecessor</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AlliedSignal Inc. 1994 - 2000.</w:t>
            </w: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color w:val="auto"/>
              </w:rPr>
              <w:t>Kelly A. Baker</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Executive Vice President and Chief Human Resources Officer since 2018; Chief Human Resources Officer,</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Water segment, 2017 - 2018; Chief Human Resources Officer of Patterson Companies, Inc. (a dental and</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animal health industry product and technology distributor) 2016 - 2017; Vice President of Human Resources,</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North America Retail and Marketing Function of General Mills (a multinational manufacturer and marketer of</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branded consumer foods) 2014 - 2016; Vice President of Human Resources, Corporate &amp; Global Business</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Solutions of General Mills 2009 - 2014; Vice President of Diversity &amp; Inclusion of General Mills 2005 - 2009;</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Various Human Resources leadership positions at General Mills 1995 - 2005.</w:t>
            </w: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color w:val="auto"/>
              </w:rPr>
              <w:t>Mark C. Borin</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Executive Vice President and Chief Financial Officer since 2018 and Chief Accounting Officer since 2019. As</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previously announced, Mr. Borin intends to resign from Pentair in connection with accepting an operational</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leadership opportunity at a private, employee-owned company, and he plans to remain in his role with Pentair</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through the search process and to assist with an orderly transition. Senior Vice President and Chief Accounting</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Officer 2008 - 2018 and Treasurer 2015 - 2018; Partner in the audit practice of the public accounting firm</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KPMG LLP 2000 - 2008; Various positions in the audit practice of KPMG LLP 1989 - 2000.</w:t>
            </w: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color w:val="auto"/>
              </w:rPr>
              <w:t>Karl R. Frykman</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59</w:t>
            </w: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Operating Officer since 2018; Senior Vice President and President, Water</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segment 2017 - 2018; President, Water Quality Systems Global business unit 2007 - 2016; President, National</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7"/>
              </w:rPr>
              <w:t>Pool Tile group 1998- 2007; Vice President of Operations, American Products group 1995 - 1998; Vice</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President of Anthony Pools, 1990 - 1995; Vice President of Poolsaver, 1988 - 1990.</w:t>
            </w: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color w:val="auto"/>
              </w:rPr>
              <w:t>John H. Jacko</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Executive Vice President and Chief Growth Officer since 2018; Senior Vice President and Chief Marketing</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7"/>
              </w:rPr>
              <w:t>Officer 2017 - 2018; Vice President and Chief Marketing Officer of Kennametal Inc. (a global supplier of</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6"/>
              </w:rPr>
              <w:t>tooling, engineered components and advanced materials) 2007 - 2016; Senior Vice President and Chief</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Marketing Officer of Flowserve Corporation, 2002 - 2007; Vice President of Marketing and Customer</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Management of Flowserve Corporation 2001 - 2002; Various business leadership positions of Honeywell</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Aerospace 1995 - 2001.</w:t>
            </w: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color w:val="auto"/>
              </w:rPr>
              <w:t>Karla C. Robertson</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49</w:t>
            </w: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Executive Vice President, General Counsel and Secretary since 2018; General Counsel, Water segment 2017 -</w:t>
            </w:r>
          </w:p>
        </w:tc>
      </w:tr>
      <w:tr>
        <w:trPr>
          <w:trHeight w:val="216"/>
        </w:trPr>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2018; Executive Vice President, General Counsel and Corporate Secretary of SUPERVALU Inc. (a wholesaler</w:t>
            </w:r>
          </w:p>
        </w:tc>
      </w:t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and retailer of grocery products) 2013 - 2017; Vice President, Employment, Compensation and Benefits Law</w:t>
            </w:r>
          </w:p>
        </w:tc>
      </w:tr>
    </w:tbl>
    <w:p>
      <w:pPr>
        <w:ind w:left="3360" w:right="60"/>
        <w:spacing w:after="0" w:line="254" w:lineRule="auto"/>
        <w:rPr>
          <w:sz w:val="20"/>
          <w:szCs w:val="20"/>
          <w:color w:val="auto"/>
        </w:rPr>
      </w:pPr>
      <w:r>
        <w:rPr>
          <w:rFonts w:ascii="Arial" w:cs="Arial" w:eastAsia="Arial" w:hAnsi="Arial"/>
          <w:sz w:val="18"/>
          <w:szCs w:val="18"/>
          <w:color w:val="auto"/>
        </w:rPr>
        <w:t>of SUPERVALU Inc. 2012 - 2013; Director, Employment Law of SUPERVALU Inc. 2011 - 2012; Senior Counsel, Employment Law of SUPERVALU Inc. 2009 - 2011; Senior Employee Relations Counsel of Target Corporation 2006 - 2008; Associate, Faegre &amp; Benson LLP 2000 - 2005; Judicial Clerk, United States District Court for the Southern District of Iowa 1998 - 2000.</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553"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228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Age</w:t>
            </w:r>
          </w:p>
        </w:tc>
        <w:tc>
          <w:tcPr>
            <w:tcW w:w="260" w:type="dxa"/>
            <w:vAlign w:val="bottom"/>
          </w:tcPr>
          <w:p>
            <w:pPr>
              <w:spacing w:after="0"/>
              <w:rPr>
                <w:sz w:val="17"/>
                <w:szCs w:val="17"/>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Current Position and Business Experience</w:t>
            </w:r>
          </w:p>
        </w:tc>
        <w:tc>
          <w:tcPr>
            <w:tcW w:w="4720" w:type="dxa"/>
            <w:vAlign w:val="bottom"/>
          </w:tcPr>
          <w:p>
            <w:pPr>
              <w:spacing w:after="0"/>
              <w:rPr>
                <w:sz w:val="17"/>
                <w:szCs w:val="17"/>
                <w:color w:val="auto"/>
              </w:rPr>
            </w:pPr>
          </w:p>
        </w:tc>
      </w:tr>
      <w:tr>
        <w:trPr>
          <w:trHeight w:val="276"/>
        </w:trPr>
        <w:tc>
          <w:tcPr>
            <w:tcW w:w="2740" w:type="dxa"/>
            <w:vAlign w:val="bottom"/>
            <w:gridSpan w:val="2"/>
          </w:tcPr>
          <w:p>
            <w:pPr>
              <w:spacing w:after="0"/>
              <w:rPr>
                <w:sz w:val="20"/>
                <w:szCs w:val="20"/>
                <w:color w:val="auto"/>
              </w:rPr>
            </w:pPr>
            <w:r>
              <w:rPr>
                <w:rFonts w:ascii="Arial" w:cs="Arial" w:eastAsia="Arial" w:hAnsi="Arial"/>
                <w:sz w:val="18"/>
                <w:szCs w:val="18"/>
                <w:color w:val="auto"/>
              </w:rPr>
              <w:t>Philip M. Rolchigo</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7960" w:type="dxa"/>
            <w:vAlign w:val="bottom"/>
            <w:gridSpan w:val="2"/>
          </w:tcPr>
          <w:p>
            <w:pPr>
              <w:spacing w:after="0"/>
              <w:rPr>
                <w:sz w:val="20"/>
                <w:szCs w:val="20"/>
                <w:color w:val="auto"/>
              </w:rPr>
            </w:pPr>
            <w:r>
              <w:rPr>
                <w:rFonts w:ascii="Arial" w:cs="Arial" w:eastAsia="Arial" w:hAnsi="Arial"/>
                <w:sz w:val="18"/>
                <w:szCs w:val="18"/>
                <w:color w:val="auto"/>
                <w:w w:val="94"/>
              </w:rPr>
              <w:t>Executive Vice President and Chief Technology Officer since 2018; Chief Technology Officer 2017 - 2018;</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w w:val="90"/>
              </w:rPr>
              <w:t>Vice President of Technology 2015 - 2017; Vice President of Engineering 2007 - 2015; Business Development</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w w:val="91"/>
              </w:rPr>
              <w:t>Director of Water Technologies business of GE Global Research Center 2006 - 2007; Director of Technology</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w w:val="92"/>
              </w:rPr>
              <w:t>of GE Water &amp; Process Technologies 2003 - 2006; Chief Technology Officer of Osmonics 2000 - 2003; Vice</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w w:val="91"/>
              </w:rPr>
              <w:t>President of Research &amp; Development of Osmonics 1998 - 2000; Chief Technology Officer of Membrex 1991</w:t>
            </w:r>
          </w:p>
        </w:tc>
      </w:tr>
      <w:tr>
        <w:trPr>
          <w:trHeight w:val="230"/>
        </w:trPr>
        <w:tc>
          <w:tcPr>
            <w:tcW w:w="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- 1998.</w:t>
            </w:r>
          </w:p>
        </w:tc>
        <w:tc>
          <w:tcPr>
            <w:tcW w:w="4720" w:type="dxa"/>
            <w:vAlign w:val="bottom"/>
          </w:tcPr>
          <w:p>
            <w:pPr>
              <w:spacing w:after="0"/>
              <w:rPr>
                <w:sz w:val="20"/>
                <w:szCs w:val="20"/>
                <w:color w:val="auto"/>
              </w:rPr>
            </w:pPr>
          </w:p>
        </w:tc>
      </w:tr>
      <w:tr>
        <w:trPr>
          <w:trHeight w:val="256"/>
        </w:trPr>
        <w:tc>
          <w:tcPr>
            <w:tcW w:w="2740" w:type="dxa"/>
            <w:vAlign w:val="bottom"/>
            <w:gridSpan w:val="2"/>
          </w:tcPr>
          <w:p>
            <w:pPr>
              <w:spacing w:after="0"/>
              <w:rPr>
                <w:sz w:val="20"/>
                <w:szCs w:val="20"/>
                <w:color w:val="auto"/>
              </w:rPr>
            </w:pPr>
            <w:r>
              <w:rPr>
                <w:rFonts w:ascii="Arial" w:cs="Arial" w:eastAsia="Arial" w:hAnsi="Arial"/>
                <w:sz w:val="18"/>
                <w:szCs w:val="18"/>
                <w:color w:val="auto"/>
              </w:rPr>
              <w:t>James P. Wamsley</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7960" w:type="dxa"/>
            <w:vAlign w:val="bottom"/>
            <w:gridSpan w:val="2"/>
          </w:tcPr>
          <w:p>
            <w:pPr>
              <w:spacing w:after="0"/>
              <w:rPr>
                <w:sz w:val="20"/>
                <w:szCs w:val="20"/>
                <w:color w:val="auto"/>
              </w:rPr>
            </w:pPr>
            <w:r>
              <w:rPr>
                <w:rFonts w:ascii="Arial" w:cs="Arial" w:eastAsia="Arial" w:hAnsi="Arial"/>
                <w:sz w:val="18"/>
                <w:szCs w:val="18"/>
                <w:color w:val="auto"/>
                <w:w w:val="94"/>
              </w:rPr>
              <w:t>Executive Vice President and Chief Supply Chain Officer since 2019. Mr. Wamsley informed Pentair of his</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w w:val="93"/>
              </w:rPr>
              <w:t>intention to resign from Pentair as of February 26, 2020. Executive Vice President Global Operations of the</w:t>
            </w:r>
          </w:p>
        </w:tc>
      </w:tr>
      <w:tr>
        <w:trPr>
          <w:trHeight w:val="230"/>
        </w:trPr>
        <w:tc>
          <w:tcPr>
            <w:tcW w:w="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w w:val="92"/>
              </w:rPr>
              <w:t>Power Tools group of Milwaukee Tool (a manufacturer and marketer of professional power tools, hand tools</w:t>
            </w:r>
          </w:p>
        </w:tc>
      </w:tr>
    </w:tbl>
    <w:p>
      <w:pPr>
        <w:ind w:left="3300" w:right="100"/>
        <w:spacing w:after="0" w:line="302" w:lineRule="auto"/>
        <w:rPr>
          <w:sz w:val="20"/>
          <w:szCs w:val="20"/>
          <w:color w:val="auto"/>
        </w:rPr>
      </w:pPr>
      <w:r>
        <w:rPr>
          <w:rFonts w:ascii="Arial" w:cs="Arial" w:eastAsia="Arial" w:hAnsi="Arial"/>
          <w:sz w:val="16"/>
          <w:szCs w:val="16"/>
          <w:color w:val="auto"/>
        </w:rPr>
        <w:t>and accessories) 2008 - 2019; Sourcing Manager of Industrial Accessories division of Black &amp; Decker Corporation 2007 - 2008; Operations Manager of the Linear Edge business of Black &amp; Decker Corporation 2005 - 2007; Engineering Manager of the Linear Edge business of Black &amp; Decker Corporation 2004 - 2006.</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300" w:top="702"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ordinary shares are listed for trading on the New York Stock Exchange (“NYSE”) under the symbol “PNR.” As of December 31, 2019, there were 14,468 shareholders of record.</w:t>
      </w:r>
    </w:p>
    <w:p>
      <w:pPr>
        <w:spacing w:after="0" w:line="116"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Pentair has paid 176 consecutive quarterly cash dividends, including most recently a dividend of $0.18 per share in the fourth quarter of 2019. On December 9, 2019, Pentair’s Board of Directors approved a 6 percent increase in the company’s regular quarterly cash dividend rate (from $0.18 per share to $0.19 per share) that was paid on February 7, 2020 to shareholders of record at the close of business on January 24, 2020. 2020 will mark the 44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consecutive year that Pentair has increased its dividend.</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spacing w:after="0" w:line="12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following graph sets forth the cumulative total shareholder return on our ordinary shares for the last five years, assuming the investment of $100 on December 31, 2014 and the reinvestment of all dividends since that date to December 31, 2019. The graph also contains for comparison purposes the S&amp;P 500 Index and the S&amp;P 500 Industrials Index, assuming the same investment level and reinvestment of dividends.</w:t>
      </w:r>
    </w:p>
    <w:p>
      <w:pPr>
        <w:spacing w:after="0" w:line="1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By virtue of our market capitalization, we are a component of the S&amp;P 500 Index. On the basis of our size and diversity of businesses, we believe the S&amp;P 500 Industrials Index is an appropriate published industry index for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5848985" cy="2838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53"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Base Period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rPr>
              <w:t>INDEXED RETURNS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December</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Years ended December 31</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Company / Index</w:t>
            </w:r>
          </w:p>
        </w:tc>
        <w:tc>
          <w:tcPr>
            <w:tcW w:w="140" w:type="dxa"/>
            <w:vAlign w:val="bottom"/>
          </w:tcPr>
          <w:p>
            <w:pPr>
              <w:spacing w:after="0"/>
              <w:rPr>
                <w:sz w:val="21"/>
                <w:szCs w:val="21"/>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1"/>
                <w:szCs w:val="21"/>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46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34"/>
        </w:trPr>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Pentair plc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S&amp;P 500 Index</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101.38</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113.51</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138.29</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132.23</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173.86</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S&amp;P 500 Industrials Index</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177.70</w:t>
            </w:r>
          </w:p>
        </w:tc>
      </w:tr>
      <w:tr>
        <w:trPr>
          <w:trHeight w:val="27"/>
        </w:trPr>
        <w:tc>
          <w:tcPr>
            <w:tcW w:w="3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fourth quarter of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560" w:type="dxa"/>
            <w:vAlign w:val="bottom"/>
          </w:tcPr>
          <w:p>
            <w:pPr>
              <w:jc w:val="center"/>
              <w:ind w:left="710"/>
              <w:spacing w:after="0"/>
              <w:rPr>
                <w:sz w:val="20"/>
                <w:szCs w:val="20"/>
                <w:color w:val="auto"/>
              </w:rPr>
            </w:pPr>
            <w:r>
              <w:rPr>
                <w:rFonts w:ascii="Arial" w:cs="Arial" w:eastAsia="Arial" w:hAnsi="Arial"/>
                <w:sz w:val="18"/>
                <w:szCs w:val="18"/>
                <w:b w:val="1"/>
                <w:bCs w:val="1"/>
                <w:color w:val="auto"/>
                <w:w w:val="90"/>
              </w:rPr>
              <w:t>(a)</w:t>
            </w:r>
          </w:p>
        </w:tc>
        <w:tc>
          <w:tcPr>
            <w:tcW w:w="280" w:type="dxa"/>
            <w:vAlign w:val="bottom"/>
          </w:tcPr>
          <w:p>
            <w:pPr>
              <w:spacing w:after="0"/>
              <w:rPr>
                <w:sz w:val="20"/>
                <w:szCs w:val="20"/>
                <w:color w:val="auto"/>
              </w:rPr>
            </w:pPr>
          </w:p>
        </w:tc>
        <w:tc>
          <w:tcPr>
            <w:tcW w:w="16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(b)</w:t>
            </w:r>
          </w:p>
        </w:tc>
        <w:tc>
          <w:tcPr>
            <w:tcW w:w="142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(c)</w:t>
            </w:r>
          </w:p>
        </w:tc>
        <w:tc>
          <w:tcPr>
            <w:tcW w:w="5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32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9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1"/>
              </w:rPr>
              <w:t>Total number of</w:t>
            </w:r>
          </w:p>
        </w:tc>
        <w:tc>
          <w:tcPr>
            <w:tcW w:w="1740" w:type="dxa"/>
            <w:vAlign w:val="bottom"/>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tcPr>
          <w:p>
            <w:pPr>
              <w:jc w:val="center"/>
              <w:ind w:left="130"/>
              <w:spacing w:after="0"/>
              <w:rPr>
                <w:sz w:val="20"/>
                <w:szCs w:val="20"/>
                <w:color w:val="auto"/>
              </w:rPr>
            </w:pPr>
            <w:r>
              <w:rPr>
                <w:rFonts w:ascii="Arial" w:cs="Arial" w:eastAsia="Arial" w:hAnsi="Arial"/>
                <w:sz w:val="18"/>
                <w:szCs w:val="18"/>
                <w:b w:val="1"/>
                <w:bCs w:val="1"/>
                <w:color w:val="auto"/>
                <w:w w:val="82"/>
              </w:rPr>
              <w:t>shares</w:t>
            </w:r>
          </w:p>
        </w:tc>
        <w:tc>
          <w:tcPr>
            <w:tcW w:w="5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tcPr>
          <w:p>
            <w:pPr>
              <w:jc w:val="center"/>
              <w:ind w:left="130"/>
              <w:spacing w:after="0"/>
              <w:rPr>
                <w:sz w:val="20"/>
                <w:szCs w:val="20"/>
                <w:color w:val="auto"/>
              </w:rPr>
            </w:pPr>
            <w:r>
              <w:rPr>
                <w:rFonts w:ascii="Arial" w:cs="Arial" w:eastAsia="Arial" w:hAnsi="Arial"/>
                <w:sz w:val="18"/>
                <w:szCs w:val="18"/>
                <w:b w:val="1"/>
                <w:bCs w:val="1"/>
                <w:color w:val="auto"/>
                <w:w w:val="86"/>
              </w:rPr>
              <w:t>purchased as</w:t>
            </w:r>
          </w:p>
        </w:tc>
        <w:tc>
          <w:tcPr>
            <w:tcW w:w="5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part of publicly</w:t>
            </w:r>
          </w:p>
        </w:tc>
        <w:tc>
          <w:tcPr>
            <w:tcW w:w="5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3240" w:type="dxa"/>
            <w:vAlign w:val="bottom"/>
          </w:tcPr>
          <w:p>
            <w:pPr>
              <w:spacing w:after="0"/>
              <w:rPr>
                <w:sz w:val="18"/>
                <w:szCs w:val="18"/>
                <w:color w:val="auto"/>
              </w:rPr>
            </w:pPr>
          </w:p>
        </w:tc>
        <w:tc>
          <w:tcPr>
            <w:tcW w:w="256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Total number of</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announced</w:t>
            </w:r>
          </w:p>
        </w:tc>
        <w:tc>
          <w:tcPr>
            <w:tcW w:w="5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3240" w:type="dxa"/>
            <w:vAlign w:val="bottom"/>
          </w:tcPr>
          <w:p>
            <w:pPr>
              <w:spacing w:after="0"/>
              <w:rPr>
                <w:sz w:val="18"/>
                <w:szCs w:val="18"/>
                <w:color w:val="auto"/>
              </w:rPr>
            </w:pPr>
          </w:p>
        </w:tc>
        <w:tc>
          <w:tcPr>
            <w:tcW w:w="2560" w:type="dxa"/>
            <w:vAlign w:val="bottom"/>
          </w:tcPr>
          <w:p>
            <w:pPr>
              <w:jc w:val="center"/>
              <w:ind w:left="710"/>
              <w:spacing w:after="0"/>
              <w:rPr>
                <w:sz w:val="20"/>
                <w:szCs w:val="20"/>
                <w:color w:val="auto"/>
              </w:rPr>
            </w:pPr>
            <w:r>
              <w:rPr>
                <w:rFonts w:ascii="Arial" w:cs="Arial" w:eastAsia="Arial" w:hAnsi="Arial"/>
                <w:sz w:val="18"/>
                <w:szCs w:val="18"/>
                <w:b w:val="1"/>
                <w:bCs w:val="1"/>
                <w:color w:val="auto"/>
                <w:w w:val="82"/>
              </w:rPr>
              <w:t>shares</w:t>
            </w:r>
          </w:p>
        </w:tc>
        <w:tc>
          <w:tcPr>
            <w:tcW w:w="280" w:type="dxa"/>
            <w:vAlign w:val="bottom"/>
          </w:tcPr>
          <w:p>
            <w:pPr>
              <w:spacing w:after="0"/>
              <w:rPr>
                <w:sz w:val="18"/>
                <w:szCs w:val="18"/>
                <w:color w:val="auto"/>
              </w:rPr>
            </w:pPr>
          </w:p>
        </w:tc>
        <w:tc>
          <w:tcPr>
            <w:tcW w:w="16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 price</w:t>
            </w:r>
          </w:p>
        </w:tc>
        <w:tc>
          <w:tcPr>
            <w:tcW w:w="142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plans or</w:t>
            </w:r>
          </w:p>
        </w:tc>
        <w:tc>
          <w:tcPr>
            <w:tcW w:w="5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3240" w:type="dxa"/>
            <w:vAlign w:val="bottom"/>
          </w:tcPr>
          <w:p>
            <w:pPr>
              <w:spacing w:after="0"/>
              <w:rPr>
                <w:sz w:val="20"/>
                <w:szCs w:val="20"/>
                <w:color w:val="auto"/>
              </w:rPr>
            </w:pPr>
          </w:p>
        </w:tc>
        <w:tc>
          <w:tcPr>
            <w:tcW w:w="2560" w:type="dxa"/>
            <w:vAlign w:val="bottom"/>
          </w:tcPr>
          <w:p>
            <w:pPr>
              <w:jc w:val="center"/>
              <w:ind w:left="710"/>
              <w:spacing w:after="0"/>
              <w:rPr>
                <w:sz w:val="20"/>
                <w:szCs w:val="20"/>
                <w:color w:val="auto"/>
              </w:rPr>
            </w:pPr>
            <w:r>
              <w:rPr>
                <w:rFonts w:ascii="Arial" w:cs="Arial" w:eastAsia="Arial" w:hAnsi="Arial"/>
                <w:sz w:val="18"/>
                <w:szCs w:val="18"/>
                <w:b w:val="1"/>
                <w:bCs w:val="1"/>
                <w:color w:val="auto"/>
                <w:w w:val="87"/>
              </w:rPr>
              <w:t>purchased</w:t>
            </w:r>
          </w:p>
        </w:tc>
        <w:tc>
          <w:tcPr>
            <w:tcW w:w="280" w:type="dxa"/>
            <w:vAlign w:val="bottom"/>
          </w:tcPr>
          <w:p>
            <w:pPr>
              <w:spacing w:after="0"/>
              <w:rPr>
                <w:sz w:val="20"/>
                <w:szCs w:val="20"/>
                <w:color w:val="auto"/>
              </w:rPr>
            </w:pPr>
          </w:p>
        </w:tc>
        <w:tc>
          <w:tcPr>
            <w:tcW w:w="16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paid per share</w:t>
            </w:r>
          </w:p>
        </w:tc>
        <w:tc>
          <w:tcPr>
            <w:tcW w:w="142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programs</w:t>
            </w:r>
          </w:p>
        </w:tc>
        <w:tc>
          <w:tcPr>
            <w:tcW w:w="5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programs</w:t>
            </w:r>
          </w:p>
        </w:tc>
      </w:tr>
      <w:tr>
        <w:trPr>
          <w:trHeight w:val="34"/>
        </w:trPr>
        <w:tc>
          <w:tcPr>
            <w:tcW w:w="3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26</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36.72</w:t>
            </w:r>
          </w:p>
        </w:tc>
        <w:tc>
          <w:tcPr>
            <w:tcW w:w="1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250,000,187</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October 27 – November 23</w:t>
            </w:r>
          </w:p>
        </w:tc>
        <w:tc>
          <w:tcPr>
            <w:tcW w:w="2560" w:type="dxa"/>
            <w:vAlign w:val="bottom"/>
          </w:tcPr>
          <w:p>
            <w:pPr>
              <w:jc w:val="right"/>
              <w:spacing w:after="0"/>
              <w:rPr>
                <w:sz w:val="20"/>
                <w:szCs w:val="20"/>
                <w:color w:val="auto"/>
              </w:rPr>
            </w:pPr>
            <w:r>
              <w:rPr>
                <w:rFonts w:ascii="Arial" w:cs="Arial" w:eastAsia="Arial" w:hAnsi="Arial"/>
                <w:sz w:val="18"/>
                <w:szCs w:val="18"/>
                <w:color w:val="auto"/>
              </w:rPr>
              <w:t>867</w:t>
            </w:r>
          </w:p>
        </w:tc>
        <w:tc>
          <w:tcPr>
            <w:tcW w:w="28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38.83</w:t>
            </w:r>
          </w:p>
        </w:tc>
        <w:tc>
          <w:tcPr>
            <w:tcW w:w="14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250,000,187</w:t>
            </w:r>
          </w:p>
        </w:tc>
      </w:tr>
      <w:tr>
        <w:trPr>
          <w:trHeight w:val="27"/>
        </w:trPr>
        <w:tc>
          <w:tcPr>
            <w:tcW w:w="3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24 – December 31</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44.76</w:t>
            </w:r>
          </w:p>
        </w:tc>
        <w:tc>
          <w:tcPr>
            <w:tcW w:w="1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250,000,187</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spacing w:after="0"/>
              <w:rPr>
                <w:sz w:val="20"/>
                <w:szCs w:val="20"/>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120" w:hanging="328"/>
        <w:spacing w:after="0" w:line="245"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The purchases in this column include 2,106 shares for the period October 1 – October 26, 867 shares for the period October 27 – November 23, and 142 shares for the period November 24 – December 31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shares.</w:t>
      </w:r>
    </w:p>
    <w:p>
      <w:pPr>
        <w:spacing w:after="0" w:line="146" w:lineRule="exact"/>
        <w:rPr>
          <w:rFonts w:ascii="Arial" w:cs="Arial" w:eastAsia="Arial" w:hAnsi="Arial"/>
          <w:sz w:val="24"/>
          <w:szCs w:val="24"/>
          <w:color w:val="auto"/>
          <w:vertAlign w:val="superscript"/>
        </w:rPr>
      </w:pPr>
    </w:p>
    <w:p>
      <w:pPr>
        <w:ind w:left="660" w:right="200" w:hanging="328"/>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average price paid in this column includes shares repurchased as part of our publicly announced plans and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149" w:lineRule="exact"/>
        <w:rPr>
          <w:rFonts w:ascii="Arial" w:cs="Arial" w:eastAsia="Arial" w:hAnsi="Arial"/>
          <w:sz w:val="25"/>
          <w:szCs w:val="25"/>
          <w:color w:val="auto"/>
          <w:vertAlign w:val="superscript"/>
        </w:rPr>
      </w:pPr>
    </w:p>
    <w:p>
      <w:pPr>
        <w:ind w:left="660" w:right="60" w:hanging="328"/>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a maximum dollar limit authorized by the Board of Directors, discussed below.</w:t>
      </w:r>
    </w:p>
    <w:p>
      <w:pPr>
        <w:spacing w:after="0" w:line="149" w:lineRule="exact"/>
        <w:rPr>
          <w:rFonts w:ascii="Arial" w:cs="Arial" w:eastAsia="Arial" w:hAnsi="Arial"/>
          <w:sz w:val="25"/>
          <w:szCs w:val="25"/>
          <w:color w:val="auto"/>
          <w:vertAlign w:val="superscript"/>
        </w:rPr>
      </w:pPr>
    </w:p>
    <w:p>
      <w:pPr>
        <w:ind w:left="660" w:right="180" w:hanging="328"/>
        <w:spacing w:after="0" w:line="238"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In May 2018, the Board of Directors authorized the repurchase of our ordinary shares up to a maximum dollar limit of $750.0 million. The 2018 authorization expires on May 31, 2021. We have $250.0 million remaining availability for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selected historical financial data for the five years ended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amounts</w:t>
            </w:r>
          </w:p>
        </w:tc>
        <w:tc>
          <w:tcPr>
            <w:tcW w:w="28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34"/>
        </w:trPr>
        <w:tc>
          <w:tcPr>
            <w:tcW w:w="5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Consolidated statements of operations and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2,957.2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2,965.1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2,845.7</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2,780.6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2,812.4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361.7</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321.7</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114.1</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178.2</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170.9</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ordinary share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ordinary share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Weighted average ordinary shares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169.4</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175.8</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181.7</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181.3</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Earnings per ordinary share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0.62</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ordinary shares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dividends declared and paid per ordinary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unpaid per ordinary share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8,633.7</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11,534.8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11,833.4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1,029.1</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787.6</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1,440.7</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4,279.2</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4,685.8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5,037.8</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4,254.4</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4,008.8</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3" w:right="239" w:bottom="1440" w:gutter="0" w:footer="0" w:header="0"/>
        </w:sectPr>
      </w:pPr>
    </w:p>
    <w:bookmarkStart w:id="24" w:name="page25"/>
    <w:bookmarkEnd w:id="24"/>
    <w:p>
      <w:pPr>
        <w:ind w:right="1400"/>
        <w:spacing w:after="0" w:line="355"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ind w:right="40"/>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successfully integrate the Aquion, Inc. (“Aquion”) and Pelican Water Systems (“Pelican”)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the potential negative impact of the coronavirus (COVID-19) outbreak on our business; and the ability to achieve our long-term strategic operating goals. Additional information concerning these and other factors is contained in our filings with the U.S. Securities and Exchange Commission (the “SEC”), including this Annual Report on Form 10-K. All forward-looking statements speak only as of the date of this report. Pentair assumes no obligation, and disclaims any obligation, to update the information contained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Pentair plc and its consolidated subsidiaries (“we,” “us,” “our,” “Pentair” or the “Company”) is a pure play water industrial manufacturing company and in 2019 we were comprised of three reporting segments: Aquatic Systems, Filtration Solutions and Flow Technologies. We classify our operations into business segments based primarily on types of products offered and markets served. For the year ended December 31, 2019, the Aquatic Systems, Filtration Solutions and Flow Technologies segments represented approximately 33%, 36% and 31% of total revenues, respectively. Commencing with the first quarter of 2020, we revised our segments, going from three segments to two with the two revised segments named Consumer Solutions and Industrial &amp; Flow Technologies. The discussions below reporting on prior periods reflect the previous segmentation, but the descriptions of our businesses below continue to apply in their re-segmented form. Additional information regarding this re-segmentation is found under the section titled “New Segmentation” in ITEM 1 of this Form 10-K.</w:t>
      </w:r>
    </w:p>
    <w:p>
      <w:pPr>
        <w:spacing w:after="0" w:line="11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Although our jurisdiction of organization is Ireland, we manage our affairs so that we are centrally managed and controlled in the United Kingdom (the “U.K.”) and therefore have our tax residency in the U.K.</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April 28, 2017, we completed the sale of the Valves &amp; Controls business to Emerson Electric Co. for $3.15 billion. The sale resulted in a gain of $181.1 million, net of tax. The results of the Valves &amp; Controls business have been presented as discontinued operations for all periods presented. The Valves &amp; Controls business was previously disclosed as a stand-alone reporting segment.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30, 2018, we completed the separation of our Electrical business from the rest of Pentair (the “Separation”) by means of a dividend in specie of the Electrical business, which was effected by the transfer of the Electrical business from Pentair to nVent and the issuance by nVent of nVent ordinary shares directly to Pentair shareholders (the “Distribution”). We did not retain an equity interest in nVent. The results of the Electrical business have been presented as discontinued operations for all periods presented. The Electrical business was previously disclosed as a stand-alone reporting segment.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2019, as part of Filtration Solutions, we completed the acquisitions of Aquion and Pelican for $163.4 million and $121.1 million, respectively, in cash, net of cash acquired.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trends and uncertainties affected our financial performance in 2019, and will likely impact our results in the future:</w:t>
      </w:r>
    </w:p>
    <w:p>
      <w:pPr>
        <w:spacing w:after="0" w:line="157" w:lineRule="exact"/>
        <w:rPr>
          <w:sz w:val="20"/>
          <w:szCs w:val="20"/>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2019, we executed certain business restructuring initiatives aimed at reducing our fixed cost structure and realigning our business. We expect these actions will contribute to margin growth in 2020.</w:t>
      </w:r>
    </w:p>
    <w:p>
      <w:pPr>
        <w:spacing w:after="0" w:line="116"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Proposed regulations as part of the Tax Cuts and Jobs Act, enacted in the U.S. in December 2017, may place limitations on the deductibility of certain interest expense for U.S. tax purposes. These proposed regulations could materially adversely affect our financial condition, results of operations, cash flows or our effective tax rate in future reporting periods when enacted.</w:t>
      </w:r>
    </w:p>
    <w:p>
      <w:pPr>
        <w:spacing w:after="0" w:line="127"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businesses utilize a global supply chain including materials, components and products sourced directly or indirectly from China and from other countries and geographic regions potentially impacted by the coronavirus outbreak, and 3-4% of our total revenues are generated from sales to customers in China. Our overall business could be negatively impacted by the coronavirus outbreak, but the significance of the impact of the coronavirus outbreak on our business and the duration for which it may have an impact cannot be determined at this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2020, our operating objectives include the following:</w:t>
      </w:r>
    </w:p>
    <w:p>
      <w:pPr>
        <w:spacing w:after="0" w:line="171" w:lineRule="exact"/>
        <w:rPr>
          <w:sz w:val="20"/>
          <w:szCs w:val="20"/>
          <w:color w:val="auto"/>
        </w:rPr>
      </w:pPr>
    </w:p>
    <w:p>
      <w:pPr>
        <w:ind w:left="660" w:right="8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Accelerating Pentair Integrated Management System (“PIMS”), with specific focus on the area of commercial excellence and acquisition integrations;</w:t>
      </w:r>
    </w:p>
    <w:p>
      <w:pPr>
        <w:spacing w:after="0" w:line="11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our growth priorities through new products and global and market expansion, specifically in the areas of pool and residential and commercial filtration solutions;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 advance digital transformation;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19"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5020" w:type="dxa"/>
            <w:vAlign w:val="bottom"/>
          </w:tcPr>
          <w:p>
            <w:pPr>
              <w:spacing w:after="0"/>
              <w:rPr>
                <w:sz w:val="20"/>
                <w:szCs w:val="20"/>
                <w:color w:val="auto"/>
              </w:rPr>
            </w:pPr>
            <w:r>
              <w:rPr>
                <w:rFonts w:ascii="Arial" w:cs="Arial" w:eastAsia="Arial" w:hAnsi="Arial"/>
                <w:sz w:val="18"/>
                <w:szCs w:val="18"/>
                <w:color w:val="auto"/>
              </w:rPr>
              <w:t>The consolidated results of operations were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3"/>
          </w:tcPr>
          <w:p>
            <w:pPr>
              <w:ind w:left="600"/>
              <w:spacing w:after="0"/>
              <w:rPr>
                <w:sz w:val="20"/>
                <w:szCs w:val="20"/>
                <w:color w:val="auto"/>
              </w:rPr>
            </w:pPr>
            <w:r>
              <w:rPr>
                <w:rFonts w:ascii="Arial" w:cs="Arial" w:eastAsia="Arial" w:hAnsi="Arial"/>
                <w:sz w:val="18"/>
                <w:szCs w:val="18"/>
                <w:b w:val="1"/>
                <w:bCs w:val="1"/>
                <w:color w:val="auto"/>
              </w:rPr>
              <w:t>% / point change</w:t>
            </w:r>
          </w:p>
        </w:tc>
      </w:tr>
      <w:tr>
        <w:trPr>
          <w:trHeight w:val="34"/>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980" w:type="dxa"/>
            <w:vAlign w:val="bottom"/>
          </w:tcPr>
          <w:p>
            <w:pPr>
              <w:jc w:val="right"/>
              <w:ind w:right="355"/>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1"/>
                <w:szCs w:val="21"/>
                <w:color w:val="auto"/>
              </w:rPr>
            </w:pPr>
          </w:p>
        </w:tc>
        <w:tc>
          <w:tcPr>
            <w:tcW w:w="840" w:type="dxa"/>
            <w:vAlign w:val="bottom"/>
          </w:tcPr>
          <w:p>
            <w:pPr>
              <w:jc w:val="right"/>
              <w:ind w:right="355"/>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b w:val="1"/>
                <w:bCs w:val="1"/>
                <w:color w:val="auto"/>
                <w:w w:val="98"/>
              </w:rPr>
              <w:t>2019 vs 2018</w:t>
            </w: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2018 vs 2017</w:t>
            </w:r>
          </w:p>
        </w:tc>
      </w:tr>
      <w:tr>
        <w:trPr>
          <w:trHeight w:val="34"/>
        </w:trPr>
        <w:tc>
          <w:tcPr>
            <w:tcW w:w="5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2,957.2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2,965.1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2,845.7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1,905.7</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1,917.4</w:t>
            </w:r>
          </w:p>
        </w:tc>
        <w:tc>
          <w:tcPr>
            <w:tcW w:w="42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1,858.2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1180" w:type="dxa"/>
            <w:vAlign w:val="bottom"/>
          </w:tcPr>
          <w:p>
            <w:pPr>
              <w:jc w:val="right"/>
              <w:spacing w:after="0"/>
              <w:rPr>
                <w:sz w:val="20"/>
                <w:szCs w:val="20"/>
                <w:color w:val="auto"/>
              </w:rPr>
            </w:pPr>
            <w:r>
              <w:rPr>
                <w:rFonts w:ascii="Arial" w:cs="Arial" w:eastAsia="Arial" w:hAnsi="Arial"/>
                <w:sz w:val="18"/>
                <w:szCs w:val="18"/>
                <w:color w:val="auto"/>
              </w:rPr>
              <w:t>3.2 %</w:t>
            </w:r>
          </w:p>
        </w:tc>
        <w:tc>
          <w:tcPr>
            <w:tcW w:w="20" w:type="dxa"/>
            <w:vAlign w:val="bottom"/>
          </w:tcPr>
          <w:p>
            <w:pPr>
              <w:spacing w:after="0"/>
              <w:rPr>
                <w:sz w:val="21"/>
                <w:szCs w:val="2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1,051.5</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1,047.7</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987.5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45"/>
        </w:trPr>
        <w:tc>
          <w:tcPr>
            <w:tcW w:w="5020" w:type="dxa"/>
            <w:vAlign w:val="bottom"/>
          </w:tcPr>
          <w:p>
            <w:pPr>
              <w:jc w:val="right"/>
              <w:ind w:right="3853"/>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35.6%</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35.3%</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34.7%</w:t>
            </w:r>
          </w:p>
        </w:tc>
        <w:tc>
          <w:tcPr>
            <w:tcW w:w="120" w:type="dxa"/>
            <w:vAlign w:val="bottom"/>
          </w:tcPr>
          <w:p>
            <w:pPr>
              <w:spacing w:after="0"/>
              <w:rPr>
                <w:sz w:val="24"/>
                <w:szCs w:val="24"/>
                <w:color w:val="auto"/>
              </w:rPr>
            </w:pPr>
          </w:p>
        </w:tc>
        <w:tc>
          <w:tcPr>
            <w:tcW w:w="1280" w:type="dxa"/>
            <w:vAlign w:val="bottom"/>
          </w:tcPr>
          <w:p>
            <w:pPr>
              <w:jc w:val="right"/>
              <w:ind w:right="34"/>
              <w:spacing w:after="0"/>
              <w:rPr>
                <w:sz w:val="20"/>
                <w:szCs w:val="20"/>
                <w:color w:val="auto"/>
              </w:rPr>
            </w:pPr>
            <w:r>
              <w:rPr>
                <w:rFonts w:ascii="Arial" w:cs="Arial" w:eastAsia="Arial" w:hAnsi="Arial"/>
                <w:sz w:val="14"/>
                <w:szCs w:val="14"/>
                <w:i w:val="1"/>
                <w:iCs w:val="1"/>
                <w:color w:val="auto"/>
              </w:rPr>
              <w:t>0.3pts</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0.6pts</w:t>
            </w:r>
          </w:p>
        </w:tc>
      </w:tr>
      <w:tr>
        <w:trPr>
          <w:trHeight w:val="290"/>
        </w:trPr>
        <w:tc>
          <w:tcPr>
            <w:tcW w:w="5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540.1</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534.3</w:t>
            </w:r>
          </w:p>
        </w:tc>
        <w:tc>
          <w:tcPr>
            <w:tcW w:w="42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536.0</w:t>
            </w:r>
          </w:p>
        </w:tc>
        <w:tc>
          <w:tcPr>
            <w:tcW w:w="1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1.1 %</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5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180" w:type="dxa"/>
            <w:vAlign w:val="bottom"/>
            <w:shd w:val="clear" w:color="auto" w:fill="CCEEFF"/>
          </w:tcPr>
          <w:p>
            <w:pPr>
              <w:ind w:left="960"/>
              <w:spacing w:after="0" w:line="157" w:lineRule="exact"/>
              <w:rPr>
                <w:sz w:val="20"/>
                <w:szCs w:val="20"/>
                <w:color w:val="auto"/>
              </w:rPr>
            </w:pPr>
            <w:r>
              <w:rPr>
                <w:rFonts w:ascii="Arial" w:cs="Arial" w:eastAsia="Arial" w:hAnsi="Arial"/>
                <w:sz w:val="14"/>
                <w:szCs w:val="14"/>
                <w:i w:val="1"/>
                <w:iCs w:val="1"/>
                <w:color w:val="auto"/>
              </w:rPr>
              <w:t>)</w:t>
            </w:r>
          </w:p>
        </w:tc>
        <w:tc>
          <w:tcPr>
            <w:tcW w:w="20" w:type="dxa"/>
            <w:vAlign w:val="bottom"/>
            <w:shd w:val="clear" w:color="auto" w:fill="CCEEFF"/>
          </w:tcPr>
          <w:p>
            <w:pPr>
              <w:spacing w:after="0"/>
              <w:rPr>
                <w:sz w:val="13"/>
                <w:szCs w:val="13"/>
                <w:color w:val="auto"/>
              </w:rPr>
            </w:pPr>
          </w:p>
        </w:tc>
      </w:tr>
      <w:tr>
        <w:trPr>
          <w:trHeight w:val="194"/>
        </w:trPr>
        <w:tc>
          <w:tcPr>
            <w:tcW w:w="5020" w:type="dxa"/>
            <w:vAlign w:val="bottom"/>
            <w:shd w:val="clear" w:color="auto" w:fill="CCEEFF"/>
          </w:tcPr>
          <w:p>
            <w:pPr>
              <w:jc w:val="right"/>
              <w:ind w:right="3853"/>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18.3%</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18.0%</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18.8%</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4"/>
                <w:szCs w:val="14"/>
                <w:i w:val="1"/>
                <w:iCs w:val="1"/>
                <w:color w:val="auto"/>
              </w:rPr>
              <w:t>0.3pts</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(0.8pts</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76.7</w:t>
            </w:r>
          </w:p>
        </w:tc>
        <w:tc>
          <w:tcPr>
            <w:tcW w:w="42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2.9 %</w:t>
            </w:r>
          </w:p>
        </w:tc>
        <w:tc>
          <w:tcPr>
            <w:tcW w:w="1180" w:type="dxa"/>
            <w:vAlign w:val="bottom"/>
          </w:tcPr>
          <w:p>
            <w:pPr>
              <w:jc w:val="right"/>
              <w:spacing w:after="0"/>
              <w:rPr>
                <w:sz w:val="20"/>
                <w:szCs w:val="20"/>
                <w:color w:val="auto"/>
              </w:rPr>
            </w:pPr>
            <w:r>
              <w:rPr>
                <w:rFonts w:ascii="Arial" w:cs="Arial" w:eastAsia="Arial" w:hAnsi="Arial"/>
                <w:sz w:val="18"/>
                <w:szCs w:val="18"/>
                <w:color w:val="auto"/>
              </w:rPr>
              <w:t>4.8 %</w:t>
            </w:r>
          </w:p>
        </w:tc>
        <w:tc>
          <w:tcPr>
            <w:tcW w:w="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1"/>
        </w:trPr>
        <w:tc>
          <w:tcPr>
            <w:tcW w:w="5020" w:type="dxa"/>
            <w:vAlign w:val="bottom"/>
            <w:shd w:val="clear" w:color="auto" w:fill="CCEEFF"/>
          </w:tcPr>
          <w:p>
            <w:pPr>
              <w:jc w:val="right"/>
              <w:ind w:right="3853"/>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4"/>
                <w:szCs w:val="14"/>
                <w:i w:val="1"/>
                <w:iCs w:val="1"/>
                <w:color w:val="auto"/>
              </w:rPr>
              <w:t>0.1pts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i w:val="1"/>
                <w:iCs w:val="1"/>
                <w:color w:val="auto"/>
              </w:rPr>
              <w:t>—</w:t>
            </w:r>
          </w:p>
        </w:tc>
      </w:tr>
      <w:tr>
        <w:trPr>
          <w:trHeight w:val="284"/>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432.5</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436.7</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57"/>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54"/>
              <w:spacing w:after="0" w:line="157" w:lineRule="exact"/>
              <w:rPr>
                <w:sz w:val="20"/>
                <w:szCs w:val="20"/>
                <w:color w:val="auto"/>
              </w:rPr>
            </w:pPr>
            <w:r>
              <w:rPr>
                <w:rFonts w:ascii="Arial" w:cs="Arial" w:eastAsia="Arial" w:hAnsi="Arial"/>
                <w:sz w:val="14"/>
                <w:szCs w:val="14"/>
                <w:i w:val="1"/>
                <w:iCs w:val="1"/>
                <w:color w:val="auto"/>
              </w:rPr>
              <w:t>)</w:t>
            </w: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8"/>
        </w:trPr>
        <w:tc>
          <w:tcPr>
            <w:tcW w:w="5020" w:type="dxa"/>
            <w:vAlign w:val="bottom"/>
          </w:tcPr>
          <w:p>
            <w:pPr>
              <w:jc w:val="right"/>
              <w:ind w:right="3853"/>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14.6%</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14.7%</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13.3%</w:t>
            </w:r>
          </w:p>
        </w:tc>
        <w:tc>
          <w:tcPr>
            <w:tcW w:w="120" w:type="dxa"/>
            <w:vAlign w:val="bottom"/>
          </w:tcPr>
          <w:p>
            <w:pPr>
              <w:spacing w:after="0"/>
              <w:rPr>
                <w:sz w:val="16"/>
                <w:szCs w:val="16"/>
                <w:color w:val="auto"/>
              </w:rPr>
            </w:pPr>
          </w:p>
        </w:tc>
        <w:tc>
          <w:tcPr>
            <w:tcW w:w="1280" w:type="dxa"/>
            <w:vAlign w:val="bottom"/>
          </w:tcPr>
          <w:p>
            <w:pPr>
              <w:jc w:val="right"/>
              <w:ind w:right="34"/>
              <w:spacing w:after="0"/>
              <w:rPr>
                <w:sz w:val="20"/>
                <w:szCs w:val="20"/>
                <w:color w:val="auto"/>
              </w:rPr>
            </w:pPr>
            <w:r>
              <w:rPr>
                <w:rFonts w:ascii="Arial" w:cs="Arial" w:eastAsia="Arial" w:hAnsi="Arial"/>
                <w:sz w:val="14"/>
                <w:szCs w:val="14"/>
                <w:i w:val="1"/>
                <w:iCs w:val="1"/>
                <w:color w:val="auto"/>
              </w:rPr>
              <w:t>(0.1pts</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1.4pts</w:t>
            </w:r>
          </w:p>
        </w:tc>
      </w:tr>
      <w:tr>
        <w:trPr>
          <w:trHeight w:val="290"/>
        </w:trPr>
        <w:tc>
          <w:tcPr>
            <w:tcW w:w="5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(Gain) loss on sale of businesses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N.M.</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N.M.</w:t>
            </w: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17.1</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N.M.</w:t>
            </w:r>
          </w:p>
        </w:tc>
        <w:tc>
          <w:tcPr>
            <w:tcW w:w="12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N.M.</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18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N.M.</w:t>
            </w:r>
          </w:p>
        </w:tc>
        <w:tc>
          <w:tcPr>
            <w:tcW w:w="12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N.M.</w:t>
            </w:r>
          </w:p>
        </w:tc>
      </w:tr>
      <w:tr>
        <w:trPr>
          <w:trHeight w:val="284"/>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407.5</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379.8</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N.M.</w:t>
            </w:r>
          </w:p>
        </w:tc>
        <w:tc>
          <w:tcPr>
            <w:tcW w:w="12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N.M.</w:t>
            </w:r>
          </w:p>
        </w:tc>
      </w:tr>
      <w:tr>
        <w:trPr>
          <w:trHeight w:val="229"/>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0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20"/>
                <w:szCs w:val="20"/>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58.1</w:t>
            </w:r>
          </w:p>
        </w:tc>
        <w:tc>
          <w:tcPr>
            <w:tcW w:w="420" w:type="dxa"/>
            <w:vAlign w:val="bottom"/>
          </w:tcPr>
          <w:p>
            <w:pPr>
              <w:spacing w:after="0"/>
              <w:rPr>
                <w:sz w:val="20"/>
                <w:szCs w:val="20"/>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5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54"/>
              <w:spacing w:after="0" w:line="157" w:lineRule="exact"/>
              <w:rPr>
                <w:sz w:val="20"/>
                <w:szCs w:val="20"/>
                <w:color w:val="auto"/>
              </w:rPr>
            </w:pPr>
            <w:r>
              <w:rPr>
                <w:rFonts w:ascii="Arial" w:cs="Arial" w:eastAsia="Arial" w:hAnsi="Arial"/>
                <w:sz w:val="14"/>
                <w:szCs w:val="14"/>
                <w:i w:val="1"/>
                <w:iCs w:val="1"/>
                <w:color w:val="auto"/>
              </w:rPr>
              <w:t>)</w:t>
            </w:r>
          </w:p>
        </w:tc>
        <w:tc>
          <w:tcPr>
            <w:tcW w:w="1180" w:type="dxa"/>
            <w:vAlign w:val="bottom"/>
            <w:shd w:val="clear" w:color="auto" w:fill="CCEEFF"/>
          </w:tcPr>
          <w:p>
            <w:pPr>
              <w:ind w:left="960"/>
              <w:spacing w:after="0" w:line="157" w:lineRule="exact"/>
              <w:rPr>
                <w:sz w:val="20"/>
                <w:szCs w:val="20"/>
                <w:color w:val="auto"/>
              </w:rPr>
            </w:pPr>
            <w:r>
              <w:rPr>
                <w:rFonts w:ascii="Arial" w:cs="Arial" w:eastAsia="Arial" w:hAnsi="Arial"/>
                <w:sz w:val="14"/>
                <w:szCs w:val="14"/>
                <w:i w:val="1"/>
                <w:iCs w:val="1"/>
                <w:color w:val="auto"/>
              </w:rPr>
              <w:t>)</w:t>
            </w:r>
          </w:p>
        </w:tc>
        <w:tc>
          <w:tcPr>
            <w:tcW w:w="20" w:type="dxa"/>
            <w:vAlign w:val="bottom"/>
            <w:shd w:val="clear" w:color="auto" w:fill="CCEEFF"/>
          </w:tcPr>
          <w:p>
            <w:pPr>
              <w:spacing w:after="0"/>
              <w:rPr>
                <w:sz w:val="13"/>
                <w:szCs w:val="13"/>
                <w:color w:val="auto"/>
              </w:rPr>
            </w:pPr>
          </w:p>
        </w:tc>
      </w:tr>
      <w:tr>
        <w:trPr>
          <w:trHeight w:val="194"/>
        </w:trPr>
        <w:tc>
          <w:tcPr>
            <w:tcW w:w="502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Effective tax rate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11.2%</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15.3%</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34.0%</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4"/>
                <w:szCs w:val="14"/>
                <w:i w:val="1"/>
                <w:iCs w:val="1"/>
                <w:color w:val="auto"/>
              </w:rPr>
              <w:t>(4.1pts</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(18.7pts</w:t>
            </w:r>
          </w:p>
        </w:tc>
      </w:tr>
      <w:tr>
        <w:trPr>
          <w:trHeight w:val="378"/>
        </w:trPr>
        <w:tc>
          <w:tcPr>
            <w:tcW w:w="5020" w:type="dxa"/>
            <w:vAlign w:val="bottom"/>
          </w:tcPr>
          <w:p>
            <w:pPr>
              <w:spacing w:after="0"/>
              <w:rPr>
                <w:sz w:val="20"/>
                <w:szCs w:val="20"/>
                <w:color w:val="auto"/>
              </w:rPr>
            </w:pPr>
            <w:r>
              <w:rPr>
                <w:rFonts w:ascii="Arial" w:cs="Arial" w:eastAsia="Arial" w:hAnsi="Arial"/>
                <w:sz w:val="18"/>
                <w:szCs w:val="18"/>
                <w:color w:val="auto"/>
              </w:rPr>
              <w:t>N.M. Not Meaningful</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300" w:type="dxa"/>
            <w:vAlign w:val="bottom"/>
            <w:gridSpan w:val="2"/>
          </w:tcPr>
          <w:p>
            <w:pPr>
              <w:spacing w:after="0"/>
              <w:rPr>
                <w:sz w:val="20"/>
                <w:szCs w:val="20"/>
                <w:color w:val="auto"/>
              </w:rPr>
            </w:pPr>
            <w:r>
              <w:rPr>
                <w:rFonts w:ascii="Arial" w:cs="Arial" w:eastAsia="Arial" w:hAnsi="Arial"/>
                <w:sz w:val="18"/>
                <w:szCs w:val="18"/>
                <w:color w:val="auto"/>
                <w:w w:val="93"/>
              </w:rPr>
              <w:t>The components of the consolidated net sales change were as follows: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94"/>
              <w:spacing w:after="0"/>
              <w:rPr>
                <w:sz w:val="20"/>
                <w:szCs w:val="20"/>
                <w:color w:val="auto"/>
              </w:rPr>
            </w:pPr>
            <w:r>
              <w:rPr>
                <w:rFonts w:ascii="Arial" w:cs="Arial" w:eastAsia="Arial" w:hAnsi="Arial"/>
                <w:sz w:val="18"/>
                <w:szCs w:val="18"/>
                <w:b w:val="1"/>
                <w:bCs w:val="1"/>
                <w:color w:val="auto"/>
                <w:w w:val="88"/>
              </w:rPr>
              <w:t>2019 vs 2018</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2018 vs 2017</w:t>
            </w:r>
          </w:p>
        </w:tc>
      </w:tr>
      <w:tr>
        <w:trPr>
          <w:trHeight w:val="34"/>
        </w:trPr>
        <w:tc>
          <w:tcPr>
            <w:tcW w:w="5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4"/>
              <w:spacing w:after="0"/>
              <w:rPr>
                <w:sz w:val="20"/>
                <w:szCs w:val="20"/>
                <w:color w:val="auto"/>
              </w:rPr>
            </w:pPr>
            <w:r>
              <w:rPr>
                <w:rFonts w:ascii="Arial" w:cs="Arial" w:eastAsia="Arial" w:hAnsi="Arial"/>
                <w:sz w:val="18"/>
                <w:szCs w:val="18"/>
                <w:color w:val="auto"/>
              </w:rPr>
              <w:t>2.6</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jc w:val="right"/>
              <w:ind w:right="3853"/>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4"/>
              <w:spacing w:after="0"/>
              <w:rPr>
                <w:sz w:val="20"/>
                <w:szCs w:val="20"/>
                <w:color w:val="auto"/>
              </w:rPr>
            </w:pPr>
            <w:r>
              <w:rPr>
                <w:rFonts w:ascii="Arial" w:cs="Arial" w:eastAsia="Arial" w:hAnsi="Arial"/>
                <w:sz w:val="18"/>
                <w:szCs w:val="18"/>
                <w:color w:val="auto"/>
              </w:rPr>
              <w:t>2.5</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3"/>
                <w:szCs w:val="23"/>
                <w:color w:val="auto"/>
              </w:rPr>
            </w:pP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(0.3)%</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20"/>
                <w:szCs w:val="20"/>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0.3 percent decrease in consolidated net sales in 2019 from 2018 was primarily the result of:</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volume declines across all three reportable segments; and</w:t>
      </w:r>
    </w:p>
    <w:p>
      <w:pPr>
        <w:spacing w:after="0" w:line="171" w:lineRule="exact"/>
        <w:rPr>
          <w:rFonts w:ascii="Arial" w:cs="Arial" w:eastAsia="Arial" w:hAnsi="Arial"/>
          <w:sz w:val="18"/>
          <w:szCs w:val="18"/>
          <w:i w:val="1"/>
          <w:iCs w:val="1"/>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foreign currency effects.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acquisitions of the Aquion and Pelican businesses in 2019.</w:t>
      </w:r>
    </w:p>
    <w:p>
      <w:pPr>
        <w:sectPr>
          <w:pgSz w:w="11900" w:h="16838" w:orient="portrait"/>
          <w:cols w:equalWidth="0" w:num="1">
            <w:col w:w="11420"/>
          </w:cols>
          <w:pgMar w:left="240" w:top="55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53"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The 4.2 percent increase in consolidated net sales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color w:val="auto"/>
        </w:rPr>
        <w:t>core sales increases across all three reportable segments, primarily driven by increased sales in the residential and commercial businesses;</w:t>
      </w:r>
    </w:p>
    <w:p>
      <w:pPr>
        <w:spacing w:after="0" w:line="194" w:lineRule="exact"/>
        <w:rPr>
          <w:rFonts w:ascii="Arial" w:cs="Arial" w:eastAsia="Arial" w:hAnsi="Arial"/>
          <w:sz w:val="16"/>
          <w:szCs w:val="16"/>
          <w:i w:val="1"/>
          <w:iCs w:val="1"/>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favorable foreign currency effects during the year ended December 31, 2018.</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declines due to the sale of certain businesses during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0.3 percentage point increase in gross profit as a percentage of net sales in 2019 from 2018 was primarily the result of:</w:t>
      </w:r>
    </w:p>
    <w:p>
      <w:pPr>
        <w:spacing w:after="0" w:line="15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selective increases in selling prices across all three reportable segments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higher contribution margin as a result of savings generated from our PIMS initiatives, including lean and supply management practices.</w:t>
      </w:r>
    </w:p>
    <w:p>
      <w:pPr>
        <w:spacing w:after="0" w:line="200" w:lineRule="exact"/>
        <w:rPr>
          <w:sz w:val="20"/>
          <w:szCs w:val="20"/>
          <w:color w:val="auto"/>
        </w:rPr>
      </w:pPr>
    </w:p>
    <w:p>
      <w:pPr>
        <w:spacing w:after="0" w:line="37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mix as a result of a core sales growth decrease in the higher margin Aquatic Systems segment;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inflationary increases related to raw materials and labor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0.6 percentage point increase in gross profit as a percentage of net sales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selective increases in selling prices across all three reportable segments to mitigate inflationary cost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favorable mix in the Filtration Solutions segment;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higher contribution margin as a result of savings generated from our PIMS initiatives, including lean and supply management practices.</w:t>
      </w:r>
    </w:p>
    <w:p>
      <w:pPr>
        <w:spacing w:after="0" w:line="200" w:lineRule="exact"/>
        <w:rPr>
          <w:sz w:val="20"/>
          <w:szCs w:val="20"/>
          <w:color w:val="auto"/>
        </w:rPr>
      </w:pPr>
    </w:p>
    <w:p>
      <w:pPr>
        <w:spacing w:after="0" w:line="37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inflationary increases related to raw materials and labor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0.3 percentage point increase in SG&amp;A expense as a percentage of net sales in 2019 from 2018 and was driven by:</w:t>
      </w:r>
    </w:p>
    <w:p>
      <w:pPr>
        <w:spacing w:after="0" w:line="1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sales volumes, which resulted in decreased leverage on fixed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in sales and marketing to drive growth;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impairments of $21.2 million in 2019, compared to $12.0 million in 2018.</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and other costs of $21.0 million in 2019, compared to $31.8 million in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duplicative corporate costs of $11.0 million in 2018 resulting from the Separation of nVent that did not recur in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annual performance based cash incentive awards in 2019 compared to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0.8 percentage point decrease in SG&amp;A expense as a percentage of net sales in 2018 from 2017 was driven by:</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sales resulting in increased leverage.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0"/>
          </w:cols>
          <w:pgMar w:left="240" w:top="719" w:right="1079"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and other costs of $31.8 million in 2018, compared to $28.2 million in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reversal of a $13.3 million indemnification liability in 2017 that did not recur in 2018;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investments in sales and marketing to drive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7.7 percent and 62.7 decreases in net interest expense in 2019 from 2018 and in 2018 from 2017, respectively were the result of:</w:t>
      </w:r>
    </w:p>
    <w:p>
      <w:pPr>
        <w:spacing w:after="0" w:line="157" w:lineRule="exact"/>
        <w:rPr>
          <w:sz w:val="20"/>
          <w:szCs w:val="20"/>
          <w:color w:val="auto"/>
        </w:rPr>
      </w:pPr>
    </w:p>
    <w:p>
      <w:pPr>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average outstanding debt levels during the first half of 2019 compared to 2018. In June 2018, the proceeds from the Separation were utilized to repay the remaining $255.3 million aggregate principal amount of our 2.9% fixed rate senior notes due 2018 and for the early extinguishment of €363.4 million aggregate principal amount of our 2.45% senior notes due 2019.</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3" w:lineRule="exact"/>
        <w:rPr>
          <w:sz w:val="20"/>
          <w:szCs w:val="20"/>
          <w:color w:val="auto"/>
        </w:rPr>
      </w:pPr>
    </w:p>
    <w:p>
      <w:pPr>
        <w:ind w:left="60" w:right="80"/>
        <w:spacing w:after="0" w:line="254" w:lineRule="auto"/>
        <w:rPr>
          <w:sz w:val="20"/>
          <w:szCs w:val="20"/>
          <w:color w:val="auto"/>
        </w:rPr>
      </w:pPr>
      <w:r>
        <w:rPr>
          <w:rFonts w:ascii="Arial" w:cs="Arial" w:eastAsia="Arial" w:hAnsi="Arial"/>
          <w:sz w:val="18"/>
          <w:szCs w:val="18"/>
          <w:color w:val="auto"/>
        </w:rPr>
        <w:t xml:space="preserve">In 2018, we redeemed the remaining $255.3 million aggregate principal amount of our 2.9% fixed rate senior notes due 2018 and completed a cash tender offer in the amount of €363.4 million aggregate principal amount of our 2.45% senior notes due 2019. All costs associated with the repurchases of debt were recorded as a </w:t>
      </w:r>
      <w:r>
        <w:rPr>
          <w:rFonts w:ascii="Arial" w:cs="Arial" w:eastAsia="Arial" w:hAnsi="Arial"/>
          <w:sz w:val="18"/>
          <w:szCs w:val="18"/>
          <w:i w:val="1"/>
          <w:iCs w:val="1"/>
          <w:color w:val="auto"/>
        </w:rPr>
        <w:t>Loss on the early extinguishment of debt</w:t>
      </w:r>
      <w:r>
        <w:rPr>
          <w:rFonts w:ascii="Arial" w:cs="Arial" w:eastAsia="Arial" w:hAnsi="Arial"/>
          <w:sz w:val="18"/>
          <w:szCs w:val="18"/>
          <w:color w:val="auto"/>
        </w:rPr>
        <w:t>, including $16.0 million premium paid on early extinguishment and $1.1 million of unamortized deferred financing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4.1 percentage point decrease in the effective tax rate in 2019 from 2018 was primarily due to:</w:t>
      </w:r>
    </w:p>
    <w:p>
      <w:pPr>
        <w:spacing w:after="0" w:line="15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mix of global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lower nondeductible interest expense allocated to continuing operations in 2019 compared to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unfavorable tax impact of restructuring costs in 2018 related to jurisdictions with low tax benefits that did not recur in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valuation allowances during 2019.</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18.7 percentage point decrease in the effective tax rate in 2018 from 2017 was primarily due to:</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mix of global earnings, including the impact of U.S. Tax Reform;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lower nondeductible interest expense allocated to continuing operations in 2018 compared to 2017.</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 OF OPERATIONS</w:t>
      </w:r>
    </w:p>
    <w:p>
      <w:pPr>
        <w:spacing w:after="0" w:line="175" w:lineRule="exact"/>
        <w:rPr>
          <w:sz w:val="20"/>
          <w:szCs w:val="20"/>
          <w:color w:val="auto"/>
        </w:rPr>
      </w:pPr>
    </w:p>
    <w:p>
      <w:pPr>
        <w:ind w:left="60" w:right="440"/>
        <w:spacing w:after="0" w:line="342" w:lineRule="auto"/>
        <w:rPr>
          <w:sz w:val="20"/>
          <w:szCs w:val="20"/>
          <w:color w:val="auto"/>
        </w:rPr>
      </w:pPr>
      <w:r>
        <w:rPr>
          <w:rFonts w:ascii="Arial" w:cs="Arial" w:eastAsia="Arial" w:hAnsi="Arial"/>
          <w:sz w:val="16"/>
          <w:szCs w:val="16"/>
          <w:color w:val="auto"/>
        </w:rPr>
        <w:t>This summary that follows provides a discussion of the results of operations of each of our 2019 three reportable segments (Aquatic Systems, Filtration Solutions and Flow Technologies). Each of these segments were comprised of various product offerings that serve multiple end markets.</w:t>
      </w:r>
    </w:p>
    <w:p>
      <w:pPr>
        <w:spacing w:after="0" w:line="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evaluate performance based on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Aquatic Systems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Aquatic Systems were as follows:</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2"/>
          </w:tcPr>
          <w:p>
            <w:pPr>
              <w:jc w:val="right"/>
              <w:ind w:right="494"/>
              <w:spacing w:after="0"/>
              <w:rPr>
                <w:sz w:val="20"/>
                <w:szCs w:val="20"/>
                <w:color w:val="auto"/>
              </w:rPr>
            </w:pPr>
            <w:r>
              <w:rPr>
                <w:rFonts w:ascii="Arial" w:cs="Arial" w:eastAsia="Arial" w:hAnsi="Arial"/>
                <w:sz w:val="18"/>
                <w:szCs w:val="18"/>
                <w:b w:val="1"/>
                <w:bCs w:val="1"/>
                <w:color w:val="auto"/>
              </w:rPr>
              <w:t>% / point change</w:t>
            </w:r>
          </w:p>
        </w:tc>
      </w:tr>
      <w:tr>
        <w:trPr>
          <w:trHeight w:val="34"/>
        </w:trPr>
        <w:tc>
          <w:tcPr>
            <w:tcW w:w="4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980" w:type="dxa"/>
            <w:vAlign w:val="bottom"/>
          </w:tcPr>
          <w:p>
            <w:pPr>
              <w:jc w:val="right"/>
              <w:ind w:right="373"/>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1"/>
                <w:szCs w:val="21"/>
                <w:color w:val="auto"/>
              </w:rPr>
            </w:pPr>
          </w:p>
        </w:tc>
        <w:tc>
          <w:tcPr>
            <w:tcW w:w="840" w:type="dxa"/>
            <w:vAlign w:val="bottom"/>
          </w:tcPr>
          <w:p>
            <w:pPr>
              <w:jc w:val="right"/>
              <w:ind w:right="354"/>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b w:val="1"/>
                <w:bCs w:val="1"/>
                <w:color w:val="auto"/>
                <w:w w:val="96"/>
              </w:rPr>
              <w:t>2019 vs 2018</w:t>
            </w: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w w:val="94"/>
              </w:rPr>
              <w:t>2018 vs 2017</w:t>
            </w:r>
          </w:p>
        </w:tc>
      </w:tr>
      <w:tr>
        <w:trPr>
          <w:trHeight w:val="34"/>
        </w:trPr>
        <w:tc>
          <w:tcPr>
            <w:tcW w:w="4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985.3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1,026.1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939.6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268.9</w:t>
            </w: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277.6</w:t>
            </w:r>
          </w:p>
        </w:tc>
        <w:tc>
          <w:tcPr>
            <w:tcW w:w="42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9.2%</w:t>
            </w:r>
          </w:p>
        </w:tc>
      </w:tr>
      <w:tr>
        <w:trPr>
          <w:trHeight w:val="27"/>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51"/>
        </w:trPr>
        <w:tc>
          <w:tcPr>
            <w:tcW w:w="496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27.3%</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27.1%</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4"/>
                <w:szCs w:val="14"/>
                <w:i w:val="1"/>
                <w:iCs w:val="1"/>
                <w:color w:val="auto"/>
              </w:rPr>
              <w:t>0.2pts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 pts</w:t>
            </w:r>
          </w:p>
        </w:tc>
      </w:tr>
      <w:tr>
        <w:trPr>
          <w:trHeight w:val="432"/>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13"/>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Aquatic Systems net sales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8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 vs 2018</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2018 vs 2017</w:t>
            </w:r>
          </w:p>
        </w:tc>
      </w:tr>
      <w:tr>
        <w:trPr>
          <w:trHeight w:val="34"/>
        </w:trPr>
        <w:tc>
          <w:tcPr>
            <w:tcW w:w="53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4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Price</w:t>
            </w:r>
          </w:p>
        </w:tc>
        <w:tc>
          <w:tcPr>
            <w:tcW w:w="480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7"/>
        </w:trPr>
        <w:tc>
          <w:tcPr>
            <w:tcW w:w="53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4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4800" w:type="dxa"/>
            <w:vAlign w:val="bottom"/>
          </w:tcPr>
          <w:p>
            <w:pPr>
              <w:jc w:val="right"/>
              <w:ind w:right="210"/>
              <w:spacing w:after="0"/>
              <w:rPr>
                <w:sz w:val="20"/>
                <w:szCs w:val="20"/>
                <w:color w:val="auto"/>
              </w:rPr>
            </w:pPr>
            <w:r>
              <w:rPr>
                <w:rFonts w:ascii="Arial" w:cs="Arial" w:eastAsia="Arial" w:hAnsi="Arial"/>
                <w:sz w:val="18"/>
                <w:szCs w:val="18"/>
                <w:color w:val="auto"/>
              </w:rPr>
              <w:t>(0.8)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53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4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53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4.0 percent decrease in net sales for Aquatic Systems in 2019 from 2018 was primarily the result of:</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volume declines due to cold, wet weather during the first half of 2019 in key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than anticipated inventory levels in some of our key distribution channels impacting our residential and commercial businesses during the first nine months of 2019;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divestitures in our aquaculture and residential pool businesses;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9.2 percent increase in net sales for Aquatic Systems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core sales growth related to higher sales of certain pool products primarily serving North American residential housing;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This increase was partially offset by</w:t>
            </w:r>
          </w:p>
        </w:tc>
        <w:tc>
          <w:tcPr>
            <w:tcW w:w="1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sales declines due to the divestiture of certain businesses in 2018.</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4"/>
        </w:trPr>
        <w:tc>
          <w:tcPr>
            <w:tcW w:w="8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income</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w w:val="99"/>
              </w:rPr>
              <w:t>The components of the change in Aquatic Systems segment income from the prior period were as follows:</w:t>
            </w:r>
          </w:p>
        </w:tc>
        <w:tc>
          <w:tcPr>
            <w:tcW w:w="1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8"/>
        </w:trPr>
        <w:tc>
          <w:tcPr>
            <w:tcW w:w="8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spacing w:after="0"/>
              <w:rPr>
                <w:sz w:val="24"/>
                <w:szCs w:val="24"/>
                <w:color w:val="auto"/>
              </w:rPr>
            </w:pPr>
          </w:p>
        </w:tc>
        <w:tc>
          <w:tcPr>
            <w:tcW w:w="172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34"/>
        </w:trPr>
        <w:tc>
          <w:tcPr>
            <w:tcW w:w="2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 pts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pts</w:t>
            </w:r>
          </w:p>
        </w:tc>
      </w:tr>
      <w:tr>
        <w:trPr>
          <w:trHeight w:val="243"/>
        </w:trPr>
        <w:tc>
          <w:tcPr>
            <w:tcW w:w="2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1220" w:type="dxa"/>
            <w:vAlign w:val="bottom"/>
          </w:tcPr>
          <w:p>
            <w:pPr>
              <w:jc w:val="right"/>
              <w:ind w:right="690"/>
              <w:spacing w:after="0"/>
              <w:rPr>
                <w:sz w:val="20"/>
                <w:szCs w:val="20"/>
                <w:color w:val="auto"/>
              </w:rPr>
            </w:pPr>
            <w:r>
              <w:rPr>
                <w:rFonts w:ascii="Arial" w:cs="Arial" w:eastAsia="Arial" w:hAnsi="Arial"/>
                <w:sz w:val="18"/>
                <w:szCs w:val="18"/>
                <w:color w:val="auto"/>
              </w:rPr>
              <w:t>0.2</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12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(2.7)</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Productivity/Price</w:t>
            </w:r>
          </w:p>
        </w:tc>
        <w:tc>
          <w:tcPr>
            <w:tcW w:w="1220" w:type="dxa"/>
            <w:vAlign w:val="bottom"/>
          </w:tcPr>
          <w:p>
            <w:pPr>
              <w:jc w:val="right"/>
              <w:ind w:right="690"/>
              <w:spacing w:after="0"/>
              <w:rPr>
                <w:sz w:val="20"/>
                <w:szCs w:val="20"/>
                <w:color w:val="auto"/>
              </w:rPr>
            </w:pPr>
            <w:r>
              <w:rPr>
                <w:rFonts w:ascii="Arial" w:cs="Arial" w:eastAsia="Arial" w:hAnsi="Arial"/>
                <w:sz w:val="18"/>
                <w:szCs w:val="18"/>
                <w:color w:val="auto"/>
              </w:rPr>
              <w:t>4.4</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0.2 pts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pts</w:t>
            </w:r>
          </w:p>
        </w:tc>
      </w:tr>
      <w:tr>
        <w:trPr>
          <w:trHeight w:val="20"/>
        </w:trPr>
        <w:tc>
          <w:tcPr>
            <w:tcW w:w="20" w:type="dxa"/>
            <w:vAlign w:val="bottom"/>
          </w:tcPr>
          <w:p>
            <w:pPr>
              <w:spacing w:after="0" w:line="20" w:lineRule="exact"/>
              <w:rPr>
                <w:sz w:val="1"/>
                <w:szCs w:val="1"/>
                <w:color w:val="auto"/>
              </w:rPr>
            </w:pPr>
          </w:p>
        </w:tc>
        <w:tc>
          <w:tcPr>
            <w:tcW w:w="8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The 0.2 percentage point increase in segment income for Aquatic Systems as a percentage of net sales in 2019 from 2018 was primarily the result of:</w:t>
      </w:r>
    </w:p>
    <w:p>
      <w:pPr>
        <w:spacing w:after="0" w:line="18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productivity and cost savings generated from PIMS initiatives, including lean and supply management practices.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declines in sales volume and unfavorable sales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investment in both research and development and sales and marketing to drive growth;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ectPr>
          <w:pgSz w:w="11900" w:h="16838" w:orient="portrait"/>
          <w:cols w:equalWidth="0" w:num="1">
            <w:col w:w="11420"/>
          </w:cols>
          <w:pgMar w:left="240" w:top="7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19"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i w:val="1"/>
          <w:iCs w:val="1"/>
          <w:color w:val="auto"/>
        </w:rPr>
        <w:t>The 0.1 percentage point increase in segment income for Aquatic Systems as a percentage of net sales in 2018 from 2017 was primarily the result of:</w:t>
      </w:r>
    </w:p>
    <w:p>
      <w:pPr>
        <w:spacing w:after="0" w:line="18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core sales growth contributions to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savings generated from PIMS initiatives including lean and supply management practices.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inflationary increases related to raw materials and labor costs.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Filtration Solutions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Filtration Solutions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3"/>
          </w:tcPr>
          <w:p>
            <w:pPr>
              <w:ind w:left="600"/>
              <w:spacing w:after="0"/>
              <w:rPr>
                <w:sz w:val="20"/>
                <w:szCs w:val="20"/>
                <w:color w:val="auto"/>
              </w:rPr>
            </w:pPr>
            <w:r>
              <w:rPr>
                <w:rFonts w:ascii="Arial" w:cs="Arial" w:eastAsia="Arial" w:hAnsi="Arial"/>
                <w:sz w:val="18"/>
                <w:szCs w:val="18"/>
                <w:b w:val="1"/>
                <w:bCs w:val="1"/>
                <w:color w:val="auto"/>
              </w:rPr>
              <w:t>% / point change</w:t>
            </w:r>
          </w:p>
        </w:tc>
      </w:tr>
      <w:tr>
        <w:trPr>
          <w:trHeight w:val="34"/>
        </w:trPr>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1"/>
                <w:szCs w:val="21"/>
                <w:color w:val="auto"/>
              </w:rPr>
            </w:pPr>
          </w:p>
        </w:tc>
        <w:tc>
          <w:tcPr>
            <w:tcW w:w="840" w:type="dxa"/>
            <w:vAlign w:val="bottom"/>
          </w:tcPr>
          <w:p>
            <w:pPr>
              <w:jc w:val="right"/>
              <w:ind w:right="354"/>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b w:val="1"/>
                <w:bCs w:val="1"/>
                <w:color w:val="auto"/>
                <w:w w:val="98"/>
              </w:rPr>
              <w:t>2019 vs 2018</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2018 vs 2017</w:t>
            </w:r>
          </w:p>
        </w:tc>
      </w:tr>
      <w:tr>
        <w:trPr>
          <w:trHeight w:val="34"/>
        </w:trPr>
        <w:tc>
          <w:tcPr>
            <w:tcW w:w="6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1,066.9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1,001.0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990.6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6.6 %</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171.3</w:t>
            </w: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168.5</w:t>
            </w:r>
          </w:p>
        </w:tc>
        <w:tc>
          <w:tcPr>
            <w:tcW w:w="42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1280" w:type="dxa"/>
            <w:vAlign w:val="bottom"/>
          </w:tcPr>
          <w:p>
            <w:pPr>
              <w:ind w:left="760"/>
              <w:spacing w:after="0"/>
              <w:rPr>
                <w:sz w:val="20"/>
                <w:szCs w:val="20"/>
                <w:color w:val="auto"/>
              </w:rPr>
            </w:pPr>
            <w:r>
              <w:rPr>
                <w:rFonts w:ascii="Arial" w:cs="Arial" w:eastAsia="Arial" w:hAnsi="Arial"/>
                <w:sz w:val="18"/>
                <w:szCs w:val="18"/>
                <w:color w:val="auto"/>
              </w:rPr>
              <w:t>1.7 %</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60" w:type="dxa"/>
            <w:vAlign w:val="bottom"/>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53"/>
              <w:spacing w:after="0" w:line="157" w:lineRule="exact"/>
              <w:rPr>
                <w:sz w:val="20"/>
                <w:szCs w:val="20"/>
                <w:color w:val="auto"/>
              </w:rPr>
            </w:pPr>
            <w:r>
              <w:rPr>
                <w:rFonts w:ascii="Arial" w:cs="Arial" w:eastAsia="Arial" w:hAnsi="Arial"/>
                <w:sz w:val="14"/>
                <w:szCs w:val="14"/>
                <w:i w:val="1"/>
                <w:iCs w:val="1"/>
                <w:color w:val="auto"/>
              </w:rPr>
              <w:t>)</w:t>
            </w: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4"/>
        </w:trPr>
        <w:tc>
          <w:tcPr>
            <w:tcW w:w="60" w:type="dxa"/>
            <w:vAlign w:val="bottom"/>
          </w:tcPr>
          <w:p>
            <w:pPr>
              <w:spacing w:after="0"/>
              <w:rPr>
                <w:sz w:val="16"/>
                <w:szCs w:val="16"/>
                <w:color w:val="auto"/>
              </w:rPr>
            </w:pPr>
          </w:p>
        </w:tc>
        <w:tc>
          <w:tcPr>
            <w:tcW w:w="498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 of net sales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16.1%</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16.8%</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ind w:left="760"/>
              <w:spacing w:after="0"/>
              <w:rPr>
                <w:sz w:val="20"/>
                <w:szCs w:val="20"/>
                <w:color w:val="auto"/>
              </w:rPr>
            </w:pPr>
            <w:r>
              <w:rPr>
                <w:rFonts w:ascii="Arial" w:cs="Arial" w:eastAsia="Arial" w:hAnsi="Arial"/>
                <w:sz w:val="14"/>
                <w:szCs w:val="14"/>
                <w:i w:val="1"/>
                <w:iCs w:val="1"/>
                <w:color w:val="auto"/>
              </w:rPr>
              <w:t>(0.7pts</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i w:val="1"/>
                <w:iCs w:val="1"/>
                <w:color w:val="auto"/>
                <w:w w:val="99"/>
              </w:rPr>
              <w:t>1.2 pts</w:t>
            </w:r>
          </w:p>
        </w:tc>
      </w:tr>
      <w:tr>
        <w:trPr>
          <w:trHeight w:val="364"/>
        </w:trPr>
        <w:tc>
          <w:tcPr>
            <w:tcW w:w="5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320" w:type="dxa"/>
            <w:vAlign w:val="bottom"/>
            <w:gridSpan w:val="4"/>
          </w:tcPr>
          <w:p>
            <w:pPr>
              <w:spacing w:after="0"/>
              <w:rPr>
                <w:sz w:val="20"/>
                <w:szCs w:val="20"/>
                <w:color w:val="auto"/>
              </w:rPr>
            </w:pPr>
            <w:r>
              <w:rPr>
                <w:rFonts w:ascii="Arial" w:cs="Arial" w:eastAsia="Arial" w:hAnsi="Arial"/>
                <w:sz w:val="18"/>
                <w:szCs w:val="18"/>
                <w:color w:val="auto"/>
                <w:w w:val="99"/>
              </w:rPr>
              <w:t>The components of the change in Filtration Solutions net sales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b w:val="1"/>
                <w:bCs w:val="1"/>
                <w:color w:val="auto"/>
                <w:w w:val="88"/>
              </w:rPr>
              <w:t>2019 vs 2018</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2018 vs 2017</w:t>
            </w:r>
          </w:p>
        </w:tc>
      </w:tr>
      <w:tr>
        <w:trPr>
          <w:trHeight w:val="34"/>
        </w:trPr>
        <w:tc>
          <w:tcPr>
            <w:tcW w:w="5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 w:type="dxa"/>
            <w:vAlign w:val="bottom"/>
          </w:tcPr>
          <w:p>
            <w:pPr>
              <w:spacing w:after="0"/>
              <w:rPr>
                <w:sz w:val="21"/>
                <w:szCs w:val="2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313"/>
              <w:spacing w:after="0"/>
              <w:rPr>
                <w:sz w:val="20"/>
                <w:szCs w:val="20"/>
                <w:color w:val="auto"/>
              </w:rPr>
            </w:pPr>
            <w:r>
              <w:rPr>
                <w:rFonts w:ascii="Arial" w:cs="Arial" w:eastAsia="Arial" w:hAnsi="Arial"/>
                <w:sz w:val="18"/>
                <w:szCs w:val="18"/>
                <w:color w:val="auto"/>
              </w:rPr>
              <w:t>1.2</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Core growth</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(0.7)</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Acquisition (divestiture)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313"/>
              <w:spacing w:after="0"/>
              <w:rPr>
                <w:sz w:val="20"/>
                <w:szCs w:val="20"/>
                <w:color w:val="auto"/>
              </w:rPr>
            </w:pPr>
            <w:r>
              <w:rPr>
                <w:rFonts w:ascii="Arial" w:cs="Arial" w:eastAsia="Arial" w:hAnsi="Arial"/>
                <w:sz w:val="18"/>
                <w:szCs w:val="18"/>
                <w:color w:val="auto"/>
              </w:rPr>
              <w:t>9.7</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r>
      <w:tr>
        <w:trPr>
          <w:trHeight w:val="27"/>
        </w:trPr>
        <w:tc>
          <w:tcPr>
            <w:tcW w:w="5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(2.4)</w:t>
            </w: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3"/>
                <w:szCs w:val="23"/>
                <w:color w:val="auto"/>
              </w:rPr>
            </w:pPr>
          </w:p>
        </w:tc>
      </w:tr>
      <w:tr>
        <w:trPr>
          <w:trHeight w:val="237"/>
        </w:trPr>
        <w:tc>
          <w:tcPr>
            <w:tcW w:w="50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6.6 %</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0"/>
                <w:szCs w:val="20"/>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6.6 percent increase in net sales for Filtration Solutions in 2019 from 2018 was primarily the result of:</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due to the acquisitions of Aquion and Pelican in the first quarter of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200" w:lineRule="exact"/>
        <w:rPr>
          <w:sz w:val="20"/>
          <w:szCs w:val="20"/>
          <w:color w:val="auto"/>
        </w:rPr>
      </w:pPr>
    </w:p>
    <w:p>
      <w:pPr>
        <w:spacing w:after="0" w:line="349" w:lineRule="exact"/>
        <w:rPr>
          <w:sz w:val="20"/>
          <w:szCs w:val="20"/>
          <w:color w:val="auto"/>
        </w:rPr>
      </w:pPr>
    </w:p>
    <w:p>
      <w:pPr>
        <w:ind w:left="660" w:right="7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core sales volume in our residential and commercial businesses, partially due to lower component sales as Aquion sales are now considered intercompany;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foreign currency effects.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sales volume in our commercial and industrial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favorable foreign currency effects.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volume declines in our residential vertical;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declines due to the divestiture of certain businesses in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change in Filtration Solutions segment income from the prior period were as follows:</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400" w:type="dxa"/>
            <w:vAlign w:val="bottom"/>
          </w:tcPr>
          <w:p>
            <w:pPr>
              <w:ind w:left="790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spacing w:after="0"/>
              <w:rPr>
                <w:sz w:val="20"/>
                <w:szCs w:val="20"/>
                <w:color w:val="auto"/>
              </w:rPr>
            </w:pPr>
          </w:p>
        </w:tc>
        <w:tc>
          <w:tcPr>
            <w:tcW w:w="172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34"/>
        </w:trPr>
        <w:tc>
          <w:tcPr>
            <w:tcW w:w="8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1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0.6 pts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pts</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1220" w:type="dxa"/>
            <w:vAlign w:val="bottom"/>
          </w:tcPr>
          <w:p>
            <w:pPr>
              <w:jc w:val="right"/>
              <w:ind w:right="690"/>
              <w:spacing w:after="0"/>
              <w:rPr>
                <w:sz w:val="20"/>
                <w:szCs w:val="20"/>
                <w:color w:val="auto"/>
              </w:rPr>
            </w:pPr>
            <w:r>
              <w:rPr>
                <w:rFonts w:ascii="Arial" w:cs="Arial" w:eastAsia="Arial" w:hAnsi="Arial"/>
                <w:sz w:val="18"/>
                <w:szCs w:val="18"/>
                <w:color w:val="auto"/>
              </w:rPr>
              <w:t>0.1</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0.1</w:t>
            </w:r>
          </w:p>
        </w:tc>
      </w:tr>
      <w:tr>
        <w:trPr>
          <w:trHeight w:val="27"/>
        </w:trPr>
        <w:tc>
          <w:tcPr>
            <w:tcW w:w="8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12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(2.7)</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Productivity/Price</w:t>
            </w:r>
          </w:p>
        </w:tc>
        <w:tc>
          <w:tcPr>
            <w:tcW w:w="1220" w:type="dxa"/>
            <w:vAlign w:val="bottom"/>
          </w:tcPr>
          <w:p>
            <w:pPr>
              <w:jc w:val="right"/>
              <w:ind w:right="690"/>
              <w:spacing w:after="0"/>
              <w:rPr>
                <w:sz w:val="20"/>
                <w:szCs w:val="20"/>
                <w:color w:val="auto"/>
              </w:rPr>
            </w:pPr>
            <w:r>
              <w:rPr>
                <w:rFonts w:ascii="Arial" w:cs="Arial" w:eastAsia="Arial" w:hAnsi="Arial"/>
                <w:sz w:val="18"/>
                <w:szCs w:val="18"/>
                <w:color w:val="auto"/>
              </w:rPr>
              <w:t>1.3</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1.9</w:t>
            </w:r>
          </w:p>
        </w:tc>
      </w:tr>
      <w:tr>
        <w:trPr>
          <w:trHeight w:val="27"/>
        </w:trPr>
        <w:tc>
          <w:tcPr>
            <w:tcW w:w="8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(0.7) pts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pts</w:t>
            </w:r>
          </w:p>
        </w:tc>
      </w:tr>
      <w:tr>
        <w:trPr>
          <w:trHeight w:val="20"/>
        </w:trPr>
        <w:tc>
          <w:tcPr>
            <w:tcW w:w="8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The 0.7 percentage point decrease in segment income for Filtration Solutions as a percentage of net sales in 2019 from 2018 was primarily the result of:</w:t>
      </w:r>
    </w:p>
    <w:p>
      <w:pPr>
        <w:spacing w:after="0" w:line="19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Aquion and Pelican acquisitions;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favorable mix.</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1.2 percentage point increase in segment income for Filtration Solutions as a percentage of net sales in 2018 from 2017 was primarily the result of:</w:t>
      </w:r>
    </w:p>
    <w:p>
      <w:pPr>
        <w:spacing w:after="0" w:line="18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core growth contributions to income resulting in favorable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 savings generated from PIMS initiatives including lean and supply management practices.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Flow Technologies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Flow Technologies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3"/>
          </w:tcPr>
          <w:p>
            <w:pPr>
              <w:ind w:left="600"/>
              <w:spacing w:after="0"/>
              <w:rPr>
                <w:sz w:val="20"/>
                <w:szCs w:val="20"/>
                <w:color w:val="auto"/>
              </w:rPr>
            </w:pPr>
            <w:r>
              <w:rPr>
                <w:rFonts w:ascii="Arial" w:cs="Arial" w:eastAsia="Arial" w:hAnsi="Arial"/>
                <w:sz w:val="18"/>
                <w:szCs w:val="18"/>
                <w:b w:val="1"/>
                <w:bCs w:val="1"/>
                <w:color w:val="auto"/>
              </w:rPr>
              <w:t>% / point change</w:t>
            </w:r>
          </w:p>
        </w:tc>
      </w:tr>
      <w:tr>
        <w:trPr>
          <w:trHeight w:val="34"/>
        </w:trPr>
        <w:tc>
          <w:tcPr>
            <w:tcW w:w="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960" w:type="dxa"/>
            <w:vAlign w:val="bottom"/>
          </w:tcPr>
          <w:p>
            <w:pPr>
              <w:jc w:val="right"/>
              <w:ind w:right="354"/>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1"/>
                <w:szCs w:val="21"/>
                <w:color w:val="auto"/>
              </w:rPr>
            </w:pPr>
          </w:p>
        </w:tc>
        <w:tc>
          <w:tcPr>
            <w:tcW w:w="960" w:type="dxa"/>
            <w:vAlign w:val="bottom"/>
          </w:tcPr>
          <w:p>
            <w:pPr>
              <w:jc w:val="right"/>
              <w:ind w:right="354"/>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1"/>
                <w:szCs w:val="21"/>
                <w:color w:val="auto"/>
              </w:rPr>
            </w:pPr>
          </w:p>
        </w:tc>
        <w:tc>
          <w:tcPr>
            <w:tcW w:w="860" w:type="dxa"/>
            <w:vAlign w:val="bottom"/>
          </w:tcPr>
          <w:p>
            <w:pPr>
              <w:jc w:val="right"/>
              <w:ind w:right="374"/>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b w:val="1"/>
                <w:bCs w:val="1"/>
                <w:color w:val="auto"/>
                <w:w w:val="98"/>
              </w:rPr>
              <w:t>2019 vs 2018</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2018 vs 2017</w:t>
            </w:r>
          </w:p>
        </w:tc>
      </w:tr>
      <w:tr>
        <w:trPr>
          <w:trHeight w:val="34"/>
        </w:trPr>
        <w:tc>
          <w:tcPr>
            <w:tcW w:w="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903.6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936.7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914.2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533"/>
              <w:spacing w:after="0"/>
              <w:rPr>
                <w:sz w:val="20"/>
                <w:szCs w:val="20"/>
                <w:color w:val="auto"/>
              </w:rPr>
            </w:pPr>
            <w:r>
              <w:rPr>
                <w:rFonts w:ascii="Arial" w:cs="Arial" w:eastAsia="Arial" w:hAnsi="Arial"/>
                <w:sz w:val="18"/>
                <w:szCs w:val="18"/>
                <w:color w:val="auto"/>
                <w:w w:val="94"/>
              </w:rPr>
              <w:t>(3.5)%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138.4</w:t>
            </w:r>
          </w:p>
        </w:tc>
        <w:tc>
          <w:tcPr>
            <w:tcW w:w="3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145.6</w:t>
            </w:r>
          </w:p>
        </w:tc>
        <w:tc>
          <w:tcPr>
            <w:tcW w:w="42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280" w:type="dxa"/>
            <w:vAlign w:val="bottom"/>
          </w:tcPr>
          <w:p>
            <w:pPr>
              <w:jc w:val="center"/>
              <w:ind w:left="533"/>
              <w:spacing w:after="0"/>
              <w:rPr>
                <w:sz w:val="20"/>
                <w:szCs w:val="20"/>
                <w:color w:val="auto"/>
              </w:rPr>
            </w:pPr>
            <w:r>
              <w:rPr>
                <w:rFonts w:ascii="Arial" w:cs="Arial" w:eastAsia="Arial" w:hAnsi="Arial"/>
                <w:sz w:val="18"/>
                <w:szCs w:val="18"/>
                <w:color w:val="auto"/>
                <w:w w:val="94"/>
              </w:rPr>
              <w:t>(4.9)%</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6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53"/>
              <w:spacing w:after="0" w:line="157" w:lineRule="exact"/>
              <w:rPr>
                <w:sz w:val="20"/>
                <w:szCs w:val="20"/>
                <w:color w:val="auto"/>
              </w:rPr>
            </w:pPr>
            <w:r>
              <w:rPr>
                <w:rFonts w:ascii="Arial" w:cs="Arial" w:eastAsia="Arial" w:hAnsi="Arial"/>
                <w:sz w:val="14"/>
                <w:szCs w:val="14"/>
                <w:i w:val="1"/>
                <w:iCs w:val="1"/>
                <w:color w:val="auto"/>
              </w:rPr>
              <w:t>)</w:t>
            </w: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4"/>
        </w:trPr>
        <w:tc>
          <w:tcPr>
            <w:tcW w:w="60" w:type="dxa"/>
            <w:vAlign w:val="bottom"/>
          </w:tcPr>
          <w:p>
            <w:pPr>
              <w:spacing w:after="0"/>
              <w:rPr>
                <w:sz w:val="16"/>
                <w:szCs w:val="16"/>
                <w:color w:val="auto"/>
              </w:rPr>
            </w:pPr>
          </w:p>
        </w:tc>
        <w:tc>
          <w:tcPr>
            <w:tcW w:w="50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15.3%</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15.5%</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15.4%</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left="553"/>
              <w:spacing w:after="0"/>
              <w:rPr>
                <w:sz w:val="20"/>
                <w:szCs w:val="20"/>
                <w:color w:val="auto"/>
              </w:rPr>
            </w:pPr>
            <w:r>
              <w:rPr>
                <w:rFonts w:ascii="Arial" w:cs="Arial" w:eastAsia="Arial" w:hAnsi="Arial"/>
                <w:sz w:val="14"/>
                <w:szCs w:val="14"/>
                <w:i w:val="1"/>
                <w:iCs w:val="1"/>
                <w:color w:val="auto"/>
                <w:w w:val="93"/>
              </w:rPr>
              <w:t>(0.2pts</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4"/>
                <w:szCs w:val="14"/>
                <w:i w:val="1"/>
                <w:iCs w:val="1"/>
                <w:color w:val="auto"/>
                <w:w w:val="95"/>
              </w:rPr>
              <w:t>0.1 pts</w:t>
            </w:r>
          </w:p>
        </w:tc>
      </w:tr>
      <w:tr>
        <w:trPr>
          <w:trHeight w:val="364"/>
        </w:trPr>
        <w:tc>
          <w:tcPr>
            <w:tcW w:w="5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320" w:type="dxa"/>
            <w:vAlign w:val="bottom"/>
            <w:gridSpan w:val="4"/>
          </w:tcPr>
          <w:p>
            <w:pPr>
              <w:spacing w:after="0"/>
              <w:rPr>
                <w:sz w:val="20"/>
                <w:szCs w:val="20"/>
                <w:color w:val="auto"/>
              </w:rPr>
            </w:pPr>
            <w:r>
              <w:rPr>
                <w:rFonts w:ascii="Arial" w:cs="Arial" w:eastAsia="Arial" w:hAnsi="Arial"/>
                <w:sz w:val="18"/>
                <w:szCs w:val="18"/>
                <w:color w:val="auto"/>
                <w:w w:val="99"/>
              </w:rPr>
              <w:t>The components of the change in Flow Technologies net sales were as follows: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213"/>
              <w:spacing w:after="0"/>
              <w:rPr>
                <w:sz w:val="20"/>
                <w:szCs w:val="20"/>
                <w:color w:val="auto"/>
              </w:rPr>
            </w:pPr>
            <w:r>
              <w:rPr>
                <w:rFonts w:ascii="Arial" w:cs="Arial" w:eastAsia="Arial" w:hAnsi="Arial"/>
                <w:sz w:val="18"/>
                <w:szCs w:val="18"/>
                <w:b w:val="1"/>
                <w:bCs w:val="1"/>
                <w:color w:val="auto"/>
                <w:w w:val="87"/>
              </w:rPr>
              <w:t>2019 vs 2018</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2018 vs 2017</w:t>
            </w:r>
          </w:p>
        </w:tc>
      </w:tr>
      <w:tr>
        <w:trPr>
          <w:trHeight w:val="34"/>
        </w:trPr>
        <w:tc>
          <w:tcPr>
            <w:tcW w:w="5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333"/>
              <w:spacing w:after="0"/>
              <w:rPr>
                <w:sz w:val="20"/>
                <w:szCs w:val="20"/>
                <w:color w:val="auto"/>
              </w:rPr>
            </w:pPr>
            <w:r>
              <w:rPr>
                <w:rFonts w:ascii="Arial" w:cs="Arial" w:eastAsia="Arial" w:hAnsi="Arial"/>
                <w:sz w:val="18"/>
                <w:szCs w:val="18"/>
                <w:color w:val="auto"/>
              </w:rPr>
              <w:t>2.4</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(0.4)</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Acquisition (divestiture)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73"/>
              <w:spacing w:after="0"/>
              <w:rPr>
                <w:sz w:val="20"/>
                <w:szCs w:val="20"/>
                <w:color w:val="auto"/>
              </w:rPr>
            </w:pPr>
            <w:r>
              <w:rPr>
                <w:rFonts w:ascii="Arial" w:cs="Arial" w:eastAsia="Arial" w:hAnsi="Arial"/>
                <w:sz w:val="18"/>
                <w:szCs w:val="18"/>
                <w:color w:val="auto"/>
              </w:rPr>
              <w:t>(1.6)</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7"/>
        </w:trPr>
        <w:tc>
          <w:tcPr>
            <w:tcW w:w="5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3"/>
                <w:szCs w:val="23"/>
                <w:color w:val="auto"/>
              </w:rPr>
            </w:pPr>
          </w:p>
        </w:tc>
      </w:tr>
      <w:tr>
        <w:trPr>
          <w:trHeight w:val="237"/>
        </w:trPr>
        <w:tc>
          <w:tcPr>
            <w:tcW w:w="50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20"/>
                <w:szCs w:val="20"/>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3.5 percent decrease in Flow Technologies sales in 2019 from 2018 was primarily the result of:</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19" w:right="239" w:bottom="1440" w:gutter="0" w:footer="0" w:header="0"/>
        </w:sectPr>
      </w:pPr>
    </w:p>
    <w:bookmarkStart w:id="32" w:name="page33"/>
    <w:bookmarkEnd w:id="32"/>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sales volume in our agriculture-related business due to cold, wet weather in the first half of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divestitures in our agriculture-related business in Brazil and commercial flow business in Australia.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ind w:left="60"/>
              <w:spacing w:after="0"/>
              <w:rPr>
                <w:sz w:val="20"/>
                <w:szCs w:val="20"/>
                <w:color w:val="auto"/>
              </w:rPr>
            </w:pPr>
            <w:r>
              <w:rPr>
                <w:rFonts w:ascii="Arial" w:cs="Arial" w:eastAsia="Arial" w:hAnsi="Arial"/>
                <w:sz w:val="18"/>
                <w:szCs w:val="18"/>
                <w:i w:val="1"/>
                <w:iCs w:val="1"/>
                <w:color w:val="auto"/>
              </w:rPr>
              <w:t>This decrease was partially offset by:</w:t>
            </w:r>
          </w:p>
        </w:tc>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   selective increases in selling prices to mitigate inflationary cost increases.</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The 2.5 percent increase in Flow Technologies sales in 2018 from 2017 was primarily the result of:</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   core growth in our commercial and specialty businesses;</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   selective increases in selling prices to mitigate inflationary cost increases; and</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   favorable foreign currency effects during 2018;</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8440" w:type="dxa"/>
            <w:vAlign w:val="bottom"/>
            <w:gridSpan w:val="2"/>
          </w:tcPr>
          <w:p>
            <w:pPr>
              <w:ind w:left="60"/>
              <w:spacing w:after="0"/>
              <w:rPr>
                <w:sz w:val="20"/>
                <w:szCs w:val="20"/>
                <w:color w:val="auto"/>
              </w:rPr>
            </w:pPr>
            <w:r>
              <w:rPr>
                <w:rFonts w:ascii="Arial" w:cs="Arial" w:eastAsia="Arial" w:hAnsi="Arial"/>
                <w:sz w:val="18"/>
                <w:szCs w:val="18"/>
                <w:i w:val="1"/>
                <w:iCs w:val="1"/>
                <w:color w:val="auto"/>
              </w:rPr>
              <w:t>This increase was partially offset by:</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   sales declines due to the divestiture of certain businesses.</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64"/>
        </w:trPr>
        <w:tc>
          <w:tcPr>
            <w:tcW w:w="84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Segment income</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w w:val="97"/>
              </w:rPr>
              <w:t>The components of the change in Flow Technologies segment income from the prior period were as follows:</w:t>
            </w:r>
          </w:p>
        </w:tc>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8"/>
        </w:trPr>
        <w:tc>
          <w:tcPr>
            <w:tcW w:w="8440" w:type="dxa"/>
            <w:vAlign w:val="bottom"/>
            <w:gridSpan w:val="2"/>
          </w:tcPr>
          <w:p>
            <w:pPr>
              <w:ind w:left="794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spacing w:after="0"/>
              <w:rPr>
                <w:sz w:val="24"/>
                <w:szCs w:val="24"/>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 pts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pts</w:t>
            </w:r>
          </w:p>
        </w:tc>
      </w:tr>
      <w:tr>
        <w:trPr>
          <w:trHeight w:val="243"/>
        </w:trPr>
        <w:tc>
          <w:tcPr>
            <w:tcW w:w="80" w:type="dxa"/>
            <w:vAlign w:val="bottom"/>
          </w:tcPr>
          <w:p>
            <w:pPr>
              <w:spacing w:after="0"/>
              <w:rPr>
                <w:sz w:val="21"/>
                <w:szCs w:val="21"/>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Acquisition (divestiture)</w:t>
            </w:r>
          </w:p>
        </w:tc>
        <w:tc>
          <w:tcPr>
            <w:tcW w:w="1220" w:type="dxa"/>
            <w:vAlign w:val="bottom"/>
          </w:tcPr>
          <w:p>
            <w:pPr>
              <w:jc w:val="right"/>
              <w:ind w:right="630"/>
              <w:spacing w:after="0"/>
              <w:rPr>
                <w:sz w:val="20"/>
                <w:szCs w:val="20"/>
                <w:color w:val="auto"/>
              </w:rPr>
            </w:pPr>
            <w:r>
              <w:rPr>
                <w:rFonts w:ascii="Arial" w:cs="Arial" w:eastAsia="Arial" w:hAnsi="Arial"/>
                <w:sz w:val="18"/>
                <w:szCs w:val="18"/>
                <w:color w:val="auto"/>
              </w:rPr>
              <w:t>(0.2)</w:t>
            </w: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12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Productivity/Price</w:t>
            </w:r>
          </w:p>
        </w:tc>
        <w:tc>
          <w:tcPr>
            <w:tcW w:w="1220" w:type="dxa"/>
            <w:vAlign w:val="bottom"/>
          </w:tcPr>
          <w:p>
            <w:pPr>
              <w:jc w:val="right"/>
              <w:ind w:right="690"/>
              <w:spacing w:after="0"/>
              <w:rPr>
                <w:sz w:val="20"/>
                <w:szCs w:val="20"/>
                <w:color w:val="auto"/>
              </w:rPr>
            </w:pPr>
            <w:r>
              <w:rPr>
                <w:rFonts w:ascii="Arial" w:cs="Arial" w:eastAsia="Arial" w:hAnsi="Arial"/>
                <w:sz w:val="18"/>
                <w:szCs w:val="18"/>
                <w:color w:val="auto"/>
              </w:rPr>
              <w:t>3.2</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 pts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pts</w:t>
            </w:r>
          </w:p>
        </w:tc>
      </w:tr>
      <w:tr>
        <w:trPr>
          <w:trHeight w:val="20"/>
        </w:trPr>
        <w:tc>
          <w:tcPr>
            <w:tcW w:w="80" w:type="dxa"/>
            <w:vAlign w:val="bottom"/>
          </w:tcPr>
          <w:p>
            <w:pPr>
              <w:spacing w:after="0" w:line="20" w:lineRule="exact"/>
              <w:rPr>
                <w:sz w:val="1"/>
                <w:szCs w:val="1"/>
                <w:color w:val="auto"/>
              </w:rPr>
            </w:pPr>
          </w:p>
        </w:tc>
        <w:tc>
          <w:tcPr>
            <w:tcW w:w="8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The 0.2 percentage point decrease in segment income for Flow Technologies as a percentage of net sales in 2019 from 2018 was primarily the result of:</w:t>
      </w:r>
    </w:p>
    <w:p>
      <w:pPr>
        <w:spacing w:after="0" w:line="19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decreased sales volumes in our residential, commercial and industrial businesses, which resulted in decreased leverage on operating expenses.</w:t>
      </w:r>
    </w:p>
    <w:p>
      <w:pPr>
        <w:spacing w:after="0" w:line="200" w:lineRule="exact"/>
        <w:rPr>
          <w:sz w:val="20"/>
          <w:szCs w:val="20"/>
          <w:color w:val="auto"/>
        </w:rPr>
      </w:pPr>
    </w:p>
    <w:p>
      <w:pPr>
        <w:spacing w:after="0" w:line="37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0.1 point increase in segment income for Flow Technologies as a percentage of sales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core sales in our commercial and specialty businesses, which resulted in increased leverage on fixed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 control and savings generated from lean initiatives.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1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generally issue commercial paper to fund our financing needs on a short-term basis and use our revolving credit facility as back-up liquidity to support commercial paper.</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We experience seasonal cash flows primarily due to seasonal demand in a number of markets.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of continuing operations was $345.2 million in 2019, compared to $458.1 million in 2018 and $278.6 million in 2017.</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$345.2 million in net cash provided by operating activities of continuing operations in 2019 primarily reflects net income from continuing operations of $462.9 million, net of non-cash depreciation, amortization and asset impairment, partially offset by a negative impact of $105.4 million as a result of changes in net working capital and $20.9 million of pension and other post-retirement plan contributions, including $11.1 million of contributions made in conjunction with the termination of the Pentair Salaried Plan during 2019.</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$458.1 million in net cash provided by operating activities of continuing operations in 2018 primarily reflects net income from continuing operations of $435.4 million, net of non-cash depreciation, amortization, asset impairment and the loss on early extinguishment of debt, further increased by a positive impact $30.2 million as a result of changes in net working capital.</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$278.6 million in net cash provided by operating activities of continuing operations in 2017 primarily reflects net income from continuing operations of $318.3 million, net of non-cash depreciation, amortization, asset impairment and the loss on early extinguishment of debt, partially offset by a negative impact of $87.3 million as a result of changes in net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Cash used for investing activities of continuing operations was $331.9 million in 2019, compared to $61.7 million of cash used for investing activities of continuing operations in 2018 and $2,678.1 million of cash provided by investing activities of continuing operations in 2017.</w:t>
      </w:r>
    </w:p>
    <w:p>
      <w:pPr>
        <w:spacing w:after="0" w:line="10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Net cash used for investing activities of continuing operations in 2019 primarily reflects capital expenditures of $58.5 million and cash paid primarily for the Aquion and Pelican acquisitions, offset by $15.3 million of proceeds received from divestitures primarily related to our former aquaculture business.</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for investing activities of continuing operations in 2018 primarily reflects capital expenditures of $48.2 million and cash paid for the settlement of a working capital adjustment related to the sale of the Valves &amp; Controls business.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provided by investing activities of continuing operations in 2017 primarily reflects the sale of the Valves &amp; Controls business, partially offset by capital expenditures of $39.1 million and cash paid of $45.9 million to acquire a business as part of Filtration Solutions.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used for financing activities was $17.1 million in 2019, compared to $407.9 million and $3,432.6 million in 2018 and 2017,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53" w:right="259" w:bottom="1440" w:gutter="0" w:footer="0" w:header="0"/>
        </w:sectPr>
      </w:pPr>
    </w:p>
    <w:bookmarkStart w:id="34" w:name="page35"/>
    <w:bookmarkEnd w:id="34"/>
    <w:p>
      <w:pPr>
        <w:ind w:right="200"/>
        <w:spacing w:after="0" w:line="264" w:lineRule="auto"/>
        <w:rPr>
          <w:sz w:val="20"/>
          <w:szCs w:val="20"/>
          <w:color w:val="auto"/>
        </w:rPr>
      </w:pPr>
      <w:r>
        <w:rPr>
          <w:rFonts w:ascii="Arial" w:cs="Arial" w:eastAsia="Arial" w:hAnsi="Arial"/>
          <w:sz w:val="18"/>
          <w:szCs w:val="18"/>
          <w:color w:val="auto"/>
        </w:rPr>
        <w:t>In 2019, net cash used for financing activities primarily relates to repayment of senior notes due in 2019 totaling $401.5 million, $150.0 million of share repurchases and payment of dividends of $122.7 million, partially offset by proceeds from long-term debt of $600.0 million and net receipts of commercial paper and revolving long-term debt of $51.5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below, in 2018, we utilized $993.6 million of cash distributed from the Separation to repay commercial paper and revolving long-term debt and for the early extinguishment of certain series of fixed rate debt. Additionally, we repurchased $500.0 million of shares and made dividend payments of $187.2 million.</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2017, net cash used for financing activities primarily related to the utilization of proceeds from the sale of the Valves &amp; Controls business to repay our commercial paper and revolving long-term debt and for the early extinguishment of certain series of fixed rate debt. Additionally, we repurchased $200.0 million of shares and made dividend payments of $251.7 million.</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June 2019, Pentair, Pentair Finance S.à r.l. (“PFSA”) and Pentair Investments Switzerland GmbH (“PISG”) completed a public offering of $400.0 million aggregate principal amount of PFSA’s 4.500% Senior Notes due 2029 (the “2029 Notes”). The 2029 Notes are fully and unconditionally guaranteed as to payment of principal and interest by Pentair and PISG. We used the net proceeds of the 2029 Notes to partially repay outstanding commercial paper.</w:t>
      </w:r>
    </w:p>
    <w:p>
      <w:pPr>
        <w:spacing w:after="0" w:line="9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3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total availability under the Senior Credit Facility was $746.4 million.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$117.8 million of commercial paper outstanding as of December 31, 2019 and $76.0 million as of December 31, 2018,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The Senior Credit Facility contains covenants requiring us not to permit (i) the ratio of our consolidated debt (net of its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December 31, 2019, we were in compliance with all financial covenants in our debt agreements.</w:t>
      </w:r>
    </w:p>
    <w:p>
      <w:pPr>
        <w:spacing w:after="0" w:line="1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$21.0 million, of which there were no outstanding borrowings at December 31, 2019. Borrowings under these credit facilities bear interest at variable rates.</w:t>
      </w:r>
    </w:p>
    <w:p>
      <w:pPr>
        <w:spacing w:after="0" w:line="1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June 2018, we used the $993.6 million of cash received from nVent as a result of the Distribution to pay down commercial paper and revolving credit facilities, redeem the remaining $255.3 million aggregate principal of our 2.9% fixed rate senior notes due 2018, and complete a cash tender offer in the amount of €363.4 million aggregate principal of our 2.45% senior notes due 2019. All costs associated with the repurchases of debt were recorded as a </w:t>
      </w:r>
      <w:r>
        <w:rPr>
          <w:rFonts w:ascii="Arial" w:cs="Arial" w:eastAsia="Arial" w:hAnsi="Arial"/>
          <w:sz w:val="17"/>
          <w:szCs w:val="17"/>
          <w:i w:val="1"/>
          <w:iCs w:val="1"/>
          <w:color w:val="auto"/>
        </w:rPr>
        <w:t>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early extinguishment of debt </w:t>
      </w:r>
      <w:r>
        <w:rPr>
          <w:rFonts w:ascii="Arial" w:cs="Arial" w:eastAsia="Arial" w:hAnsi="Arial"/>
          <w:sz w:val="17"/>
          <w:szCs w:val="17"/>
          <w:color w:val="auto"/>
        </w:rPr>
        <w:t>in the Consolidated Statements of Operations and Comprehensive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$16.0 million premium paid on early</w:t>
      </w:r>
      <w:r>
        <w:rPr>
          <w:rFonts w:ascii="Arial" w:cs="Arial" w:eastAsia="Arial" w:hAnsi="Arial"/>
          <w:sz w:val="17"/>
          <w:szCs w:val="17"/>
          <w:i w:val="1"/>
          <w:iCs w:val="1"/>
          <w:color w:val="auto"/>
        </w:rPr>
        <w:t xml:space="preserve"> </w:t>
      </w:r>
      <w:r>
        <w:rPr>
          <w:rFonts w:ascii="Arial" w:cs="Arial" w:eastAsia="Arial" w:hAnsi="Arial"/>
          <w:sz w:val="17"/>
          <w:szCs w:val="17"/>
          <w:color w:val="auto"/>
        </w:rPr>
        <w:t>extinguishment and $1.1 million of unamortized deferred financing costs.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57" w:right="279" w:bottom="1440" w:gutter="0" w:footer="0" w:header="0"/>
        </w:sectPr>
      </w:pPr>
    </w:p>
    <w:bookmarkStart w:id="35" w:name="page36"/>
    <w:bookmarkEnd w:id="35"/>
    <w:p>
      <w:pPr>
        <w:ind w:right="60"/>
        <w:spacing w:after="0" w:line="277" w:lineRule="auto"/>
        <w:rPr>
          <w:sz w:val="20"/>
          <w:szCs w:val="20"/>
          <w:color w:val="auto"/>
        </w:rPr>
      </w:pPr>
      <w:r>
        <w:rPr>
          <w:rFonts w:ascii="Arial" w:cs="Arial" w:eastAsia="Arial" w:hAnsi="Arial"/>
          <w:sz w:val="18"/>
          <w:szCs w:val="18"/>
          <w:color w:val="auto"/>
        </w:rPr>
        <w:t>We have $74.0 million aggregate principal amount of fixed rate senior notes maturing in 2020. We classified this debt as long-term as of December 31, 2019 as we have the intent and ability to refinance such obligation on a long-term basis under the Senior Credit Facility.</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2019, we had $58.8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share capital consists of 426.0 million ordinary shares with a par value of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In December 2014, the Board of Directors authorized the repurchase of our ordinary shares up to a maximum dollar limit of $1.0 billion (the “2014 Authorization”). On May 8, 2018, the Board of Directors authorized the repurchase of our ordinary</w:t>
      </w:r>
    </w:p>
    <w:p>
      <w:pPr>
        <w:spacing w:after="0" w:line="1" w:lineRule="exact"/>
        <w:rPr>
          <w:sz w:val="20"/>
          <w:szCs w:val="20"/>
          <w:color w:val="auto"/>
        </w:rPr>
      </w:pPr>
    </w:p>
    <w:p>
      <w:pPr>
        <w:ind w:right="2180"/>
        <w:spacing w:after="0" w:line="261" w:lineRule="auto"/>
        <w:rPr>
          <w:sz w:val="20"/>
          <w:szCs w:val="20"/>
          <w:color w:val="auto"/>
        </w:rPr>
      </w:pPr>
      <w:r>
        <w:rPr>
          <w:rFonts w:ascii="Arial" w:cs="Arial" w:eastAsia="Arial" w:hAnsi="Arial"/>
          <w:sz w:val="18"/>
          <w:szCs w:val="18"/>
          <w:color w:val="auto"/>
        </w:rPr>
        <w:t>shares up to a maximum dollar limit of $750.0 million (the “2018 Authorization”), replacing the 2014 Authorization. The 2018 Authorization expires on May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we repurchased 3.0 million of our ordinary shares for $200.0 million under the 2014 Authorization.</w:t>
      </w:r>
    </w:p>
    <w:p>
      <w:pPr>
        <w:spacing w:after="0" w:line="17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the year ended December 31, 2018, we repurchased 10.2 million of our ordinary shares for $500.0 million, of which 2.2 million shares, or $150.0 million, and 8.0 million shares, or $350.0 million, were repurchased pursuant to the 2014 and 2018 Authorizations,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we repurchased 4.0 million of our ordinary shares for $150.0 million pursuant to the 2018 Authorization.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$250.0 million available for share repurchases under the 2018 Authorization.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December 9, 2019, the Board of Directors approved a 6 percent increase in the company’s regular quarterly dividend rate (from $0.18 per share to $0.19 per share) that was paid on February 7, 2020 to shareholders of record at the close of business on January 24, 2020.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Consolidated Balance Sheets was $32.0 million at December 31, 2019. Dividends paid per ordinary share were $0.72, $1.05 and $1.38 for the years ended December 31, 2019, 2018 and 2017, respectively.</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GAAP reported amount (e.g., retained earnings). Our distributable reserve balance was $6.6 billion and $6.5 billion as of December 31, 2019 and 2018, respectively.</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773"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significant contractual obligations that impact our liquidity: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Thereafter</w:t>
            </w:r>
          </w:p>
        </w:tc>
        <w:tc>
          <w:tcPr>
            <w:tcW w:w="32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34"/>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obligations on fixed-rate debt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204.7</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Operating lease obligations, net of sublease rentals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Purchase and marketing obligations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81.8</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2"/>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contributions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r>
      <w:tr>
        <w:trPr>
          <w:trHeight w:val="237"/>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contractual obligations,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1,503.9</w:t>
            </w: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purchase obligations represent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the summary of significant contractual obligations, we will incur annual interest expense on outstanding variable rate debt. As of December 31, 2019, variable interest rate debt was $353.6 million at a weighted average interest rate of 2.71%.</w:t>
      </w:r>
    </w:p>
    <w:p>
      <w:pPr>
        <w:spacing w:after="0" w:line="11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The total gross liability for uncertain tax positions at December 31, 2019 was estimated to be $47.4 million. We record penalties and interest related to unrecognized tax benefits in </w:t>
      </w:r>
      <w:r>
        <w:rPr>
          <w:rFonts w:ascii="Arial" w:cs="Arial" w:eastAsia="Arial" w:hAnsi="Arial"/>
          <w:sz w:val="17"/>
          <w:szCs w:val="17"/>
          <w:i w:val="1"/>
          <w:iCs w:val="1"/>
          <w:color w:val="auto"/>
        </w:rPr>
        <w:t>Provision for income taxes</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Interest expense</w:t>
      </w:r>
      <w:r>
        <w:rPr>
          <w:rFonts w:ascii="Arial" w:cs="Arial" w:eastAsia="Arial" w:hAnsi="Arial"/>
          <w:sz w:val="17"/>
          <w:szCs w:val="17"/>
          <w:color w:val="auto"/>
        </w:rPr>
        <w:t>, respectively, which is consistent with our past practices. As of December 31, 2019, we had recorded $0.4 million for the possible payment of penalties and $3.7 million related to the possible payment of interest.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equals or exceeds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6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4"/>
                <w:szCs w:val="24"/>
                <w:color w:val="auto"/>
              </w:rPr>
            </w:pPr>
          </w:p>
        </w:tc>
      </w:tr>
      <w:tr>
        <w:trPr>
          <w:trHeight w:val="34"/>
        </w:trPr>
        <w:tc>
          <w:tcPr>
            <w:tcW w:w="6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1"/>
                <w:szCs w:val="21"/>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Free cash flow from continuing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287.3</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410.1</w:t>
            </w:r>
          </w:p>
        </w:tc>
        <w:tc>
          <w:tcPr>
            <w:tcW w:w="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243.2</w:t>
            </w:r>
          </w:p>
        </w:tc>
      </w:tr>
      <w:tr>
        <w:trPr>
          <w:trHeight w:val="67"/>
        </w:trPr>
        <w:tc>
          <w:tcPr>
            <w:tcW w:w="6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Free cash flow</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295.1</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386.0</w:t>
            </w:r>
          </w:p>
        </w:tc>
        <w:tc>
          <w:tcPr>
            <w:tcW w:w="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7"/>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no off-balance sheet financing arrangements.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19" w:right="259" w:bottom="1440" w:gutter="0" w:footer="0" w:header="0"/>
        </w:sectPr>
      </w:pPr>
    </w:p>
    <w:bookmarkStart w:id="37" w:name="page38"/>
    <w:bookmarkEnd w:id="37"/>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ITEM 8, Note 15 of the Notes to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December 31, 2019 and 2018, the outstanding value of bonds, letters of credit and bank guarantees totaled $91.3 million and $123.6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ITEM 8, Note 1 of the Notes to Consolidated Financial Statements, included in this Form 10-K, for information pertaining to recently adopted accounting standards or accounting standards to be adopted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adopted various accounting policies to prepare the consolidated financial statements in accordance with GAAP. Our significant accounting policies are more fully described in ITEM 8, Note 1 of the Notes to Consolidated Financial Statements. Certain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observance of trends in the industry and information available from other outside sources, as appropriate. We consider an accounting estimate to be critical if:</w:t>
      </w:r>
    </w:p>
    <w:p>
      <w:pPr>
        <w:spacing w:after="0" w:line="10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requires us to make assumptions about matters that were uncertain at the time we were making the estimate; 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would have had a material impact on our financial condition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estimates include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indefinite-lived intangibles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Goodwill is tested at least annually for impairment and is tested for impairment more frequently if events or changes in circumstances indicate that the asset might be impaired. A qualitative assessment is first performed, as of the first day of the fourth quarter, to determine whether it is more likely than not that the fair value of a reporting unit is less than its carrying value. If it is concluded that this is the case, an evaluation, based upon discounted cash flows, is performed and requires management to estimate future cash flows, growth rates and economic and market conditions.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result of the qualitative assessment performed as of October 1, 2019 and 2018, it was determined that it was more likely than not that the fair value of the reporting units exceeded their respective carrying values. Factors considered in the analysis included the last discounted cash flow fair value assessment of reporting units performed in 2017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w:t>
      </w:r>
    </w:p>
    <w:p>
      <w:pPr>
        <w:sectPr>
          <w:pgSz w:w="11900" w:h="16933" w:orient="portrait"/>
          <w:cols w:equalWidth="0" w:num="1">
            <w:col w:w="11420"/>
          </w:cols>
          <w:pgMar w:left="240" w:top="553" w:right="239" w:bottom="0" w:gutter="0" w:footer="0" w:header="0"/>
        </w:sectPr>
      </w:pPr>
    </w:p>
    <w:bookmarkStart w:id="38" w:name="page39"/>
    <w:bookmarkEnd w:id="38"/>
    <w:p>
      <w:pPr>
        <w:ind w:right="200"/>
        <w:spacing w:after="0" w:line="264" w:lineRule="auto"/>
        <w:rPr>
          <w:sz w:val="20"/>
          <w:szCs w:val="20"/>
          <w:color w:val="auto"/>
        </w:rPr>
      </w:pPr>
      <w:r>
        <w:rPr>
          <w:rFonts w:ascii="Arial" w:cs="Arial" w:eastAsia="Arial" w:hAnsi="Arial"/>
          <w:sz w:val="18"/>
          <w:szCs w:val="18"/>
          <w:color w:val="auto"/>
        </w:rPr>
        <w:t>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the first day of the fourth quarter each year for those identifiable assets not subject to amortization.</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There were no impairment charges recorded in 2019 or 2018 for identifiable intangible assets. An impairment charge of $8.8 million was recorded in 2017 related to certain trade names in Filtration Solutions and Flow Technologies as a result of lower forecasted sales volume or rebranding strategies implemented in the fourth quarter of 2017. The trade name impairment charges were recorded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in our Consolidated Statements of Operations and Comprehensive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11 to the Notes to Consolidated Financial Statements. Differences in actual experience or changes in assumptions may affect our pension and other post-retirement obligations and future expense.</w:t>
      </w:r>
    </w:p>
    <w:p>
      <w:pPr>
        <w:spacing w:after="0" w:line="1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 (1) 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a pre-tax gain of $3.4 million in 2019, and a pre-tax loss of $3.6 million and $8.5 million in 2018 and 2017, respectively. The remaining components of pension expense, including service and interest costs and the expected return on plan assets, are recorded on a quarterly basis as ongoing pension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adjusted to eliminate the effects of call provisions. There are no known or anticipated changes in our discount rate assumptions that will impact our pension expense in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rate of return</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actuarially determined estimates. Additionally, we record receivables from third party insurers when recovery has been determined to be probable.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19" w:right="239" w:bottom="1440" w:gutter="0" w:footer="0" w:header="0"/>
        </w:sectPr>
      </w:pPr>
    </w:p>
    <w:bookmarkStart w:id="40" w:name="page41"/>
    <w:bookmarkEnd w:id="40"/>
    <w:p>
      <w:pPr>
        <w:ind w:right="320"/>
        <w:spacing w:after="0" w:line="264" w:lineRule="auto"/>
        <w:rPr>
          <w:sz w:val="20"/>
          <w:szCs w:val="20"/>
          <w:color w:val="auto"/>
        </w:rPr>
      </w:pPr>
      <w:r>
        <w:rPr>
          <w:rFonts w:ascii="Arial" w:cs="Arial" w:eastAsia="Arial" w:hAnsi="Arial"/>
          <w:sz w:val="18"/>
          <w:szCs w:val="18"/>
          <w:color w:val="auto"/>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and foreign currency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19"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debt portfolio as of December 31, 2019, was comprised of debt predominantly denominated in U.S. dollars. This debt portfolio is comprised of 66% fixed-rate debt and 34%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the fixed-rate debt included in our debt portfolio, as of December 31, 2019, a 100 basis point increase or decrease in interest rates would result in a $39.8 million decrease or $43.4 million increase in fair value, respectively.</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the variable-rate debt included in our debt portfolio as of December 31, 2019, a 100 basis point increase or decrease in interest rates would result in a $3.5 million increase or decrease in interest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exchange. However, our results of operations and assets and liabilities are reported in U.S. dollars and thus will fluctuate with changes in exchange rates between such local currencies and the U.S. dollar.</w:t>
      </w:r>
    </w:p>
    <w:p>
      <w:pPr>
        <w:spacing w:after="0" w:line="14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From time to time, we may enter into short duration foreign currency contracts to hedge foreign currency risks. As the majority of our foreign currency contracts have an original maturity date of less than one year, there is no material foreign currency risk. At December 31, 2019 and 2018, we had outstanding foreign currency derivative contracts with gross notional U.S. dollar equivalent amounts of $17.0 million and $47.6 million, respectively. Changes in the fair value of all derivatives are recognized immediately in income unless the derivative qualifies as a hedge of future cash flows. Gains and losses related to a hedge are deferred and recorded in the Consolidated Balance Sheets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and subsequently recognized in the Consolidated Statements of Operations and Comprehensive Income when the hedged item affects earnings.</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At December 31, 2019, we had outstanding cross currency swap agreements with a combined notional amount of $777.0 million. The cross currency swap agreements are accounted for as either cash flow hedges to hedge foreign currency fluctuations on certain intercompany debt, or as net investment hedges to manage our exposure to fluctuations in the Euro-U.S. Dollar exchange rate. The currency risk related to the cross currency swap agreements is measured by estimating the potential impact of a 10% change in the value of the U.S. dollar relative to the Euro. A 10% appreciation of the U.S. dollar relative to the Euro would result in a $57.9 million net increase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Conversely, a 10% depreciation of the U.S. dollar relative to the Euro would result in a $55.2 million net decrease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However, these increases and decreases in Other comprehensive income would be offset by decreases or increases in the hedged items on our balance sheet.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719"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2019. In making this assessment, management used the criteria for effective internal control over financial reporting described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Based on this assessment, management believes that, as of December 31, 2019, the Company’s internal control over financial reporting was effective based on those criteria.</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has issued an attestation report on the Company’s internal control over financial reporting as of December 31, 2019. That attestation report is set forth immediately following this management report.</w:t>
      </w:r>
    </w:p>
    <w:p>
      <w:pPr>
        <w:sectPr>
          <w:pgSz w:w="11900" w:h="16838" w:orient="portrait"/>
          <w:cols w:equalWidth="0" w:num="1">
            <w:col w:w="11360"/>
          </w:cols>
          <w:pgMar w:left="240" w:top="553" w:right="29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L. Stauch</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Mark C. Borin</w:t>
      </w:r>
    </w:p>
    <w:p>
      <w:pPr>
        <w:spacing w:after="0" w:line="75" w:lineRule="exact"/>
        <w:rPr>
          <w:sz w:val="20"/>
          <w:szCs w:val="20"/>
          <w:color w:val="auto"/>
        </w:rPr>
      </w:pPr>
    </w:p>
    <w:p>
      <w:pPr>
        <w:sectPr>
          <w:pgSz w:w="11900" w:h="16838" w:orient="portrait"/>
          <w:cols w:equalWidth="0" w:num="2">
            <w:col w:w="5360" w:space="720"/>
            <w:col w:w="5280"/>
          </w:cols>
          <w:pgMar w:left="240" w:top="553" w:right="29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i w:val="1"/>
          <w:iCs w:val="1"/>
          <w:color w:val="auto"/>
        </w:rPr>
        <w:t>Executive Vice President, Chief Financial Officer and Chief Accounting Officer</w:t>
      </w:r>
    </w:p>
    <w:p>
      <w:pPr>
        <w:spacing w:after="0" w:line="200" w:lineRule="exact"/>
        <w:rPr>
          <w:sz w:val="20"/>
          <w:szCs w:val="20"/>
          <w:color w:val="auto"/>
        </w:rPr>
      </w:pPr>
    </w:p>
    <w:p>
      <w:pPr>
        <w:sectPr>
          <w:pgSz w:w="11900" w:h="16838" w:orient="portrait"/>
          <w:cols w:equalWidth="0" w:num="2">
            <w:col w:w="5360" w:space="720"/>
            <w:col w:w="5280"/>
          </w:cols>
          <w:pgMar w:left="240" w:top="553" w:right="29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60"/>
          </w:cols>
          <w:pgMar w:left="240" w:top="553" w:right="299" w:bottom="1440" w:gutter="0" w:footer="0" w:header="0"/>
          <w:type w:val="continuous"/>
        </w:sectPr>
      </w:pPr>
    </w:p>
    <w:bookmarkStart w:id="43" w:name="page44"/>
    <w:bookmarkEnd w:id="43"/>
    <w:p>
      <w:pPr>
        <w:ind w:right="5240"/>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Pentair plc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Pentair plc and subsidiaries (the “Company”)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3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25, 2020 expressed an unqualified opinion on those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3" w:right="239" w:bottom="1440" w:gutter="0" w:footer="0" w:header="0"/>
        </w:sectPr>
      </w:pPr>
    </w:p>
    <w:bookmarkStart w:id="44" w:name="page45"/>
    <w:bookmarkEnd w:id="44"/>
    <w:p>
      <w:pPr>
        <w:ind w:right="5200"/>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Pentair plc </w:t>
      </w:r>
      <w:r>
        <w:rPr>
          <w:rFonts w:ascii="Arial" w:cs="Arial" w:eastAsia="Arial" w:hAnsi="Arial"/>
          <w:sz w:val="18"/>
          <w:szCs w:val="18"/>
          <w:b w:val="1"/>
          <w:bCs w:val="1"/>
          <w:color w:val="auto"/>
        </w:rPr>
        <w:t>Opinion on the Financial Statements</w:t>
      </w: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sheets of Pentair plc and subsidiaries (the “Company”) as of December 31, 2019 and 2018, the related consolidated statements of operations and comprehensive income, cash flows, and changes in equity,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25, 2020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Indefinite-lived Trade Names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Valuation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Refer to Notes 1 and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evaluation of indefinite-lived trade names for impairment involves the comparison of the estimated fair value of each indefinite-lived trade name to its carrying value. The Company determines the estimated fair value of its trade names using the income approach, more specifically, the relief-from-royalty method. The determination of the estimated fair value using the relief-from-royalty method requires management to make significant estimates and assumptions including selecting appropriate royalty and discount rates and forecast future revenues. Changes in these assumptions could have a significant impact on the estimated fair value of indefinite-lived trade names. For certain of the Company’s indefinite-lived trade names, a significant change in estimated fair value could cause a significant impairment.</w:t>
      </w:r>
    </w:p>
    <w:p>
      <w:pPr>
        <w:spacing w:after="0" w:line="19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indefinite-lived trade names balance was $173.4 million as of December 31, 2019, of which certain trade names are higher risk for impairment. When identifying the higher risk indefinite-lived trade names, we considered the relationship of their fair value to carrying value. The estimated fair values of these trade names exceeded their carrying values as of the measurement date and, therefore, no impairment was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Given the level of judgment involved, management uses a third-party fair value specialist to assist in establishing the discount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53" w:right="279" w:bottom="1440" w:gutter="0" w:footer="0" w:header="0"/>
        </w:sectPr>
      </w:pPr>
    </w:p>
    <w:bookmarkStart w:id="45" w:name="page46"/>
    <w:bookmarkEnd w:id="45"/>
    <w:p>
      <w:pPr>
        <w:ind w:right="460"/>
        <w:spacing w:after="0" w:line="277" w:lineRule="auto"/>
        <w:rPr>
          <w:sz w:val="20"/>
          <w:szCs w:val="20"/>
          <w:color w:val="auto"/>
        </w:rPr>
      </w:pPr>
      <w:r>
        <w:rPr>
          <w:rFonts w:ascii="Arial" w:cs="Arial" w:eastAsia="Arial" w:hAnsi="Arial"/>
          <w:sz w:val="18"/>
          <w:szCs w:val="18"/>
          <w:color w:val="auto"/>
        </w:rPr>
        <w:t>rate and royalty rate assumptions. As the trade name revenues are sensitive to changes in demand, auditing these assumptions involved a high degree of auditor judgment, and an increased extent of audit effort, including the need to involve our fair value specialists.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significant estimates and assumptions for the trade names included the following, among others:</w:t>
      </w:r>
    </w:p>
    <w:p>
      <w:pPr>
        <w:spacing w:after="0" w:line="225" w:lineRule="exact"/>
        <w:rPr>
          <w:sz w:val="20"/>
          <w:szCs w:val="20"/>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tested the effectiveness of controls over indefinite-lived trade names, including those over management’s review of the revenue forecasts and the selection of the royalty and discount rates to be used in the valuation.</w:t>
      </w:r>
    </w:p>
    <w:p>
      <w:pPr>
        <w:spacing w:after="0" w:line="170"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assessed management’s ability to prepare accurate revenue forecasts by performing a retrospective review to compare actual results to management’s historical forecasts.</w:t>
      </w:r>
    </w:p>
    <w:p>
      <w:pPr>
        <w:spacing w:after="0" w:line="170" w:lineRule="exact"/>
        <w:rPr>
          <w:rFonts w:ascii="Arial" w:cs="Arial" w:eastAsia="Arial" w:hAnsi="Arial"/>
          <w:sz w:val="18"/>
          <w:szCs w:val="18"/>
          <w:color w:val="auto"/>
        </w:rPr>
      </w:pPr>
    </w:p>
    <w:p>
      <w:pPr>
        <w:ind w:left="660" w:right="40" w:hanging="328"/>
        <w:spacing w:after="0" w:line="28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evaluated the reasonableness of management’s revenue forecasts by inquiring of management regarding the forecasts and comparing the forecasts to (1) historical results, (2) internal communications to management and the Board of Directors, and (3) forecasted information included in Company press releases, analyst and industry reports of the Company and companies in its peer group.</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considered the impact of changes in the regulatory environment and the industry on management’s forecasts.</w:t>
      </w:r>
    </w:p>
    <w:p>
      <w:pPr>
        <w:spacing w:after="0" w:line="22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With the assistance of our fair value specialists, we evaluated the royalty and discount rates used by management in the valuation, including testing the underlying source information and the mathematical calculations, developing a range of independent estimates and comparing those to the royalty and discount rates selected by management.</w:t>
      </w:r>
    </w:p>
    <w:p>
      <w:pPr>
        <w:spacing w:after="0" w:line="235" w:lineRule="exact"/>
        <w:rPr>
          <w:sz w:val="20"/>
          <w:szCs w:val="20"/>
          <w:color w:val="auto"/>
        </w:rPr>
      </w:pPr>
    </w:p>
    <w:p>
      <w:pPr>
        <w:ind w:right="3040"/>
        <w:spacing w:after="0" w:line="43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Completeness of Uncertain Tax Positions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Refer to Notes 1 and 12 in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assesses uncertain tax positions (“UTP”) based upon an evaluation of available information and records a liability when a position taken or expected to be taken in a tax return does not meet certain measurement or recognition criteria. A tax benefit is recognized only if management believes it is more likely than not that the tax position will be sustained upon examination by the relevant tax authority. Determining the completeness of UTPs is complex and significant judgment is involved in identifying which positions may not meet the required measurement or recognition criteria. As of December 31, 2019, the Company’s recorded UTP balance was $47.4 million.</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UTP analysis is complex as it includes numerous tax jurisdictions and varying applications of tax laws. Given the multiple jurisdictions in which the Company operates and the complexity of tax law, auditing the completeness of UTPs involved a high degree of auditor judgment, and an increased extent of audit effort, including the need to involve our tax specialists.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audit procedures to evaluate management’s estimates, in material jurisdictions, related to the determination of UTPs included the following, among others:</w:t>
      </w:r>
    </w:p>
    <w:p>
      <w:pPr>
        <w:spacing w:after="0" w:line="11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determination of the existence of UTPs.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assessed the Company’s determination of the existence of UTPs. In particular, our procedures included: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Evaluating the Company’s significant judgments related to completeness of UTPs in material jurisdictions (U.S. and Switzerland):</w:t>
      </w:r>
    </w:p>
    <w:p>
      <w:pPr>
        <w:spacing w:after="0" w:line="128" w:lineRule="exact"/>
        <w:rPr>
          <w:rFonts w:ascii="Arial" w:cs="Arial" w:eastAsia="Arial" w:hAnsi="Arial"/>
          <w:sz w:val="17"/>
          <w:szCs w:val="17"/>
          <w:color w:val="auto"/>
        </w:rPr>
      </w:pPr>
    </w:p>
    <w:p>
      <w:pPr>
        <w:ind w:left="1960" w:right="160" w:hanging="331"/>
        <w:spacing w:after="0" w:line="277" w:lineRule="auto"/>
        <w:tabs>
          <w:tab w:leader="none" w:pos="19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We performed inquiries of management to assess whether they are aware of any new items or significant changes to the business that would impact the UTP assessment or give rise to new UTPs.</w:t>
      </w:r>
    </w:p>
    <w:p>
      <w:pPr>
        <w:spacing w:after="0" w:line="170" w:lineRule="exact"/>
        <w:rPr>
          <w:rFonts w:ascii="Arial" w:cs="Arial" w:eastAsia="Arial" w:hAnsi="Arial"/>
          <w:sz w:val="18"/>
          <w:szCs w:val="18"/>
          <w:color w:val="auto"/>
        </w:rPr>
      </w:pPr>
    </w:p>
    <w:p>
      <w:pPr>
        <w:ind w:left="1960" w:right="20" w:hanging="331"/>
        <w:spacing w:after="0" w:line="308" w:lineRule="auto"/>
        <w:tabs>
          <w:tab w:leader="none" w:pos="1960" w:val="left"/>
        </w:tabs>
        <w:numPr>
          <w:ilvl w:val="2"/>
          <w:numId w:val="50"/>
        </w:numPr>
        <w:rPr>
          <w:rFonts w:ascii="Arial" w:cs="Arial" w:eastAsia="Arial" w:hAnsi="Arial"/>
          <w:sz w:val="17"/>
          <w:szCs w:val="17"/>
          <w:color w:val="auto"/>
        </w:rPr>
      </w:pPr>
      <w:r>
        <w:rPr>
          <w:rFonts w:ascii="Arial" w:cs="Arial" w:eastAsia="Arial" w:hAnsi="Arial"/>
          <w:sz w:val="17"/>
          <w:szCs w:val="17"/>
          <w:color w:val="auto"/>
        </w:rPr>
        <w:t>We evaluated the following: technical merits of existing UTPs, technical merits of potential UTPs, and significant transactions and their tax implications, including the completeness and accuracy of the underlying data supporting the transactions.</w:t>
      </w:r>
    </w:p>
    <w:p>
      <w:pPr>
        <w:spacing w:after="0" w:line="146" w:lineRule="exact"/>
        <w:rPr>
          <w:rFonts w:ascii="Arial" w:cs="Arial" w:eastAsia="Arial" w:hAnsi="Arial"/>
          <w:sz w:val="17"/>
          <w:szCs w:val="17"/>
          <w:color w:val="auto"/>
        </w:rPr>
      </w:pPr>
    </w:p>
    <w:p>
      <w:pPr>
        <w:ind w:left="1960" w:right="360" w:hanging="331"/>
        <w:spacing w:after="0" w:line="277" w:lineRule="auto"/>
        <w:tabs>
          <w:tab w:leader="none" w:pos="19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We assessed the appropriateness and consistency of management’s methods and assumptions used in identifying uncertain tax positions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We evaluated former and ongoing tax audits by tax authorities.</w:t>
      </w:r>
    </w:p>
    <w:p>
      <w:pPr>
        <w:sectPr>
          <w:pgSz w:w="11900" w:h="16838" w:orient="portrait"/>
          <w:cols w:equalWidth="0" w:num="1">
            <w:col w:w="11380"/>
          </w:cols>
          <w:pgMar w:left="240" w:top="665" w:right="27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80"/>
          </w:cols>
          <w:pgMar w:left="240" w:top="665" w:right="279" w:bottom="1440" w:gutter="0" w:footer="0" w:header="0"/>
          <w:type w:val="continuous"/>
        </w:sectPr>
      </w:pPr>
    </w:p>
    <w:bookmarkStart w:id="46" w:name="page47"/>
    <w:bookmarkEnd w:id="46"/>
    <w:p>
      <w:pPr>
        <w:ind w:left="1960" w:hanging="331"/>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assessed the interpretation of applicable tax law.</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considered changes in applicable tax law.</w:t>
      </w:r>
    </w:p>
    <w:p>
      <w:pPr>
        <w:spacing w:after="0" w:line="225" w:lineRule="exact"/>
        <w:rPr>
          <w:rFonts w:ascii="Arial" w:cs="Arial" w:eastAsia="Arial" w:hAnsi="Arial"/>
          <w:sz w:val="18"/>
          <w:szCs w:val="18"/>
          <w:color w:val="auto"/>
        </w:rPr>
      </w:pPr>
    </w:p>
    <w:p>
      <w:pPr>
        <w:ind w:left="1960" w:hanging="331"/>
        <w:spacing w:after="0" w:line="264" w:lineRule="auto"/>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inspected the Company’s filed tax returns in material jurisdictions and the tax provision to obtain an understanding of significant differences. We assessed whether the appropriate UTP was recorded as well as whether any additional UTPs needed to be considered.</w:t>
      </w:r>
    </w:p>
    <w:p>
      <w:pPr>
        <w:spacing w:after="0" w:line="181" w:lineRule="exact"/>
        <w:rPr>
          <w:rFonts w:ascii="Arial" w:cs="Arial" w:eastAsia="Arial" w:hAnsi="Arial"/>
          <w:sz w:val="18"/>
          <w:szCs w:val="18"/>
          <w:color w:val="auto"/>
        </w:rPr>
      </w:pPr>
    </w:p>
    <w:p>
      <w:pPr>
        <w:ind w:left="1960" w:right="320" w:hanging="331"/>
        <w:spacing w:after="0" w:line="277" w:lineRule="auto"/>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financial statement disclosures, including judgments associated with unrecognized tax benefits that could increase or decrease within 12 months of the reporting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served as the Company’s auditor since 1977.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665"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89"/>
              </w:rPr>
              <w:t>Years ended December 31</w:t>
            </w:r>
          </w:p>
        </w:tc>
        <w:tc>
          <w:tcPr>
            <w:tcW w:w="1120" w:type="dxa"/>
            <w:vAlign w:val="bottom"/>
            <w:tcBorders>
              <w:bottom w:val="single" w:sz="8" w:color="auto"/>
            </w:tcBorders>
          </w:tcPr>
          <w:p>
            <w:pPr>
              <w:spacing w:after="0"/>
              <w:rPr>
                <w:sz w:val="17"/>
                <w:szCs w:val="17"/>
                <w:color w:val="auto"/>
              </w:rPr>
            </w:pP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1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2,957.2</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2,965.1</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2,845.7</w:t>
            </w: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1,905.7</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1,917.4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1,858.2</w:t>
            </w:r>
          </w:p>
        </w:tc>
      </w:tr>
      <w:tr>
        <w:trPr>
          <w:trHeight w:val="21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1,051.5</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1,047.7</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987.5</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540.1</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534.3</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536.0</w:t>
            </w: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76.7</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73.2</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432.5</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436.7</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378.3</w:t>
            </w: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(Gain) loss on sale of businesses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Net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30.1</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32.6</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87.3</w:t>
            </w: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407.5</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379.8</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172.8</w:t>
            </w: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58.1</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361.7</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321.7</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114.1</w:t>
            </w: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discontinued operations, net of tax</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371.3</w:t>
            </w: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Gain from sale of discontinued operations, net of tax</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181.1</w:t>
            </w:r>
          </w:p>
        </w:tc>
      </w:tr>
      <w:tr>
        <w:trPr>
          <w:trHeight w:val="21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347.4</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666.5</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347.4</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666.5</w:t>
            </w:r>
          </w:p>
        </w:tc>
      </w:tr>
      <w:tr>
        <w:trPr>
          <w:trHeight w:val="157"/>
        </w:trPr>
        <w:tc>
          <w:tcPr>
            <w:tcW w:w="6980" w:type="dxa"/>
            <w:vAlign w:val="bottom"/>
          </w:tcPr>
          <w:p>
            <w:pPr>
              <w:ind w:left="40"/>
              <w:spacing w:after="0" w:line="157" w:lineRule="exact"/>
              <w:rPr>
                <w:sz w:val="20"/>
                <w:szCs w:val="20"/>
                <w:color w:val="auto"/>
              </w:rPr>
            </w:pPr>
            <w:r>
              <w:rPr>
                <w:rFonts w:ascii="Arial" w:cs="Arial" w:eastAsia="Arial" w:hAnsi="Arial"/>
                <w:sz w:val="14"/>
                <w:szCs w:val="14"/>
                <w:color w:val="auto"/>
                <w:w w:val="98"/>
              </w:rPr>
              <w:t>Changes in cumulative translation adjustment (inclusive of divestiture of business reclassified to gain from sale of</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8"/>
        </w:trPr>
        <w:tc>
          <w:tcPr>
            <w:tcW w:w="6980" w:type="dxa"/>
            <w:vAlign w:val="bottom"/>
          </w:tcPr>
          <w:p>
            <w:pPr>
              <w:ind w:left="40"/>
              <w:spacing w:after="0"/>
              <w:rPr>
                <w:sz w:val="20"/>
                <w:szCs w:val="20"/>
                <w:color w:val="auto"/>
              </w:rPr>
            </w:pPr>
            <w:r>
              <w:rPr>
                <w:rFonts w:ascii="Arial" w:cs="Arial" w:eastAsia="Arial" w:hAnsi="Arial"/>
                <w:sz w:val="14"/>
                <w:szCs w:val="14"/>
                <w:color w:val="auto"/>
              </w:rPr>
              <w:t>$374.2 for the year ended December 31, 2017)</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4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6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497.5</w:t>
            </w: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357.8</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362.2</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1,159.4</w:t>
            </w: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ordinary share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w:t>
            </w:r>
          </w:p>
        </w:tc>
      </w:tr>
      <w:tr>
        <w:trPr>
          <w:trHeight w:val="21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ordinary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0.62</w:t>
            </w: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r>
      <w:tr>
        <w:trPr>
          <w:trHeight w:val="21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ordinary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181.7</w:t>
            </w:r>
          </w:p>
        </w:tc>
      </w:tr>
      <w:tr>
        <w:trPr>
          <w:trHeight w:val="204"/>
        </w:trPr>
        <w:tc>
          <w:tcPr>
            <w:tcW w:w="6980" w:type="dxa"/>
            <w:vAlign w:val="bottom"/>
          </w:tcPr>
          <w:p>
            <w:pPr>
              <w:ind w:left="4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170.4</w:t>
            </w:r>
          </w:p>
        </w:tc>
        <w:tc>
          <w:tcPr>
            <w:tcW w:w="4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177.3</w:t>
            </w:r>
          </w:p>
        </w:tc>
        <w:tc>
          <w:tcPr>
            <w:tcW w:w="36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183.7</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3" w:right="239" w:bottom="1440" w:gutter="0" w:footer="0" w:header="0"/>
        </w:sectPr>
      </w:pPr>
    </w:p>
    <w:bookmarkStart w:id="48" w:name="page49"/>
    <w:bookmarkEnd w:id="48"/>
    <w:p>
      <w:pPr>
        <w:ind w:left="4640"/>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r>
      <w:tr>
        <w:trPr>
          <w:trHeight w:val="34"/>
        </w:trPr>
        <w:tc>
          <w:tcPr>
            <w:tcW w:w="8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r>
      <w:tr>
        <w:trPr>
          <w:trHeight w:val="34"/>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48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receivable, net of allowances of $10.3 and $14.0, respectively</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488.2</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283.2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272.6</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2,258.3</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2,072.7</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145.5</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2,794.4</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2,494.5</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4,139.5</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3,806.5</w:t>
            </w:r>
          </w:p>
        </w:tc>
      </w:tr>
      <w:tr>
        <w:trPr>
          <w:trHeight w:val="67"/>
        </w:trPr>
        <w:tc>
          <w:tcPr>
            <w:tcW w:w="8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488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111.7</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749.0</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818.7</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1,029.1</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787.6</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105.9</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2,185.6</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1,970.4</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8460" w:type="dxa"/>
            <w:vAlign w:val="bottom"/>
          </w:tcPr>
          <w:p>
            <w:pPr>
              <w:ind w:left="40"/>
              <w:spacing w:after="0"/>
              <w:rPr>
                <w:sz w:val="20"/>
                <w:szCs w:val="20"/>
                <w:color w:val="auto"/>
              </w:rPr>
            </w:pPr>
            <w:r>
              <w:rPr>
                <w:rFonts w:ascii="Arial" w:cs="Arial" w:eastAsia="Arial" w:hAnsi="Arial"/>
                <w:sz w:val="18"/>
                <w:szCs w:val="18"/>
                <w:color w:val="auto"/>
                <w:w w:val="89"/>
              </w:rPr>
              <w:t>Ordinary shares $0.01 par value, 426.0 authorized, 168.3 and 171.4 issued at December 31, 2019 and December 31,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60" w:type="dxa"/>
            <w:vAlign w:val="bottom"/>
          </w:tcPr>
          <w:p>
            <w:pPr>
              <w:ind w:left="200"/>
              <w:spacing w:after="0"/>
              <w:rPr>
                <w:sz w:val="20"/>
                <w:szCs w:val="20"/>
                <w:color w:val="auto"/>
              </w:rPr>
            </w:pPr>
            <w:r>
              <w:rPr>
                <w:rFonts w:ascii="Arial" w:cs="Arial" w:eastAsia="Arial" w:hAnsi="Arial"/>
                <w:sz w:val="18"/>
                <w:szCs w:val="18"/>
                <w:color w:val="auto"/>
              </w:rPr>
              <w:t>2018, respectively</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401.0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1,953.9</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4,139.5</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3"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w w:val="86"/>
              </w:rPr>
              <w:t>Years ended December 31</w:t>
            </w:r>
          </w:p>
        </w:tc>
        <w:tc>
          <w:tcPr>
            <w:tcW w:w="940" w:type="dxa"/>
            <w:vAlign w:val="bottom"/>
            <w:tcBorders>
              <w:bottom w:val="single" w:sz="8" w:color="auto"/>
            </w:tcBorders>
          </w:tcPr>
          <w:p>
            <w:pPr>
              <w:spacing w:after="0"/>
              <w:rPr>
                <w:sz w:val="16"/>
                <w:szCs w:val="16"/>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2018</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2017</w:t>
            </w:r>
          </w:p>
        </w:tc>
      </w:tr>
      <w:tr>
        <w:trPr>
          <w:trHeight w:val="173"/>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97"/>
        </w:trPr>
        <w:tc>
          <w:tcPr>
            <w:tcW w:w="76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355.7</w:t>
            </w:r>
          </w:p>
        </w:tc>
        <w:tc>
          <w:tcPr>
            <w:tcW w:w="4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347.4</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666.5</w:t>
            </w: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(income) from discontinued operations, net of tax</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(371.3)</w:t>
            </w:r>
          </w:p>
        </w:tc>
      </w:tr>
      <w:tr>
        <w:trPr>
          <w:trHeight w:val="208"/>
        </w:trPr>
        <w:tc>
          <w:tcPr>
            <w:tcW w:w="7640" w:type="dxa"/>
            <w:vAlign w:val="bottom"/>
          </w:tcPr>
          <w:p>
            <w:pPr>
              <w:ind w:left="20"/>
              <w:spacing w:after="0"/>
              <w:rPr>
                <w:sz w:val="20"/>
                <w:szCs w:val="20"/>
                <w:color w:val="auto"/>
              </w:rPr>
            </w:pPr>
            <w:r>
              <w:rPr>
                <w:rFonts w:ascii="Arial" w:cs="Arial" w:eastAsia="Arial" w:hAnsi="Arial"/>
                <w:sz w:val="13"/>
                <w:szCs w:val="13"/>
                <w:color w:val="auto"/>
              </w:rPr>
              <w:t>Gain from sale of discontinued operations, net of tax</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(181.1)</w:t>
            </w:r>
          </w:p>
        </w:tc>
      </w:tr>
      <w:tr>
        <w:trPr>
          <w:trHeight w:val="181"/>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1"/>
              </w:rPr>
              <w:t>Adjustments to reconcile net income from continuing operations to net cash provided by operating activities of continuing operations</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97"/>
        </w:trPr>
        <w:tc>
          <w:tcPr>
            <w:tcW w:w="76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bl>
    <w:p>
      <w:pPr>
        <w:spacing w:after="0" w:line="13" w:lineRule="exact"/>
        <w:rPr>
          <w:sz w:val="20"/>
          <w:szCs w:val="20"/>
          <w:color w:val="auto"/>
        </w:rPr>
      </w:pPr>
    </w:p>
    <w:p>
      <w:pPr>
        <w:sectPr>
          <w:pgSz w:w="11900" w:h="16838" w:orient="portrait"/>
          <w:cols w:equalWidth="0" w:num="1">
            <w:col w:w="11380"/>
          </w:cols>
          <w:pgMar w:left="260" w:top="548" w:right="259" w:bottom="1440" w:gutter="0" w:footer="0" w:header="0"/>
        </w:sectPr>
      </w:pPr>
    </w:p>
    <w:p>
      <w:pPr>
        <w:ind w:left="20"/>
        <w:spacing w:after="0"/>
        <w:rPr>
          <w:sz w:val="20"/>
          <w:szCs w:val="20"/>
          <w:color w:val="auto"/>
        </w:rPr>
      </w:pPr>
      <w:r>
        <w:rPr>
          <w:rFonts w:ascii="Arial" w:cs="Arial" w:eastAsia="Arial" w:hAnsi="Arial"/>
          <w:sz w:val="13"/>
          <w:szCs w:val="13"/>
          <w:color w:val="auto"/>
        </w:rPr>
        <w:t>Equity income of unconsolidated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2947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2294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(Gain) loss on sale of businesses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294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Share-based compensation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Trade name and other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2294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on early extinguishment of debt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and other post-retirement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22947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2001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and other post-retirement contributions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Changes in assets and liabilities, net of effects of business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00" w:type="dxa"/>
            <w:vAlign w:val="bottom"/>
          </w:tcPr>
          <w:p>
            <w:pPr>
              <w:jc w:val="right"/>
              <w:ind w:right="437"/>
              <w:spacing w:after="0"/>
              <w:rPr>
                <w:sz w:val="20"/>
                <w:szCs w:val="20"/>
                <w:color w:val="auto"/>
              </w:rPr>
            </w:pPr>
            <w:r>
              <w:rPr>
                <w:rFonts w:ascii="Arial" w:cs="Arial" w:eastAsia="Arial" w:hAnsi="Arial"/>
                <w:sz w:val="13"/>
                <w:szCs w:val="13"/>
                <w:color w:val="auto"/>
              </w:rPr>
              <w:t>(3.5)</w:t>
            </w:r>
          </w:p>
        </w:tc>
        <w:tc>
          <w:tcPr>
            <w:tcW w:w="1220" w:type="dxa"/>
            <w:vAlign w:val="bottom"/>
          </w:tcPr>
          <w:p>
            <w:pPr>
              <w:jc w:val="right"/>
              <w:ind w:right="377"/>
              <w:spacing w:after="0"/>
              <w:rPr>
                <w:sz w:val="20"/>
                <w:szCs w:val="20"/>
                <w:color w:val="auto"/>
              </w:rPr>
            </w:pPr>
            <w:r>
              <w:rPr>
                <w:rFonts w:ascii="Arial" w:cs="Arial" w:eastAsia="Arial" w:hAnsi="Arial"/>
                <w:sz w:val="13"/>
                <w:szCs w:val="13"/>
                <w:color w:val="auto"/>
              </w:rPr>
              <w:t>(8.4)</w:t>
            </w:r>
          </w:p>
        </w:tc>
        <w:tc>
          <w:tcPr>
            <w:tcW w:w="7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16"/>
        </w:trPr>
        <w:tc>
          <w:tcPr>
            <w:tcW w:w="800" w:type="dxa"/>
            <w:vAlign w:val="bottom"/>
          </w:tcPr>
          <w:p>
            <w:pPr>
              <w:jc w:val="right"/>
              <w:ind w:right="477"/>
              <w:spacing w:after="0"/>
              <w:rPr>
                <w:sz w:val="20"/>
                <w:szCs w:val="20"/>
                <w:color w:val="auto"/>
              </w:rPr>
            </w:pPr>
            <w:r>
              <w:rPr>
                <w:rFonts w:ascii="Arial" w:cs="Arial" w:eastAsia="Arial" w:hAnsi="Arial"/>
                <w:sz w:val="13"/>
                <w:szCs w:val="13"/>
                <w:color w:val="auto"/>
                <w:w w:val="94"/>
              </w:rPr>
              <w:t>48.3</w:t>
            </w:r>
          </w:p>
        </w:tc>
        <w:tc>
          <w:tcPr>
            <w:tcW w:w="1220" w:type="dxa"/>
            <w:vAlign w:val="bottom"/>
          </w:tcPr>
          <w:p>
            <w:pPr>
              <w:jc w:val="right"/>
              <w:ind w:right="437"/>
              <w:spacing w:after="0"/>
              <w:rPr>
                <w:sz w:val="20"/>
                <w:szCs w:val="20"/>
                <w:color w:val="auto"/>
              </w:rPr>
            </w:pPr>
            <w:r>
              <w:rPr>
                <w:rFonts w:ascii="Arial" w:cs="Arial" w:eastAsia="Arial" w:hAnsi="Arial"/>
                <w:sz w:val="13"/>
                <w:szCs w:val="13"/>
                <w:color w:val="auto"/>
              </w:rPr>
              <w:t>49.7</w:t>
            </w:r>
          </w:p>
        </w:tc>
        <w:tc>
          <w:tcPr>
            <w:tcW w:w="780" w:type="dxa"/>
            <w:vAlign w:val="bottom"/>
          </w:tcPr>
          <w:p>
            <w:pPr>
              <w:jc w:val="right"/>
              <w:spacing w:after="0"/>
              <w:rPr>
                <w:sz w:val="20"/>
                <w:szCs w:val="20"/>
                <w:color w:val="auto"/>
              </w:rPr>
            </w:pPr>
            <w:r>
              <w:rPr>
                <w:rFonts w:ascii="Arial" w:cs="Arial" w:eastAsia="Arial" w:hAnsi="Arial"/>
                <w:sz w:val="13"/>
                <w:szCs w:val="13"/>
                <w:color w:val="auto"/>
              </w:rPr>
              <w:t>50.8</w:t>
            </w:r>
          </w:p>
        </w:tc>
      </w:tr>
      <w:tr>
        <w:trPr>
          <w:trHeight w:val="216"/>
        </w:trPr>
        <w:tc>
          <w:tcPr>
            <w:tcW w:w="800" w:type="dxa"/>
            <w:vAlign w:val="bottom"/>
          </w:tcPr>
          <w:p>
            <w:pPr>
              <w:jc w:val="right"/>
              <w:ind w:right="477"/>
              <w:spacing w:after="0"/>
              <w:rPr>
                <w:sz w:val="20"/>
                <w:szCs w:val="20"/>
                <w:color w:val="auto"/>
              </w:rPr>
            </w:pPr>
            <w:r>
              <w:rPr>
                <w:rFonts w:ascii="Arial" w:cs="Arial" w:eastAsia="Arial" w:hAnsi="Arial"/>
                <w:sz w:val="13"/>
                <w:szCs w:val="13"/>
                <w:color w:val="auto"/>
                <w:w w:val="94"/>
              </w:rPr>
              <w:t>31.7</w:t>
            </w:r>
          </w:p>
        </w:tc>
        <w:tc>
          <w:tcPr>
            <w:tcW w:w="1220" w:type="dxa"/>
            <w:vAlign w:val="bottom"/>
          </w:tcPr>
          <w:p>
            <w:pPr>
              <w:jc w:val="right"/>
              <w:ind w:right="437"/>
              <w:spacing w:after="0"/>
              <w:rPr>
                <w:sz w:val="20"/>
                <w:szCs w:val="20"/>
                <w:color w:val="auto"/>
              </w:rPr>
            </w:pPr>
            <w:r>
              <w:rPr>
                <w:rFonts w:ascii="Arial" w:cs="Arial" w:eastAsia="Arial" w:hAnsi="Arial"/>
                <w:sz w:val="13"/>
                <w:szCs w:val="13"/>
                <w:color w:val="auto"/>
              </w:rPr>
              <w:t>34.9</w:t>
            </w:r>
          </w:p>
        </w:tc>
        <w:tc>
          <w:tcPr>
            <w:tcW w:w="78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216"/>
        </w:trPr>
        <w:tc>
          <w:tcPr>
            <w:tcW w:w="800" w:type="dxa"/>
            <w:vAlign w:val="bottom"/>
          </w:tcPr>
          <w:p>
            <w:pPr>
              <w:jc w:val="right"/>
              <w:ind w:right="437"/>
              <w:spacing w:after="0"/>
              <w:rPr>
                <w:sz w:val="20"/>
                <w:szCs w:val="20"/>
                <w:color w:val="auto"/>
              </w:rPr>
            </w:pPr>
            <w:r>
              <w:rPr>
                <w:rFonts w:ascii="Arial" w:cs="Arial" w:eastAsia="Arial" w:hAnsi="Arial"/>
                <w:sz w:val="13"/>
                <w:szCs w:val="13"/>
                <w:color w:val="auto"/>
              </w:rPr>
              <w:t>(2.2)</w:t>
            </w:r>
          </w:p>
        </w:tc>
        <w:tc>
          <w:tcPr>
            <w:tcW w:w="1220" w:type="dxa"/>
            <w:vAlign w:val="bottom"/>
          </w:tcPr>
          <w:p>
            <w:pPr>
              <w:jc w:val="right"/>
              <w:ind w:right="437"/>
              <w:spacing w:after="0"/>
              <w:rPr>
                <w:sz w:val="20"/>
                <w:szCs w:val="20"/>
                <w:color w:val="auto"/>
              </w:rPr>
            </w:pPr>
            <w:r>
              <w:rPr>
                <w:rFonts w:ascii="Arial" w:cs="Arial" w:eastAsia="Arial" w:hAnsi="Arial"/>
                <w:sz w:val="13"/>
                <w:szCs w:val="13"/>
                <w:color w:val="auto"/>
              </w:rPr>
              <w:t>7.3</w:t>
            </w:r>
          </w:p>
        </w:tc>
        <w:tc>
          <w:tcPr>
            <w:tcW w:w="78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89"/>
        </w:trPr>
        <w:tc>
          <w:tcPr>
            <w:tcW w:w="800" w:type="dxa"/>
            <w:vAlign w:val="bottom"/>
          </w:tcPr>
          <w:p>
            <w:pPr>
              <w:jc w:val="right"/>
              <w:ind w:right="437"/>
              <w:spacing w:after="0"/>
              <w:rPr>
                <w:sz w:val="20"/>
                <w:szCs w:val="20"/>
                <w:color w:val="auto"/>
              </w:rPr>
            </w:pPr>
            <w:r>
              <w:rPr>
                <w:rFonts w:ascii="Arial" w:cs="Arial" w:eastAsia="Arial" w:hAnsi="Arial"/>
                <w:sz w:val="13"/>
                <w:szCs w:val="13"/>
                <w:color w:val="auto"/>
                <w:w w:val="82"/>
              </w:rPr>
              <w:t>(18.4)</w:t>
            </w:r>
          </w:p>
        </w:tc>
        <w:tc>
          <w:tcPr>
            <w:tcW w:w="1220" w:type="dxa"/>
            <w:vAlign w:val="bottom"/>
          </w:tcPr>
          <w:p>
            <w:pPr>
              <w:jc w:val="right"/>
              <w:ind w:right="377"/>
              <w:spacing w:after="0"/>
              <w:rPr>
                <w:sz w:val="20"/>
                <w:szCs w:val="20"/>
                <w:color w:val="auto"/>
              </w:rPr>
            </w:pPr>
            <w:r>
              <w:rPr>
                <w:rFonts w:ascii="Arial" w:cs="Arial" w:eastAsia="Arial" w:hAnsi="Arial"/>
                <w:sz w:val="13"/>
                <w:szCs w:val="13"/>
                <w:color w:val="auto"/>
              </w:rPr>
              <w:t>(4.1)</w:t>
            </w:r>
          </w:p>
        </w:tc>
        <w:tc>
          <w:tcPr>
            <w:tcW w:w="78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216"/>
        </w:trPr>
        <w:tc>
          <w:tcPr>
            <w:tcW w:w="800" w:type="dxa"/>
            <w:vAlign w:val="bottom"/>
          </w:tcPr>
          <w:p>
            <w:pPr>
              <w:jc w:val="right"/>
              <w:ind w:right="477"/>
              <w:spacing w:after="0"/>
              <w:rPr>
                <w:sz w:val="20"/>
                <w:szCs w:val="20"/>
                <w:color w:val="auto"/>
              </w:rPr>
            </w:pPr>
            <w:r>
              <w:rPr>
                <w:rFonts w:ascii="Arial" w:cs="Arial" w:eastAsia="Arial" w:hAnsi="Arial"/>
                <w:sz w:val="13"/>
                <w:szCs w:val="13"/>
                <w:color w:val="auto"/>
                <w:w w:val="94"/>
              </w:rPr>
              <w:t>21.4</w:t>
            </w:r>
          </w:p>
        </w:tc>
        <w:tc>
          <w:tcPr>
            <w:tcW w:w="1220" w:type="dxa"/>
            <w:vAlign w:val="bottom"/>
          </w:tcPr>
          <w:p>
            <w:pPr>
              <w:jc w:val="right"/>
              <w:ind w:right="437"/>
              <w:spacing w:after="0"/>
              <w:rPr>
                <w:sz w:val="20"/>
                <w:szCs w:val="20"/>
                <w:color w:val="auto"/>
              </w:rPr>
            </w:pPr>
            <w:r>
              <w:rPr>
                <w:rFonts w:ascii="Arial" w:cs="Arial" w:eastAsia="Arial" w:hAnsi="Arial"/>
                <w:sz w:val="13"/>
                <w:szCs w:val="13"/>
                <w:color w:val="auto"/>
              </w:rPr>
              <w:t>20.9</w:t>
            </w:r>
          </w:p>
        </w:tc>
        <w:tc>
          <w:tcPr>
            <w:tcW w:w="780" w:type="dxa"/>
            <w:vAlign w:val="bottom"/>
          </w:tcPr>
          <w:p>
            <w:pPr>
              <w:jc w:val="right"/>
              <w:spacing w:after="0"/>
              <w:rPr>
                <w:sz w:val="20"/>
                <w:szCs w:val="20"/>
                <w:color w:val="auto"/>
              </w:rPr>
            </w:pPr>
            <w:r>
              <w:rPr>
                <w:rFonts w:ascii="Arial" w:cs="Arial" w:eastAsia="Arial" w:hAnsi="Arial"/>
                <w:sz w:val="13"/>
                <w:szCs w:val="13"/>
                <w:color w:val="auto"/>
              </w:rPr>
              <w:t>39.6</w:t>
            </w:r>
          </w:p>
        </w:tc>
      </w:tr>
      <w:tr>
        <w:trPr>
          <w:trHeight w:val="216"/>
        </w:trPr>
        <w:tc>
          <w:tcPr>
            <w:tcW w:w="800" w:type="dxa"/>
            <w:vAlign w:val="bottom"/>
          </w:tcPr>
          <w:p>
            <w:pPr>
              <w:jc w:val="right"/>
              <w:ind w:right="477"/>
              <w:spacing w:after="0"/>
              <w:rPr>
                <w:sz w:val="20"/>
                <w:szCs w:val="20"/>
                <w:color w:val="auto"/>
              </w:rPr>
            </w:pPr>
            <w:r>
              <w:rPr>
                <w:rFonts w:ascii="Arial" w:cs="Arial" w:eastAsia="Arial" w:hAnsi="Arial"/>
                <w:sz w:val="13"/>
                <w:szCs w:val="13"/>
                <w:color w:val="auto"/>
                <w:w w:val="94"/>
              </w:rPr>
              <w:t>21.2</w:t>
            </w:r>
          </w:p>
        </w:tc>
        <w:tc>
          <w:tcPr>
            <w:tcW w:w="1220" w:type="dxa"/>
            <w:vAlign w:val="bottom"/>
          </w:tcPr>
          <w:p>
            <w:pPr>
              <w:jc w:val="right"/>
              <w:ind w:right="437"/>
              <w:spacing w:after="0"/>
              <w:rPr>
                <w:sz w:val="20"/>
                <w:szCs w:val="20"/>
                <w:color w:val="auto"/>
              </w:rPr>
            </w:pPr>
            <w:r>
              <w:rPr>
                <w:rFonts w:ascii="Arial" w:cs="Arial" w:eastAsia="Arial" w:hAnsi="Arial"/>
                <w:sz w:val="13"/>
                <w:szCs w:val="13"/>
                <w:color w:val="auto"/>
              </w:rPr>
              <w:t>12.0</w:t>
            </w:r>
          </w:p>
        </w:tc>
        <w:tc>
          <w:tcPr>
            <w:tcW w:w="780" w:type="dxa"/>
            <w:vAlign w:val="bottom"/>
          </w:tcPr>
          <w:p>
            <w:pPr>
              <w:jc w:val="right"/>
              <w:spacing w:after="0"/>
              <w:rPr>
                <w:sz w:val="20"/>
                <w:szCs w:val="20"/>
                <w:color w:val="auto"/>
              </w:rPr>
            </w:pPr>
            <w:r>
              <w:rPr>
                <w:rFonts w:ascii="Arial" w:cs="Arial" w:eastAsia="Arial" w:hAnsi="Arial"/>
                <w:sz w:val="13"/>
                <w:szCs w:val="13"/>
                <w:color w:val="auto"/>
              </w:rPr>
              <w:t>15.6</w:t>
            </w:r>
          </w:p>
        </w:tc>
      </w:tr>
      <w:tr>
        <w:trPr>
          <w:trHeight w:val="216"/>
        </w:trPr>
        <w:tc>
          <w:tcPr>
            <w:tcW w:w="80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437"/>
              <w:spacing w:after="0"/>
              <w:rPr>
                <w:sz w:val="20"/>
                <w:szCs w:val="20"/>
                <w:color w:val="auto"/>
              </w:rPr>
            </w:pPr>
            <w:r>
              <w:rPr>
                <w:rFonts w:ascii="Arial" w:cs="Arial" w:eastAsia="Arial" w:hAnsi="Arial"/>
                <w:sz w:val="13"/>
                <w:szCs w:val="13"/>
                <w:color w:val="auto"/>
              </w:rPr>
              <w:t>17.1</w:t>
            </w:r>
          </w:p>
        </w:tc>
        <w:tc>
          <w:tcPr>
            <w:tcW w:w="780" w:type="dxa"/>
            <w:vAlign w:val="bottom"/>
          </w:tcPr>
          <w:p>
            <w:pPr>
              <w:jc w:val="right"/>
              <w:spacing w:after="0"/>
              <w:rPr>
                <w:sz w:val="20"/>
                <w:szCs w:val="20"/>
                <w:color w:val="auto"/>
              </w:rPr>
            </w:pPr>
            <w:r>
              <w:rPr>
                <w:rFonts w:ascii="Arial" w:cs="Arial" w:eastAsia="Arial" w:hAnsi="Arial"/>
                <w:sz w:val="13"/>
                <w:szCs w:val="13"/>
                <w:color w:val="auto"/>
              </w:rPr>
              <w:t>101.4</w:t>
            </w:r>
          </w:p>
        </w:tc>
      </w:tr>
      <w:tr>
        <w:trPr>
          <w:trHeight w:val="216"/>
        </w:trPr>
        <w:tc>
          <w:tcPr>
            <w:tcW w:w="800" w:type="dxa"/>
            <w:vAlign w:val="bottom"/>
          </w:tcPr>
          <w:p>
            <w:pPr>
              <w:jc w:val="right"/>
              <w:ind w:right="477"/>
              <w:spacing w:after="0"/>
              <w:rPr>
                <w:sz w:val="20"/>
                <w:szCs w:val="20"/>
                <w:color w:val="auto"/>
              </w:rPr>
            </w:pPr>
            <w:r>
              <w:rPr>
                <w:rFonts w:ascii="Arial" w:cs="Arial" w:eastAsia="Arial" w:hAnsi="Arial"/>
                <w:sz w:val="13"/>
                <w:szCs w:val="13"/>
                <w:color w:val="auto"/>
              </w:rPr>
              <w:t>1.9</w:t>
            </w:r>
          </w:p>
        </w:tc>
        <w:tc>
          <w:tcPr>
            <w:tcW w:w="1220" w:type="dxa"/>
            <w:vAlign w:val="bottom"/>
          </w:tcPr>
          <w:p>
            <w:pPr>
              <w:jc w:val="right"/>
              <w:ind w:right="437"/>
              <w:spacing w:after="0"/>
              <w:rPr>
                <w:sz w:val="20"/>
                <w:szCs w:val="20"/>
                <w:color w:val="auto"/>
              </w:rPr>
            </w:pPr>
            <w:r>
              <w:rPr>
                <w:rFonts w:ascii="Arial" w:cs="Arial" w:eastAsia="Arial" w:hAnsi="Arial"/>
                <w:sz w:val="13"/>
                <w:szCs w:val="13"/>
                <w:color w:val="auto"/>
              </w:rPr>
              <w:t>13.2</w:t>
            </w:r>
          </w:p>
        </w:tc>
        <w:tc>
          <w:tcPr>
            <w:tcW w:w="780" w:type="dxa"/>
            <w:vAlign w:val="bottom"/>
          </w:tcPr>
          <w:p>
            <w:pPr>
              <w:jc w:val="right"/>
              <w:spacing w:after="0"/>
              <w:rPr>
                <w:sz w:val="20"/>
                <w:szCs w:val="20"/>
                <w:color w:val="auto"/>
              </w:rPr>
            </w:pPr>
            <w:r>
              <w:rPr>
                <w:rFonts w:ascii="Arial" w:cs="Arial" w:eastAsia="Arial" w:hAnsi="Arial"/>
                <w:sz w:val="13"/>
                <w:szCs w:val="13"/>
                <w:color w:val="auto"/>
              </w:rPr>
              <w:t>24.9</w:t>
            </w:r>
          </w:p>
        </w:tc>
      </w:tr>
      <w:tr>
        <w:trPr>
          <w:trHeight w:val="189"/>
        </w:trPr>
        <w:tc>
          <w:tcPr>
            <w:tcW w:w="800" w:type="dxa"/>
            <w:vAlign w:val="bottom"/>
          </w:tcPr>
          <w:p>
            <w:pPr>
              <w:jc w:val="right"/>
              <w:ind w:right="437"/>
              <w:spacing w:after="0"/>
              <w:rPr>
                <w:sz w:val="20"/>
                <w:szCs w:val="20"/>
                <w:color w:val="auto"/>
              </w:rPr>
            </w:pPr>
            <w:r>
              <w:rPr>
                <w:rFonts w:ascii="Arial" w:cs="Arial" w:eastAsia="Arial" w:hAnsi="Arial"/>
                <w:sz w:val="13"/>
                <w:szCs w:val="13"/>
                <w:color w:val="auto"/>
                <w:w w:val="82"/>
              </w:rPr>
              <w:t>(20.9)</w:t>
            </w:r>
          </w:p>
        </w:tc>
        <w:tc>
          <w:tcPr>
            <w:tcW w:w="1220" w:type="dxa"/>
            <w:vAlign w:val="bottom"/>
          </w:tcPr>
          <w:p>
            <w:pPr>
              <w:jc w:val="right"/>
              <w:ind w:right="377"/>
              <w:spacing w:after="0"/>
              <w:rPr>
                <w:sz w:val="20"/>
                <w:szCs w:val="20"/>
                <w:color w:val="auto"/>
              </w:rPr>
            </w:pPr>
            <w:r>
              <w:rPr>
                <w:rFonts w:ascii="Arial" w:cs="Arial" w:eastAsia="Arial" w:hAnsi="Arial"/>
                <w:sz w:val="13"/>
                <w:szCs w:val="13"/>
                <w:color w:val="auto"/>
              </w:rPr>
              <w:t>(8.9)</w:t>
            </w:r>
          </w:p>
        </w:tc>
        <w:tc>
          <w:tcPr>
            <w:tcW w:w="780" w:type="dxa"/>
            <w:vAlign w:val="bottom"/>
          </w:tcPr>
          <w:p>
            <w:pPr>
              <w:jc w:val="right"/>
              <w:spacing w:after="0"/>
              <w:rPr>
                <w:sz w:val="20"/>
                <w:szCs w:val="20"/>
                <w:color w:val="auto"/>
              </w:rPr>
            </w:pPr>
            <w:r>
              <w:rPr>
                <w:rFonts w:ascii="Arial" w:cs="Arial" w:eastAsia="Arial" w:hAnsi="Arial"/>
                <w:sz w:val="13"/>
                <w:szCs w:val="13"/>
                <w:color w:val="auto"/>
              </w:rPr>
              <w:t>(8.3)</w:t>
            </w:r>
          </w:p>
        </w:tc>
      </w:tr>
    </w:tbl>
    <w:p>
      <w:pPr>
        <w:spacing w:after="0" w:line="290" w:lineRule="exact"/>
        <w:rPr>
          <w:sz w:val="20"/>
          <w:szCs w:val="20"/>
          <w:color w:val="auto"/>
        </w:rPr>
      </w:pPr>
    </w:p>
    <w:p>
      <w:pPr>
        <w:sectPr>
          <w:pgSz w:w="11900" w:h="16838" w:orient="portrait"/>
          <w:cols w:equalWidth="0" w:num="2">
            <w:col w:w="7800" w:space="720"/>
            <w:col w:w="2860"/>
          </w:cols>
          <w:pgMar w:left="260" w:top="548" w:right="25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60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Accounts receivable</w:t>
            </w:r>
          </w:p>
        </w:tc>
        <w:tc>
          <w:tcPr>
            <w:tcW w:w="20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208"/>
        </w:trPr>
        <w:tc>
          <w:tcPr>
            <w:tcW w:w="6080" w:type="dxa"/>
            <w:vAlign w:val="bottom"/>
          </w:tcPr>
          <w:p>
            <w:pPr>
              <w:ind w:left="380"/>
              <w:spacing w:after="0"/>
              <w:rPr>
                <w:sz w:val="20"/>
                <w:szCs w:val="20"/>
                <w:color w:val="auto"/>
              </w:rPr>
            </w:pPr>
            <w:r>
              <w:rPr>
                <w:rFonts w:ascii="Arial" w:cs="Arial" w:eastAsia="Arial" w:hAnsi="Arial"/>
                <w:sz w:val="13"/>
                <w:szCs w:val="13"/>
                <w:color w:val="auto"/>
              </w:rPr>
              <w:t>Inventories</w:t>
            </w:r>
          </w:p>
        </w:tc>
        <w:tc>
          <w:tcPr>
            <w:tcW w:w="20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13.6</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(40.1)</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(20.5)</w:t>
            </w:r>
          </w:p>
        </w:tc>
      </w:tr>
      <w:tr>
        <w:trPr>
          <w:trHeight w:val="224"/>
        </w:trPr>
        <w:tc>
          <w:tcPr>
            <w:tcW w:w="60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Other current assets</w:t>
            </w:r>
          </w:p>
        </w:tc>
        <w:tc>
          <w:tcPr>
            <w:tcW w:w="20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31.2</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r>
      <w:tr>
        <w:trPr>
          <w:trHeight w:val="208"/>
        </w:trPr>
        <w:tc>
          <w:tcPr>
            <w:tcW w:w="608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2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(63.6)</w:t>
            </w:r>
          </w:p>
        </w:tc>
        <w:tc>
          <w:tcPr>
            <w:tcW w:w="48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58.3</w:t>
            </w:r>
          </w:p>
        </w:tc>
        <w:tc>
          <w:tcPr>
            <w:tcW w:w="4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15.6</w:t>
            </w:r>
          </w:p>
        </w:tc>
      </w:tr>
      <w:tr>
        <w:trPr>
          <w:trHeight w:val="197"/>
        </w:trPr>
        <w:tc>
          <w:tcPr>
            <w:tcW w:w="60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Employee compensation and benefits</w:t>
            </w:r>
          </w:p>
        </w:tc>
        <w:tc>
          <w:tcPr>
            <w:tcW w:w="20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81"/>
        </w:trPr>
        <w:tc>
          <w:tcPr>
            <w:tcW w:w="6080" w:type="dxa"/>
            <w:vAlign w:val="bottom"/>
          </w:tcPr>
          <w:p>
            <w:pPr>
              <w:ind w:left="380"/>
              <w:spacing w:after="0"/>
              <w:rPr>
                <w:sz w:val="20"/>
                <w:szCs w:val="20"/>
                <w:color w:val="auto"/>
              </w:rPr>
            </w:pPr>
            <w:r>
              <w:rPr>
                <w:rFonts w:ascii="Arial" w:cs="Arial" w:eastAsia="Arial" w:hAnsi="Arial"/>
                <w:sz w:val="13"/>
                <w:szCs w:val="13"/>
                <w:color w:val="auto"/>
              </w:rPr>
              <w:t>Other current liabilities</w:t>
            </w:r>
          </w:p>
        </w:tc>
        <w:tc>
          <w:tcPr>
            <w:tcW w:w="2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(0.4)</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(54.6)</w:t>
            </w:r>
          </w:p>
        </w:tc>
      </w:tr>
      <w:tr>
        <w:trPr>
          <w:trHeight w:val="218"/>
        </w:trPr>
        <w:tc>
          <w:tcPr>
            <w:tcW w:w="60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Other non-current assets and liabilities</w:t>
            </w:r>
          </w:p>
        </w:tc>
        <w:tc>
          <w:tcPr>
            <w:tcW w:w="20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9.4</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w:t>
            </w:r>
          </w:p>
        </w:tc>
      </w:tr>
      <w:tr>
        <w:trPr>
          <w:trHeight w:val="208"/>
        </w:trPr>
        <w:tc>
          <w:tcPr>
            <w:tcW w:w="6080" w:type="dxa"/>
            <w:vAlign w:val="bottom"/>
          </w:tcPr>
          <w:p>
            <w:pPr>
              <w:ind w:left="540"/>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20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345.2</w:t>
            </w:r>
          </w:p>
        </w:tc>
        <w:tc>
          <w:tcPr>
            <w:tcW w:w="48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458.1</w:t>
            </w:r>
          </w:p>
        </w:tc>
        <w:tc>
          <w:tcPr>
            <w:tcW w:w="4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278.6</w:t>
            </w:r>
          </w:p>
        </w:tc>
      </w:tr>
      <w:tr>
        <w:trPr>
          <w:trHeight w:val="218"/>
        </w:trPr>
        <w:tc>
          <w:tcPr>
            <w:tcW w:w="6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Net cash provided by (used for) operating activities of discontinued operations</w:t>
            </w:r>
          </w:p>
        </w:tc>
        <w:tc>
          <w:tcPr>
            <w:tcW w:w="20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7.8</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341.6</w:t>
            </w:r>
          </w:p>
        </w:tc>
      </w:tr>
      <w:tr>
        <w:trPr>
          <w:trHeight w:val="208"/>
        </w:trPr>
        <w:tc>
          <w:tcPr>
            <w:tcW w:w="6080" w:type="dxa"/>
            <w:vAlign w:val="bottom"/>
          </w:tcPr>
          <w:p>
            <w:pPr>
              <w:ind w:left="540"/>
              <w:spacing w:after="0"/>
              <w:rPr>
                <w:sz w:val="20"/>
                <w:szCs w:val="20"/>
                <w:color w:val="auto"/>
              </w:rPr>
            </w:pPr>
            <w:r>
              <w:rPr>
                <w:rFonts w:ascii="Arial" w:cs="Arial" w:eastAsia="Arial" w:hAnsi="Arial"/>
                <w:sz w:val="13"/>
                <w:szCs w:val="13"/>
                <w:color w:val="auto"/>
              </w:rPr>
              <w:t>Net cash provided by operating activities</w:t>
            </w:r>
          </w:p>
        </w:tc>
        <w:tc>
          <w:tcPr>
            <w:tcW w:w="20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353.0</w:t>
            </w:r>
          </w:p>
        </w:tc>
        <w:tc>
          <w:tcPr>
            <w:tcW w:w="48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439.1</w:t>
            </w:r>
          </w:p>
        </w:tc>
        <w:tc>
          <w:tcPr>
            <w:tcW w:w="4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620.2</w:t>
            </w:r>
          </w:p>
        </w:tc>
      </w:tr>
      <w:tr>
        <w:trPr>
          <w:trHeight w:val="181"/>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97"/>
        </w:trPr>
        <w:tc>
          <w:tcPr>
            <w:tcW w:w="608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81"/>
        </w:trPr>
        <w:tc>
          <w:tcPr>
            <w:tcW w:w="608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2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(58.5)</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(48.2)</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(39.1)</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20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r>
      <w:tr>
        <w:trPr>
          <w:trHeight w:val="208"/>
        </w:trPr>
        <w:tc>
          <w:tcPr>
            <w:tcW w:w="6080" w:type="dxa"/>
            <w:vAlign w:val="bottom"/>
          </w:tcPr>
          <w:p>
            <w:pPr>
              <w:ind w:left="20"/>
              <w:spacing w:after="0"/>
              <w:rPr>
                <w:sz w:val="20"/>
                <w:szCs w:val="20"/>
                <w:color w:val="auto"/>
              </w:rPr>
            </w:pPr>
            <w:r>
              <w:rPr>
                <w:rFonts w:ascii="Arial" w:cs="Arial" w:eastAsia="Arial" w:hAnsi="Arial"/>
                <w:sz w:val="13"/>
                <w:szCs w:val="13"/>
                <w:color w:val="auto"/>
              </w:rPr>
              <w:t>Proceeds from (payments due to) sale of businesses</w:t>
            </w:r>
          </w:p>
        </w:tc>
        <w:tc>
          <w:tcPr>
            <w:tcW w:w="20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15.3</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(12.8)</w:t>
            </w:r>
          </w:p>
        </w:tc>
        <w:tc>
          <w:tcPr>
            <w:tcW w:w="4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2,759.4</w:t>
            </w:r>
          </w:p>
        </w:tc>
      </w:tr>
      <w:tr>
        <w:trPr>
          <w:trHeight w:val="197"/>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 net of cash acquired</w:t>
            </w:r>
          </w:p>
        </w:tc>
        <w:tc>
          <w:tcPr>
            <w:tcW w:w="20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(287.8)</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r>
      <w:tr>
        <w:trPr>
          <w:trHeight w:val="21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2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16"/>
        </w:trPr>
        <w:tc>
          <w:tcPr>
            <w:tcW w:w="60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(used for) provided by investing activities of continuing operations</w:t>
            </w:r>
          </w:p>
        </w:tc>
        <w:tc>
          <w:tcPr>
            <w:tcW w:w="20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2,678.1</w:t>
            </w:r>
          </w:p>
        </w:tc>
      </w:tr>
      <w:tr>
        <w:trPr>
          <w:trHeight w:val="210"/>
        </w:trPr>
        <w:tc>
          <w:tcPr>
            <w:tcW w:w="60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Net cash used for investing activities of discontinued operations</w:t>
            </w:r>
          </w:p>
        </w:tc>
        <w:tc>
          <w:tcPr>
            <w:tcW w:w="2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w:t>
            </w:r>
          </w:p>
        </w:tc>
      </w:tr>
      <w:tr>
        <w:trPr>
          <w:trHeight w:val="216"/>
        </w:trPr>
        <w:tc>
          <w:tcPr>
            <w:tcW w:w="60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(used for) provided by investing activities</w:t>
            </w:r>
          </w:p>
        </w:tc>
        <w:tc>
          <w:tcPr>
            <w:tcW w:w="20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2,630.4</w:t>
            </w:r>
          </w:p>
        </w:tc>
      </w:tr>
      <w:tr>
        <w:trPr>
          <w:trHeight w:val="173"/>
        </w:trPr>
        <w:tc>
          <w:tcPr>
            <w:tcW w:w="608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97"/>
        </w:trPr>
        <w:tc>
          <w:tcPr>
            <w:tcW w:w="60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receipts (repayments) of commercial paper and revolving long-term debt</w:t>
            </w:r>
          </w:p>
        </w:tc>
        <w:tc>
          <w:tcPr>
            <w:tcW w:w="20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39.7</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(913.1)</w:t>
            </w:r>
          </w:p>
        </w:tc>
      </w:tr>
      <w:tr>
        <w:trPr>
          <w:trHeight w:val="208"/>
        </w:trPr>
        <w:tc>
          <w:tcPr>
            <w:tcW w:w="6080" w:type="dxa"/>
            <w:vAlign w:val="bottom"/>
          </w:tcPr>
          <w:p>
            <w:pPr>
              <w:ind w:left="20"/>
              <w:spacing w:after="0"/>
              <w:rPr>
                <w:sz w:val="20"/>
                <w:szCs w:val="20"/>
                <w:color w:val="auto"/>
              </w:rPr>
            </w:pPr>
            <w:r>
              <w:rPr>
                <w:rFonts w:ascii="Arial" w:cs="Arial" w:eastAsia="Arial" w:hAnsi="Arial"/>
                <w:sz w:val="13"/>
                <w:szCs w:val="13"/>
                <w:color w:val="auto"/>
              </w:rPr>
              <w:t>Proceeds from long-term debt</w:t>
            </w:r>
          </w:p>
        </w:tc>
        <w:tc>
          <w:tcPr>
            <w:tcW w:w="20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600.0</w:t>
            </w:r>
          </w:p>
        </w:tc>
        <w:tc>
          <w:tcPr>
            <w:tcW w:w="48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97"/>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long-term debt</w:t>
            </w:r>
          </w:p>
        </w:tc>
        <w:tc>
          <w:tcPr>
            <w:tcW w:w="20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(401.5)</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(675.1)</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(2,009.3)</w:t>
            </w:r>
          </w:p>
        </w:tc>
      </w:tr>
      <w:tr>
        <w:trPr>
          <w:trHeight w:val="208"/>
        </w:trPr>
        <w:tc>
          <w:tcPr>
            <w:tcW w:w="6080" w:type="dxa"/>
            <w:vAlign w:val="bottom"/>
          </w:tcPr>
          <w:p>
            <w:pPr>
              <w:ind w:left="20"/>
              <w:spacing w:after="0"/>
              <w:rPr>
                <w:sz w:val="20"/>
                <w:szCs w:val="20"/>
                <w:color w:val="auto"/>
              </w:rPr>
            </w:pPr>
            <w:r>
              <w:rPr>
                <w:rFonts w:ascii="Arial" w:cs="Arial" w:eastAsia="Arial" w:hAnsi="Arial"/>
                <w:sz w:val="13"/>
                <w:szCs w:val="13"/>
                <w:color w:val="auto"/>
              </w:rPr>
              <w:t>Premium paid on early extinguishment of debt</w:t>
            </w:r>
          </w:p>
        </w:tc>
        <w:tc>
          <w:tcPr>
            <w:tcW w:w="20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(94.9)</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of cash from nVent, net of cash transferred</w:t>
            </w:r>
          </w:p>
        </w:tc>
        <w:tc>
          <w:tcPr>
            <w:tcW w:w="20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919.4</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08"/>
        </w:trPr>
        <w:tc>
          <w:tcPr>
            <w:tcW w:w="6080" w:type="dxa"/>
            <w:vAlign w:val="bottom"/>
          </w:tcPr>
          <w:p>
            <w:pPr>
              <w:ind w:left="20"/>
              <w:spacing w:after="0"/>
              <w:rPr>
                <w:sz w:val="20"/>
                <w:szCs w:val="20"/>
                <w:color w:val="auto"/>
              </w:rPr>
            </w:pPr>
            <w:r>
              <w:rPr>
                <w:rFonts w:ascii="Arial" w:cs="Arial" w:eastAsia="Arial" w:hAnsi="Arial"/>
                <w:sz w:val="13"/>
                <w:szCs w:val="13"/>
                <w:color w:val="auto"/>
              </w:rPr>
              <w:t>Shares issued to employees, net of shares withheld</w:t>
            </w:r>
          </w:p>
        </w:tc>
        <w:tc>
          <w:tcPr>
            <w:tcW w:w="20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12.5</w:t>
            </w:r>
          </w:p>
        </w:tc>
        <w:tc>
          <w:tcPr>
            <w:tcW w:w="48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13.3</w:t>
            </w:r>
          </w:p>
        </w:tc>
        <w:tc>
          <w:tcPr>
            <w:tcW w:w="4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37.2</w:t>
            </w:r>
          </w:p>
        </w:tc>
      </w:tr>
      <w:tr>
        <w:trPr>
          <w:trHeight w:val="197"/>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ordinary shares</w:t>
            </w:r>
          </w:p>
        </w:tc>
        <w:tc>
          <w:tcPr>
            <w:tcW w:w="20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r>
      <w:tr>
        <w:trPr>
          <w:trHeight w:val="181"/>
        </w:trPr>
        <w:tc>
          <w:tcPr>
            <w:tcW w:w="6080" w:type="dxa"/>
            <w:vAlign w:val="bottom"/>
          </w:tcPr>
          <w:p>
            <w:pPr>
              <w:ind w:left="20"/>
              <w:spacing w:after="0"/>
              <w:rPr>
                <w:sz w:val="20"/>
                <w:szCs w:val="20"/>
                <w:color w:val="auto"/>
              </w:rPr>
            </w:pPr>
            <w:r>
              <w:rPr>
                <w:rFonts w:ascii="Arial" w:cs="Arial" w:eastAsia="Arial" w:hAnsi="Arial"/>
                <w:sz w:val="13"/>
                <w:szCs w:val="13"/>
                <w:color w:val="auto"/>
              </w:rPr>
              <w:t>Dividends paid</w:t>
            </w:r>
          </w:p>
        </w:tc>
        <w:tc>
          <w:tcPr>
            <w:tcW w:w="2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(122.7)</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(187.2)</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(251.7)</w:t>
            </w:r>
          </w:p>
        </w:tc>
      </w:tr>
      <w:tr>
        <w:trPr>
          <w:trHeight w:val="191"/>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0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181"/>
        </w:trPr>
        <w:tc>
          <w:tcPr>
            <w:tcW w:w="6080" w:type="dxa"/>
            <w:vAlign w:val="bottom"/>
          </w:tcPr>
          <w:p>
            <w:pPr>
              <w:ind w:left="540"/>
              <w:spacing w:after="0"/>
              <w:rPr>
                <w:sz w:val="20"/>
                <w:szCs w:val="20"/>
                <w:color w:val="auto"/>
              </w:rPr>
            </w:pPr>
            <w:r>
              <w:rPr>
                <w:rFonts w:ascii="Arial" w:cs="Arial" w:eastAsia="Arial" w:hAnsi="Arial"/>
                <w:sz w:val="13"/>
                <w:szCs w:val="13"/>
                <w:color w:val="auto"/>
              </w:rPr>
              <w:t>Net cash used for financing activities</w:t>
            </w:r>
          </w:p>
        </w:tc>
        <w:tc>
          <w:tcPr>
            <w:tcW w:w="2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(17.1)</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(407.9)</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(3,432.6)</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Change in cash held for sale</w:t>
            </w:r>
          </w:p>
        </w:tc>
        <w:tc>
          <w:tcPr>
            <w:tcW w:w="20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27.0</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21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Effect of exchange rate changes on cash and cash equivalents</w:t>
            </w:r>
          </w:p>
        </w:tc>
        <w:tc>
          <w:tcPr>
            <w:tcW w:w="2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56.8</w:t>
            </w: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Change in cash and cash equivalents</w:t>
            </w:r>
          </w:p>
        </w:tc>
        <w:tc>
          <w:tcPr>
            <w:tcW w:w="20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w:t>
            </w:r>
          </w:p>
        </w:tc>
      </w:tr>
      <w:tr>
        <w:trPr>
          <w:trHeight w:val="21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beginning of year</w:t>
            </w:r>
          </w:p>
        </w:tc>
        <w:tc>
          <w:tcPr>
            <w:tcW w:w="2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74.3</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86.3</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216.9</w:t>
            </w:r>
          </w:p>
        </w:tc>
      </w:tr>
      <w:tr>
        <w:trPr>
          <w:trHeight w:val="210"/>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end of year</w:t>
            </w:r>
          </w:p>
        </w:tc>
        <w:tc>
          <w:tcPr>
            <w:tcW w:w="200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82.5</w:t>
            </w:r>
          </w:p>
        </w:tc>
        <w:tc>
          <w:tcPr>
            <w:tcW w:w="48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74.3</w:t>
            </w:r>
          </w:p>
        </w:tc>
        <w:tc>
          <w:tcPr>
            <w:tcW w:w="42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86.3</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6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4"/>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0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97"/>
        </w:trPr>
        <w:tc>
          <w:tcPr>
            <w:tcW w:w="608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200"/>
        </w:trPr>
        <w:tc>
          <w:tcPr>
            <w:tcW w:w="6080" w:type="dxa"/>
            <w:vAlign w:val="bottom"/>
          </w:tcPr>
          <w:p>
            <w:pPr>
              <w:ind w:left="20"/>
              <w:spacing w:after="0"/>
              <w:rPr>
                <w:sz w:val="20"/>
                <w:szCs w:val="20"/>
                <w:color w:val="auto"/>
              </w:rPr>
            </w:pPr>
            <w:r>
              <w:rPr>
                <w:rFonts w:ascii="Arial" w:cs="Arial" w:eastAsia="Arial" w:hAnsi="Arial"/>
                <w:sz w:val="13"/>
                <w:szCs w:val="13"/>
                <w:color w:val="auto"/>
              </w:rPr>
              <w:t>Cash paid for interest, net</w:t>
            </w:r>
          </w:p>
        </w:tc>
        <w:tc>
          <w:tcPr>
            <w:tcW w:w="20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33.7</w:t>
            </w:r>
          </w:p>
        </w:tc>
        <w:tc>
          <w:tcPr>
            <w:tcW w:w="4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43.7</w:t>
            </w: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107.2</w:t>
            </w:r>
          </w:p>
        </w:tc>
      </w:tr>
      <w:tr>
        <w:trPr>
          <w:trHeight w:val="216"/>
        </w:trPr>
        <w:tc>
          <w:tcPr>
            <w:tcW w:w="6080" w:type="dxa"/>
            <w:vAlign w:val="bottom"/>
          </w:tcPr>
          <w:p>
            <w:pPr>
              <w:ind w:left="20"/>
              <w:spacing w:after="0"/>
              <w:rPr>
                <w:sz w:val="20"/>
                <w:szCs w:val="20"/>
                <w:color w:val="auto"/>
              </w:rPr>
            </w:pPr>
            <w:r>
              <w:rPr>
                <w:rFonts w:ascii="Arial" w:cs="Arial" w:eastAsia="Arial" w:hAnsi="Arial"/>
                <w:sz w:val="13"/>
                <w:szCs w:val="13"/>
                <w:color w:val="auto"/>
              </w:rPr>
              <w:t>Cash paid for income taxes, net</w:t>
            </w:r>
          </w:p>
        </w:tc>
        <w:tc>
          <w:tcPr>
            <w:tcW w:w="20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59.0</w:t>
            </w:r>
          </w:p>
        </w:tc>
        <w:tc>
          <w:tcPr>
            <w:tcW w:w="48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92.9</w:t>
            </w:r>
          </w:p>
        </w:tc>
        <w:tc>
          <w:tcPr>
            <w:tcW w:w="4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294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ectPr>
          <w:pgSz w:w="11900" w:h="16838" w:orient="portrait"/>
          <w:cols w:equalWidth="0" w:num="1">
            <w:col w:w="11380"/>
          </w:cols>
          <w:pgMar w:left="260" w:top="548" w:right="25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60" w:top="548" w:right="259" w:bottom="1440" w:gutter="0" w:footer="0" w:header="0"/>
          <w:type w:val="continuous"/>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196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Ordinary shares</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56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gridSpan w:val="2"/>
            <w:vMerge w:val="restart"/>
          </w:tcPr>
          <w:p>
            <w:pPr>
              <w:jc w:val="right"/>
              <w:spacing w:after="0" w:line="131" w:lineRule="exact"/>
              <w:rPr>
                <w:sz w:val="20"/>
                <w:szCs w:val="20"/>
                <w:color w:val="auto"/>
              </w:rPr>
            </w:pPr>
            <w:r>
              <w:rPr>
                <w:rFonts w:ascii="Arial" w:cs="Arial" w:eastAsia="Arial" w:hAnsi="Arial"/>
                <w:sz w:val="13"/>
                <w:szCs w:val="13"/>
                <w:b w:val="1"/>
                <w:bCs w:val="1"/>
                <w:color w:val="auto"/>
                <w:w w:val="96"/>
              </w:rPr>
              <w:t>Additional paid-in</w:t>
            </w: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57"/>
              <w:spacing w:after="0" w:line="131" w:lineRule="exact"/>
              <w:rPr>
                <w:sz w:val="20"/>
                <w:szCs w:val="20"/>
                <w:color w:val="auto"/>
              </w:rPr>
            </w:pPr>
            <w:r>
              <w:rPr>
                <w:rFonts w:ascii="Arial" w:cs="Arial" w:eastAsia="Arial" w:hAnsi="Arial"/>
                <w:sz w:val="13"/>
                <w:szCs w:val="13"/>
                <w:b w:val="1"/>
                <w:bCs w:val="1"/>
                <w:color w:val="auto"/>
                <w:w w:val="83"/>
              </w:rPr>
              <w:t>comprehensive</w:t>
            </w: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Number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capital</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Retained earnings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3"/>
              </w:rPr>
              <w:t>income (loss)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 December 31, 2016</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181.8</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2,920.8</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2,068.1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(736.3)</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4,254.4</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666.5</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666.5</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492.9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492.9</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Dividends declared</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(252.9)</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(252.9)</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 repurchases</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Exercise of options, net of shares tendered for payment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45.6</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shares, net of cancellations</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Shares surrendered by employees to pay taxes</w:t>
            </w:r>
          </w:p>
        </w:tc>
        <w:tc>
          <w:tcPr>
            <w:tcW w:w="1120" w:type="dxa"/>
            <w:vAlign w:val="bottom"/>
          </w:tcPr>
          <w:p>
            <w:pPr>
              <w:jc w:val="right"/>
              <w:spacing w:after="0"/>
              <w:rPr>
                <w:sz w:val="20"/>
                <w:szCs w:val="20"/>
                <w:color w:val="auto"/>
              </w:rPr>
            </w:pPr>
            <w:r>
              <w:rPr>
                <w:rFonts w:ascii="Arial" w:cs="Arial" w:eastAsia="Arial" w:hAnsi="Arial"/>
                <w:sz w:val="13"/>
                <w:szCs w:val="13"/>
                <w:color w:val="auto"/>
              </w:rPr>
              <w:t>(0.1)</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18"/>
        </w:trPr>
        <w:tc>
          <w:tcPr>
            <w:tcW w:w="4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39.6</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Balance - December 31, 2017</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180.3</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2,797.7</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2,481.7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(243.4)</w:t>
            </w: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5,037.8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347.4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347.4</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Cumulative effect of accounting changes</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(214.0)</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(214.0)</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Distribution to nVent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(438.2)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(2,291.0)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(2,777.0)</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(154.9)</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(154.9)</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Share repurchases</w:t>
            </w:r>
          </w:p>
        </w:tc>
        <w:tc>
          <w:tcPr>
            <w:tcW w:w="1120" w:type="dxa"/>
            <w:vAlign w:val="bottom"/>
          </w:tcPr>
          <w:p>
            <w:pPr>
              <w:jc w:val="right"/>
              <w:spacing w:after="0"/>
              <w:rPr>
                <w:sz w:val="20"/>
                <w:szCs w:val="20"/>
                <w:color w:val="auto"/>
              </w:rPr>
            </w:pPr>
            <w:r>
              <w:rPr>
                <w:rFonts w:ascii="Arial" w:cs="Arial" w:eastAsia="Arial" w:hAnsi="Arial"/>
                <w:sz w:val="13"/>
                <w:szCs w:val="13"/>
                <w:color w:val="auto"/>
              </w:rPr>
              <w:t>(10.2)</w:t>
            </w:r>
          </w:p>
        </w:tc>
        <w:tc>
          <w:tcPr>
            <w:tcW w:w="840" w:type="dxa"/>
            <w:vAlign w:val="bottom"/>
          </w:tcPr>
          <w:p>
            <w:pPr>
              <w:spacing w:after="0"/>
              <w:rPr>
                <w:sz w:val="18"/>
                <w:szCs w:val="18"/>
                <w:color w:val="auto"/>
              </w:rPr>
            </w:pPr>
          </w:p>
        </w:tc>
        <w:tc>
          <w:tcPr>
            <w:tcW w:w="340" w:type="dxa"/>
            <w:vAlign w:val="bottom"/>
          </w:tcPr>
          <w:p>
            <w:pPr>
              <w:jc w:val="right"/>
              <w:ind w:right="17"/>
              <w:spacing w:after="0"/>
              <w:rPr>
                <w:sz w:val="20"/>
                <w:szCs w:val="20"/>
                <w:color w:val="auto"/>
              </w:rPr>
            </w:pPr>
            <w:r>
              <w:rPr>
                <w:rFonts w:ascii="Arial" w:cs="Arial" w:eastAsia="Arial" w:hAnsi="Arial"/>
                <w:sz w:val="13"/>
                <w:szCs w:val="13"/>
                <w:color w:val="auto"/>
                <w:w w:val="89"/>
              </w:rPr>
              <w:t>(0.1)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(499.9)</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options, net of shares tendered for payment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0.9</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24.3</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Issuance of restricted shares, net of cancellations</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 surrendered by employees to pay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Share-based compensation</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20.9</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 December 31, 2018</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171.4</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1,893.8</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(228.6)</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1,836.1</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355.7</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355.7</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Dividends declared</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(123.9)</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 repurchases</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Exercise of options, net of shares tendered for payment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17.1</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shares, net of cancellations</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0.3</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Shares surrendered by employees to pay taxes</w:t>
            </w:r>
          </w:p>
        </w:tc>
        <w:tc>
          <w:tcPr>
            <w:tcW w:w="1120" w:type="dxa"/>
            <w:vAlign w:val="bottom"/>
          </w:tcPr>
          <w:p>
            <w:pPr>
              <w:jc w:val="right"/>
              <w:spacing w:after="0"/>
              <w:rPr>
                <w:sz w:val="20"/>
                <w:szCs w:val="20"/>
                <w:color w:val="auto"/>
              </w:rPr>
            </w:pPr>
            <w:r>
              <w:rPr>
                <w:rFonts w:ascii="Arial" w:cs="Arial" w:eastAsia="Arial" w:hAnsi="Arial"/>
                <w:sz w:val="13"/>
                <w:szCs w:val="13"/>
                <w:color w:val="auto"/>
              </w:rPr>
              <w:t>(0.1)</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18"/>
        </w:trPr>
        <w:tc>
          <w:tcPr>
            <w:tcW w:w="4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21.4</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Balance - December 31, 2019</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168.3</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1,777.7</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(226.5)</w:t>
            </w: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1,953.9</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553"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5400" w:firstLine="8"/>
        <w:spacing w:after="0" w:line="261" w:lineRule="auto"/>
        <w:tabs>
          <w:tab w:leader="none" w:pos="64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Business</w:t>
      </w:r>
    </w:p>
    <w:p>
      <w:pPr>
        <w:ind w:righ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Pentair plc and its consolidated subsidiaries (“we,” “us,” “our,” “Pentair” or the “Company”) is a pure play water company comprised of three reporting segments: Aquatic Systems, Filtration Solutions and Flow Technologies.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April 30, 2018, Pentair completed the separation of its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On May 1, 2018, following the Separation and Distribution, nVent became an independent publicly traded company, trading on the New York Stock Exchange under the symbol “NVT.”</w:t>
      </w:r>
    </w:p>
    <w:p>
      <w:pPr>
        <w:spacing w:after="0" w:line="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did not retain any equity interest in nVent. nVent’s historical financial results are reflected in the Company’s consolidated financial statements as a discontinued operation. Refer to Note 2 for further discussion.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Pentair and all subsidiaries, both the United States (“U.S.”) and non-U.S., which we control.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w:t>
      </w:r>
    </w:p>
    <w:p>
      <w:pPr>
        <w:spacing w:after="0" w:line="1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consolidated financial statements have been prepared in U.S. dollars (“USD”) and in accordance with accounting principles generally accepted in the United States of America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percentage of completion revenue recognition, assets acquired and liabilities assumed in acquisitions, estimated selling proceeds from assets held for sale, contingent liabilities, income taxes, pension and other post-retirement benefits and the impact of the new lease standard, discussed below. Actual results could differ from our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for purposes of revenue recognition.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performance obligations are satisfied at a point in time or over time as work progresses. Revenue from goods and services transferred to customers at a point in time accounted for 92.0%, 92.5% and 92.4% of our revenue for the years ended December 31, 2019, 2018 and 2017, respectively. Revenue on these contracts is recognized when obligations under the terms of the contract with our customer are satisfied; generally this occurs with the transfer of control upon shipment.</w:t>
      </w:r>
    </w:p>
    <w:p>
      <w:pPr>
        <w:spacing w:after="0" w:line="1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Revenue from products and services transferred to customers over time accounted for 8.0%, 7.5% and 7.6% of our revenue for the years ended December 31, 2019, 2018 and 2017,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December 31, 2019, we had $56.4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right of return may exist explicitly or implicitly with our customers. Our return policy allows for customer returns only upon our authorization. Goods returned must be products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6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each customer, and the transaction price is reduced for the anticipated cost of the rebate. If the forecasted sales for a customer change, the accrual for rebates is adjusted to reflect the new amount of rebates expected to be earned by the customer.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Amounts billed to customers for shipping and handling activities after the customer obtains control are treated as a promised service performance obligation and recorded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accompanying Consolidated Statements of Operations and Comprehensive Income. Shipping and handling costs incurred by Pentair for the delivery of goods to customers are considered a cost to fulfill the contract and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accompanying Consolidated Statements of Operations and Comprehensive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Contract assets are recorded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contract liabilities are recorded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127.0 %</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$4.7 million increase in net contract assets from December 31, 2018 to December 31, 2019 was primarily the result of timing of milestone payments. Approximately 80% of our contract liabilities at December 31, 2018 were recognized in revenue during the twelve months ended December 31, 2019. There were no impairment losses recognized on our contract assets for the twelve months ended December 31, 2019 and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 xml:space="preserve">We generally expense incremental costs of obtaining a contract when incurred because the amortization period would be less than one year. These costs primarily relate to sales commissions and are recorded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in the Consolidated Statements of Operations and Comprehensive Income.</w:t>
      </w:r>
    </w:p>
    <w:p>
      <w:pPr>
        <w:spacing w:after="0" w:line="19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category</w:t>
      </w:r>
    </w:p>
    <w:p>
      <w:pPr>
        <w:spacing w:after="0" w:line="23"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for continuing operations, based on geographic destination of the sale,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1,866.7</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1,858.1</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401.6</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402.7</w:t>
            </w:r>
          </w:p>
        </w:tc>
        <w:tc>
          <w:tcPr>
            <w:tcW w:w="4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381.9</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4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478.2</w:t>
            </w:r>
          </w:p>
        </w:tc>
      </w:tr>
      <w:tr>
        <w:trPr>
          <w:trHeight w:val="270"/>
        </w:trPr>
        <w:tc>
          <w:tcPr>
            <w:tcW w:w="66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4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232.9</w:t>
            </w:r>
          </w:p>
        </w:tc>
      </w:tr>
      <w:tr>
        <w:trPr>
          <w:trHeight w:val="264"/>
        </w:trPr>
        <w:tc>
          <w:tcPr>
            <w:tcW w:w="664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Consolidated net sales </w:t>
            </w:r>
            <w:r>
              <w:rPr>
                <w:rFonts w:ascii="Arial" w:cs="Arial" w:eastAsia="Arial" w:hAnsi="Arial"/>
                <w:sz w:val="25"/>
                <w:szCs w:val="25"/>
                <w:color w:val="auto"/>
                <w:vertAlign w:val="superscript"/>
              </w:rPr>
              <w:t>(3)</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2,965.1</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Developing includes China, Eastern Europe, Latin America, the Middle East and Southeast Asia.</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Other Developed includes Australia, Canada and Japan.</w:t>
      </w:r>
    </w:p>
    <w:p>
      <w:pPr>
        <w:spacing w:after="0" w:line="64" w:lineRule="exact"/>
        <w:rPr>
          <w:rFonts w:ascii="Arial" w:cs="Arial" w:eastAsia="Arial" w:hAnsi="Arial"/>
          <w:sz w:val="22"/>
          <w:szCs w:val="22"/>
          <w:color w:val="auto"/>
          <w:vertAlign w:val="superscript"/>
        </w:rPr>
      </w:pPr>
    </w:p>
    <w:p>
      <w:pPr>
        <w:ind w:left="200" w:hanging="165"/>
        <w:spacing w:after="0" w:line="211" w:lineRule="auto"/>
        <w:tabs>
          <w:tab w:leader="none" w:pos="20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Net sales held in Ireland, for each of the years presented, were not material.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Pr>
          <w:p>
            <w:pPr>
              <w:spacing w:after="0"/>
              <w:rPr>
                <w:sz w:val="24"/>
                <w:szCs w:val="24"/>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627.3</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630.7</w:t>
            </w:r>
          </w:p>
        </w:tc>
        <w:tc>
          <w:tcPr>
            <w:tcW w:w="4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604.4</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662.3</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2,957.2</w:t>
            </w:r>
          </w:p>
        </w:tc>
        <w:tc>
          <w:tcPr>
            <w:tcW w:w="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2,965.1</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2,845.7</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conduct research and development (“R&amp;D”) activities primarily in our own facilities, which mostly consist of development of new products, product applications and manufacturing processes. We expense R&amp;D costs as incurred. R&amp;D expenditures from continuing operations during 2019, 2018 and 2017 were $78.9 million, $76.7 million and $73.2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highly liquid investments with original maturities of three months or less at the date of acquisition to be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and concentration of credit risk</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record an allowance for doubtful accounts, reducing our receivables balance to an amount we estimate is collectible from our customers. Estimates used in determining the allowance for doubtful accounts are based on current trends, aging of accounts receivable, periodic credit evaluations of our customers’ financial condition, and historical collection experience. We generally do not require collateral.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The following table summarizes the activity in the allowance for doubtful accounts: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Pr>
          <w:p>
            <w:pPr>
              <w:spacing w:after="0"/>
              <w:rPr>
                <w:sz w:val="24"/>
                <w:szCs w:val="24"/>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 net of recoveries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6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24" w:lineRule="auto"/>
        <w:tabs>
          <w:tab w:leader="none" w:pos="22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Other amounts are primarily the effects of changes in currency translations and the impact of allowance for credits.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stated at lower of cost or net realizable value with substantially all inventories recorded using the first-in, first-out (“FIFO”) cost method.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historical cost. We compute depreciation by the straight-line method based on the following estimated useful lives: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34"/>
        </w:trPr>
        <w:tc>
          <w:tcPr>
            <w:tcW w:w="10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 to 20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 to 50</w:t>
            </w:r>
          </w:p>
        </w:tc>
      </w:tr>
      <w:tr>
        <w:trPr>
          <w:trHeight w:val="27"/>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to 15</w:t>
            </w:r>
          </w:p>
        </w:tc>
      </w:tr>
      <w:tr>
        <w:trPr>
          <w:trHeight w:val="27"/>
        </w:trPr>
        <w:tc>
          <w:tcPr>
            <w:tcW w:w="10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recorded cost of the assets and their related accumulated depreciation are removed from the Consolidated Balance Sheets and any related gains or losses are included in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geographic </w:t>
      </w:r>
      <w:r>
        <w:rPr>
          <w:rFonts w:ascii="Arial" w:cs="Arial" w:eastAsia="Arial" w:hAnsi="Arial"/>
          <w:sz w:val="18"/>
          <w:szCs w:val="18"/>
          <w:i w:val="1"/>
          <w:iCs w:val="1"/>
          <w:color w:val="auto"/>
        </w:rPr>
        <w:t>Property, plant and equipment, net</w:t>
      </w:r>
      <w:r>
        <w:rPr>
          <w:rFonts w:ascii="Arial" w:cs="Arial" w:eastAsia="Arial" w:hAnsi="Arial"/>
          <w:sz w:val="18"/>
          <w:szCs w:val="18"/>
          <w:color w:val="auto"/>
        </w:rPr>
        <w:t xml:space="preserve"> by region as of December 31: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7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34"/>
        </w:trPr>
        <w:tc>
          <w:tcPr>
            <w:tcW w:w="48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37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76.6</w:t>
            </w:r>
          </w:p>
        </w:tc>
      </w:tr>
      <w:tr>
        <w:trPr>
          <w:trHeight w:val="27"/>
        </w:trPr>
        <w:tc>
          <w:tcPr>
            <w:tcW w:w="4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37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70"/>
        </w:trPr>
        <w:tc>
          <w:tcPr>
            <w:tcW w:w="48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37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64"/>
        </w:trPr>
        <w:tc>
          <w:tcPr>
            <w:tcW w:w="486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Consolidated </w:t>
            </w:r>
            <w:r>
              <w:rPr>
                <w:rFonts w:ascii="Arial" w:cs="Arial" w:eastAsia="Arial" w:hAnsi="Arial"/>
                <w:sz w:val="25"/>
                <w:szCs w:val="25"/>
                <w:color w:val="auto"/>
                <w:vertAlign w:val="superscript"/>
              </w:rPr>
              <w:t>(3)</w:t>
            </w:r>
          </w:p>
        </w:tc>
        <w:tc>
          <w:tcPr>
            <w:tcW w:w="3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Developing includes China, Eastern Europe, Latin America, the Middle East and Southeast Asia.</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Other Developed includes Australia, Canada and Japan.</w:t>
      </w:r>
    </w:p>
    <w:p>
      <w:pPr>
        <w:spacing w:after="0" w:line="64" w:lineRule="exact"/>
        <w:rPr>
          <w:rFonts w:ascii="Arial" w:cs="Arial" w:eastAsia="Arial" w:hAnsi="Arial"/>
          <w:sz w:val="22"/>
          <w:szCs w:val="22"/>
          <w:color w:val="auto"/>
          <w:vertAlign w:val="superscript"/>
        </w:rPr>
      </w:pPr>
    </w:p>
    <w:p>
      <w:pPr>
        <w:ind w:left="200" w:hanging="165"/>
        <w:spacing w:after="0" w:line="211" w:lineRule="auto"/>
        <w:tabs>
          <w:tab w:leader="none" w:pos="200" w:val="left"/>
        </w:tabs>
        <w:numPr>
          <w:ilvl w:val="0"/>
          <w:numId w:val="55"/>
        </w:numPr>
        <w:rPr>
          <w:rFonts w:ascii="Arial" w:cs="Arial" w:eastAsia="Arial" w:hAnsi="Arial"/>
          <w:sz w:val="19"/>
          <w:szCs w:val="19"/>
          <w:color w:val="auto"/>
          <w:vertAlign w:val="superscript"/>
        </w:rPr>
      </w:pPr>
      <w:r>
        <w:rPr>
          <w:rFonts w:ascii="Arial" w:cs="Arial" w:eastAsia="Arial" w:hAnsi="Arial"/>
          <w:sz w:val="15"/>
          <w:szCs w:val="15"/>
          <w:color w:val="auto"/>
        </w:rPr>
        <w:t>Property, plant and equipment, net held in Ireland, for each of the years presented, were not material.</w:t>
      </w:r>
    </w:p>
    <w:p>
      <w:pPr>
        <w:spacing w:after="0" w:line="39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We recorded no material long-lived asset impairment charges in 2019, 2018, or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Goodwill is tested at least annually for impairment and is tested for impairment more frequently if events or changes in circumstances indicate that the asset might be impaired. A qualitative assessment is first performed, as of the first day of the fourth quarter, to determine whether it is more likely than not that the fair value of a reporting unit is less than its carrying value. If it is concluded that this is the case, an evaluation, based upon discounted cash flows, is performed and requires management to estimate future cash flows, growth rates and economic and market conditions.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result of the qualitative assessment performed as of October 1, 2019 and 2018, it was determined that it was more likely than not that the fair value of the reporting units exceeded their respective carrying values. Factors considered in the analysis included the last discounted cash flow fair value assessment of reporting units performed in 2017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amount. This non-recurring fair value measurement is a “Level 3” measurement under the fair value hierarchy described in Note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during the first day of the fourth quarter each year for those identifiable assets not subject to amortization.</w:t>
      </w:r>
    </w:p>
    <w:p>
      <w:pPr>
        <w:spacing w:after="0" w:line="17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described in Note 9.</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There were no impairment charges recorded in 2019 and 2018 for identifiable intangible assets. An impairment charge of $8.8 million was recorded in 2017 related to certain trade names in Filtration Solutions and Flow Technologies as a result of lower forecasted sales volume or rebranding strategies implemented in the fourth quarter of 2017. The trade name impairment charges were recorded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in our Consolidated Statements of Operations and Comprehensive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2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11.</w:t>
      </w:r>
    </w:p>
    <w:p>
      <w:pPr>
        <w:spacing w:after="0" w:line="1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subsidiary</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A portion of our property and casualty insurance program is insured through our regulated wholly-owned captive insurance subsidiary, Penwald Insurance Company (“Penwald”). Reserves for policy claims are established based on actuarial projections of ultimate losses. As of December 31, 2019 and 2018, reserves for policy claims were $54.7 million, of which $13.1 million was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$41.6 million was included in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and $60.9 million, of which $13.2 million was included in</w:t>
      </w:r>
      <w:r>
        <w:rPr>
          <w:rFonts w:ascii="Arial" w:cs="Arial" w:eastAsia="Arial" w:hAnsi="Arial"/>
          <w:sz w:val="18"/>
          <w:szCs w:val="18"/>
          <w:i w:val="1"/>
          <w:iCs w:val="1"/>
          <w:color w:val="auto"/>
        </w:rPr>
        <w:t xml:space="preserve"> Other current liabilities </w:t>
      </w:r>
      <w:r>
        <w:rPr>
          <w:rFonts w:ascii="Arial" w:cs="Arial" w:eastAsia="Arial" w:hAnsi="Arial"/>
          <w:sz w:val="18"/>
          <w:szCs w:val="18"/>
          <w:color w:val="auto"/>
        </w:rPr>
        <w:t>and $47.7 million was included in</w:t>
      </w:r>
      <w:r>
        <w:rPr>
          <w:rFonts w:ascii="Arial" w:cs="Arial" w:eastAsia="Arial" w:hAnsi="Arial"/>
          <w:sz w:val="18"/>
          <w:szCs w:val="18"/>
          <w:i w:val="1"/>
          <w:iCs w:val="1"/>
          <w:color w:val="auto"/>
        </w:rPr>
        <w:t xml:space="preserve"> Other non-current liabilities</w:t>
      </w:r>
      <w:r>
        <w:rPr>
          <w:rFonts w:ascii="Arial" w:cs="Arial" w:eastAsia="Arial" w:hAnsi="Arial"/>
          <w:sz w:val="18"/>
          <w:szCs w:val="18"/>
          <w:color w:val="auto"/>
        </w:rPr>
        <w:t>,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using the fair value method, resulting in the inclusion of additional compensation expense in our Consolidated Statements of Operations and Comprehensive Income.</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Restricted share awards and units (“RSUs”) are recorded as compensation cost over the requisite service periods based on the market value on the date of grant.</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Performance share units (“PSUs”) are stock awards where the ultimate number of shares issued will be contingent on the Company’s performance against certain financial performance targets. The fair value of each PSU is based on the market value on the date of grant. We recognize expense related to the estimated vesting of our PSUs granted. The estimated vesting of the PSUs is based on the probability of achieving certain financial performance thresholds over the specified performance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ordinary share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present two calculations of earnings per ordinary share (“EPS”). Basic EPS equals net income divided by the weighted-average number of ordinary shares outstanding during the period. Diluted EPS is computed by dividing net income by the sum of weighted-average number of ordinary shares outstanding plus dilutive effects of ordinary share equivalents.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We recognize all derivatives, including those embedded in other contracts, as either assets or liabilities at fair value in our Consolidated Balance Sheets. If the derivative is designated and is effective as a cash-flow hedge, the effective portion of changes in the fair value of the derivative are recorded in </w:t>
      </w:r>
      <w:r>
        <w:rPr>
          <w:rFonts w:ascii="Arial" w:cs="Arial" w:eastAsia="Arial" w:hAnsi="Arial"/>
          <w:sz w:val="16"/>
          <w:szCs w:val="16"/>
          <w:i w:val="1"/>
          <w:iCs w:val="1"/>
          <w:color w:val="auto"/>
        </w:rPr>
        <w:t>Accumulated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comprehensive income (loss) </w:t>
      </w:r>
      <w:r>
        <w:rPr>
          <w:rFonts w:ascii="Arial" w:cs="Arial" w:eastAsia="Arial" w:hAnsi="Arial"/>
          <w:sz w:val="16"/>
          <w:szCs w:val="16"/>
          <w:color w:val="auto"/>
        </w:rPr>
        <w:t>(“AOCI”) as a separate component of equity in the Consolidated Balance Sheets and are recognized in the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Operations and Comprehensive Income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net investment hedges are included in AOCI as a separate component of equity in the Consolidated Balance Sheets.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derivative instruments for the purpose of hedging interest rate and currency exposures, which exist as part of ongoing business operations. We do not hold or issue derivative financial instruments for trading or speculative purposes. Our policy is not to enter into contracts with terms that cannot be designated as normal purchases or sales. From time to time, we may enter into short duration foreign currency contracts to hedge foreign currency risks.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financial statements of subsidiaries located outside of the U.S. are generally measured using the local currency as the functional currency, except for certain corporate entities outside of the U.S. which are measured using USD. Assets and liabilities of these subsidiaries are translated at the rates of exchange at the balance sheet date. Income (Loss) and expense items are translated at average monthly rates of exchange. The resultant translation adjustments are included in AOCI, a component of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January 1, 2019, we adopted ASU No. 2016-02, “Leases” (“the new lease standard” or “ASC 842”) using the transition method of adoption. Under the transition method of adoption, comparative information has not been restated and continues to be reported under the standards in effect for those periods. In addition, we elected the package of practical expedients permitted under the transition guidance within the new standard, which among other things, allowed us to carry forward the historical lease classification. We also elected the practical expedient to not separate non-lease components from the lease components to which they relate, and instead account for each separate lease and non-lease component associated with that lease component as a single lease component for all underlying asset classes. Accordingly, all costs associated with a lease contract are accounted for as one lease cost.</w:t>
      </w:r>
    </w:p>
    <w:p>
      <w:pPr>
        <w:spacing w:after="0" w:line="16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impact of adopting the new standard primarily relates to the recognition of a lease right-of-use (“ROU”) asset and current and non-current lease liability on the consolidated balance sheet. ROU assets represent our right to use an underlying asset for the lease term and lease liabilities represent our obligation to make lease payments arising from the lease. Lease ROU assets and liabilities are recognized at commencement date based on the present value of lease payments over the lease term. As we cannot readily determine the rate implicit in the lease, we use our incremental borrowing rate determined by country of lease origin based on the anticipated lease term as determined at commencement date in determining the present value of lease payments. The ROU asset also excludes any accrued lease payments and unamortized lease incentives.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As of December 31, 2019, $77.2 million was 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$19.0 million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$61.1 million in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on the Consolidated Balance Sheets as a result of the new lease standard. There was no impact on our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Comprehensive Income or Consolidated Statements of Cash Flows.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January 1, 2019, we adopted ASU No. 2018-14, “Compensation - Retirement Benefits - Defined Benefit Plans - Changes to the Disclosure Requirements for Defined Benefit Plans.” This ASU changes the disclosure requirements for employers that sponsor defined benefit pension and other postretirement benefit plans.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 2018, we adopted ASU No. 2017-01, “Clarifying the Definition of a Business.” This ASU clarifies the definition of a business and provides guidance on whether transactions should be accounted for as acquisitions (or disposals) of assets or businesses. The adoption of the new standard did not have a material impact on our consolidated financial statements.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On January 1, 2018, we adopted ASU No. 2017-07, “Retirement Benefits-Improving the Presentation of Net Periodic Pension Cost and Net Periodic Postretirement Benefit Cost.” As a result of the adoption, the interest cost, expected return on plan assets and net actuarial gain/loss components of net periodic pension and post-retirement benefit cost have been reclassified from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(income) expense</w:t>
      </w:r>
      <w:r>
        <w:rPr>
          <w:rFonts w:ascii="Arial" w:cs="Arial" w:eastAsia="Arial" w:hAnsi="Arial"/>
          <w:sz w:val="18"/>
          <w:szCs w:val="18"/>
          <w:color w:val="auto"/>
        </w:rPr>
        <w:t xml:space="preserve">. Only the service cost component remains in </w:t>
      </w:r>
      <w:r>
        <w:rPr>
          <w:rFonts w:ascii="Arial" w:cs="Arial" w:eastAsia="Arial" w:hAnsi="Arial"/>
          <w:sz w:val="18"/>
          <w:szCs w:val="18"/>
          <w:i w:val="1"/>
          <w:iCs w:val="1"/>
          <w:color w:val="auto"/>
        </w:rPr>
        <w:t>Operating income</w:t>
      </w:r>
      <w:r>
        <w:rPr>
          <w:rFonts w:ascii="Arial" w:cs="Arial" w:eastAsia="Arial" w:hAnsi="Arial"/>
          <w:sz w:val="18"/>
          <w:szCs w:val="18"/>
          <w:color w:val="auto"/>
        </w:rPr>
        <w:t xml:space="preserve"> and is eligible for capitalization in assets. The effect of the retrospective presentation change related to the net periodic cost of our defined benefit pension and other post-retirement plans on our Consolidated Statements of Operations and Comprehensive Income was a reclassification of expense of $13.9 million for the year ended December 31, 2017, from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expense</w:t>
      </w:r>
      <w:r>
        <w:rPr>
          <w:rFonts w:ascii="Arial" w:cs="Arial" w:eastAsia="Arial" w:hAnsi="Arial"/>
          <w:sz w:val="18"/>
          <w:szCs w:val="18"/>
          <w:color w:val="auto"/>
        </w:rPr>
        <w:t>.</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 2018, we adopted ASU No. 2016-16, “Accounting for Income Taxes: Intra-Entity Asset Transfers of Assets Other than Inventory.” This ASU requires the tax effects of all intra-entity sales of assets other than inventory to be recognized in the period in which the transaction occurs. The adoption resulted in a $215.8 million cumulative-effect adjustment (of which $174.6 million related to nVent) recorded in retained earnings as of the beginning of 2018. The adjustment reflects a $254.3 million reduction of a prepaid long term tax asset, partially offset by the establishment of $38.5 million of deferred tax assets.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1, 2018, we adopted ASU No. 2014-09, “Revenue from Contracts with Customers” and the related amendments (“the new revenue standard”) using the modified retrospective method. The cumulative impact to our retained earnings at January 1, 2018 was not material. The comparative information has not been restated and continues to be reported under the accounting standards in effect for those periods. The impact of the adoption of the new standard did not have a material impact to our net income.</w:t>
      </w:r>
    </w:p>
    <w:p>
      <w:pPr>
        <w:spacing w:after="0" w:line="291" w:lineRule="exact"/>
        <w:rPr>
          <w:sz w:val="20"/>
          <w:szCs w:val="20"/>
          <w:color w:val="auto"/>
        </w:rPr>
      </w:pPr>
    </w:p>
    <w:p>
      <w:pPr>
        <w:ind w:right="7500" w:firstLine="8"/>
        <w:spacing w:after="0" w:line="261" w:lineRule="auto"/>
        <w:tabs>
          <w:tab w:leader="none" w:pos="64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Discontinued Operations </w:t>
      </w:r>
      <w:r>
        <w:rPr>
          <w:rFonts w:ascii="Arial" w:cs="Arial" w:eastAsia="Arial" w:hAnsi="Arial"/>
          <w:sz w:val="18"/>
          <w:szCs w:val="18"/>
          <w:b w:val="1"/>
          <w:bCs w:val="1"/>
          <w:i w:val="1"/>
          <w:iCs w:val="1"/>
          <w:color w:val="auto"/>
        </w:rPr>
        <w:t>Acquisitions</w:t>
      </w:r>
    </w:p>
    <w:p>
      <w:pPr>
        <w:ind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February 2019, as part of Filtration Solutions, we completed the acquisitions of Aquion, Inc. (“Aquion”) and Pelican Water Systems (“Pelican”) for $163.4 million and $121.1 million, respectively, in cash, net of cash acquired.</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preliminarily allocated to goodwill in the amount of $87.5 million, $4.6 million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preliminarily allocated to goodwill in the amount of $118.0 million, $7.6 million of which is expected to be deductible for income tax purposes.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preliminary purchase price allocation for these acquisitions is subject to further refinement and may require significant adjustments to arrive at the final purchase price allocation. These changes will primarily relate to impacts associated with other accruals.</w:t>
      </w:r>
    </w:p>
    <w:p>
      <w:pPr>
        <w:spacing w:after="0" w:line="17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During 2017, our continuing operations completed acquisitions with purchase prices totaling $45.9 million in cash, net of cash acquired. Identifiable intangible assets acquired included $19.1 million of definite-lived customer relationships with an estimated useful life of 11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these acquisitions was not material.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Electrical separation</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April 30, 2018, we completed the Separation and Distribution. The results of the Electrical business have been presented as discontinued operations for all periods presented. The Electrical business had been previously disclosed as a stand-alone reporting segment. Separation costs related to the Separation and Distribution were $84.2 million and $39.3 million for the twelve months ended December 31, 2018 and 2017, respectively. These costs are reported in discontinued operations as they represent a cost directly related to the Separation and Distribution and were included within </w:t>
      </w:r>
      <w:r>
        <w:rPr>
          <w:rFonts w:ascii="Arial" w:cs="Arial" w:eastAsia="Arial" w:hAnsi="Arial"/>
          <w:sz w:val="18"/>
          <w:szCs w:val="18"/>
          <w:i w:val="1"/>
          <w:iCs w:val="1"/>
          <w:color w:val="auto"/>
        </w:rPr>
        <w:t>(Loss) income from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net of tax </w:t>
      </w:r>
      <w:r>
        <w:rPr>
          <w:rFonts w:ascii="Arial" w:cs="Arial" w:eastAsia="Arial" w:hAnsi="Arial"/>
          <w:sz w:val="18"/>
          <w:szCs w:val="18"/>
          <w:color w:val="auto"/>
        </w:rPr>
        <w:t>presented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Valves &amp; Controls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April 28, 2017, we completed the sale of the Valves &amp; Controls business to Emerson Electric Co. for $3.15 billion in cash. The sale resulted in a gain of</w:t>
      </w:r>
    </w:p>
    <w:p>
      <w:pPr>
        <w:spacing w:after="0" w:line="3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$181.1 million, net of tax. The results of the Valves &amp; Controls business have been presented as discontinued operations. The Valves &amp; Controls business was previously disclosed as a stand-alone reporting segment. Transaction costs of $56.4 million related to the sale of Valves &amp; Controls were incurred during the year ended December 31, 2017 and were recorded within </w:t>
      </w:r>
      <w:r>
        <w:rPr>
          <w:rFonts w:ascii="Arial" w:cs="Arial" w:eastAsia="Arial" w:hAnsi="Arial"/>
          <w:sz w:val="16"/>
          <w:szCs w:val="16"/>
          <w:i w:val="1"/>
          <w:iCs w:val="1"/>
          <w:color w:val="auto"/>
        </w:rPr>
        <w:t>Gain from sale of discontinued operations before income taxes</w:t>
      </w:r>
      <w:r>
        <w:rPr>
          <w:rFonts w:ascii="Arial" w:cs="Arial" w:eastAsia="Arial" w:hAnsi="Arial"/>
          <w:sz w:val="16"/>
          <w:szCs w:val="16"/>
          <w:color w:val="auto"/>
        </w:rPr>
        <w:t xml:space="preserve"> presented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Operating results of discontinued operations are summarized below:</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24"/>
                <w:szCs w:val="24"/>
                <w:color w:val="auto"/>
              </w:rPr>
            </w:pPr>
          </w:p>
        </w:tc>
      </w:tr>
      <w:tr>
        <w:trPr>
          <w:trHeight w:val="34"/>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1"/>
                <w:szCs w:val="21"/>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2017</w:t>
            </w:r>
          </w:p>
        </w:tc>
      </w:tr>
      <w:tr>
        <w:trPr>
          <w:trHeight w:val="34"/>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424.0</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1,596.2</w:t>
            </w: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237.8</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589.2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314.5</w:t>
            </w:r>
          </w:p>
        </w:tc>
      </w:tr>
      <w:tr>
        <w:trPr>
          <w:trHeight w:val="67"/>
        </w:trPr>
        <w:tc>
          <w:tcPr>
            <w:tcW w:w="76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56"/>
        </w:trPr>
        <w:tc>
          <w:tcPr>
            <w:tcW w:w="7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317.1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371.3</w:t>
            </w:r>
          </w:p>
        </w:tc>
      </w:tr>
      <w:tr>
        <w:trPr>
          <w:trHeight w:val="67"/>
        </w:trPr>
        <w:tc>
          <w:tcPr>
            <w:tcW w:w="76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10"/>
        </w:trPr>
        <w:tc>
          <w:tcPr>
            <w:tcW w:w="7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Gain from sale of discontinued operations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183.5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w:t>
            </w: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8"/>
                <w:szCs w:val="18"/>
                <w:b w:val="1"/>
                <w:bCs w:val="1"/>
                <w:color w:val="auto"/>
              </w:rPr>
              <w:t>3.</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Pr>
          <w:p>
            <w:pPr>
              <w:spacing w:after="0"/>
              <w:rPr>
                <w:sz w:val="24"/>
                <w:szCs w:val="24"/>
                <w:color w:val="auto"/>
              </w:rPr>
            </w:pPr>
          </w:p>
        </w:tc>
      </w:tr>
      <w:tr>
        <w:trPr>
          <w:trHeight w:val="34"/>
        </w:trPr>
        <w:tc>
          <w:tcPr>
            <w:tcW w:w="73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 share data</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1"/>
                <w:szCs w:val="21"/>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34"/>
        </w:trPr>
        <w:tc>
          <w:tcPr>
            <w:tcW w:w="7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w:t>
            </w:r>
          </w:p>
        </w:tc>
      </w:tr>
      <w:tr>
        <w:trPr>
          <w:trHeight w:val="20"/>
        </w:trPr>
        <w:tc>
          <w:tcPr>
            <w:tcW w:w="73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321.7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114.1</w:t>
            </w:r>
          </w:p>
        </w:tc>
      </w:tr>
      <w:tr>
        <w:trPr>
          <w:trHeight w:val="67"/>
        </w:trPr>
        <w:tc>
          <w:tcPr>
            <w:tcW w:w="732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175.8</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181.7</w:t>
            </w:r>
          </w:p>
        </w:tc>
      </w:tr>
      <w:tr>
        <w:trPr>
          <w:trHeight w:val="27"/>
        </w:trPr>
        <w:tc>
          <w:tcPr>
            <w:tcW w:w="7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impact of stock options and restricted stock awards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7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183.7</w:t>
            </w:r>
          </w:p>
        </w:tc>
      </w:tr>
      <w:tr>
        <w:trPr>
          <w:trHeight w:val="67"/>
        </w:trPr>
        <w:tc>
          <w:tcPr>
            <w:tcW w:w="732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ordinary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7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0"/>
        </w:trPr>
        <w:tc>
          <w:tcPr>
            <w:tcW w:w="73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
        </w:trPr>
        <w:tc>
          <w:tcPr>
            <w:tcW w:w="7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67"/>
        </w:trPr>
        <w:tc>
          <w:tcPr>
            <w:tcW w:w="732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0"/>
        </w:trPr>
        <w:tc>
          <w:tcPr>
            <w:tcW w:w="73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Anti-dilutive stock options excluded from the calculation of diluted earnings per share</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24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37"/>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Restructuring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ind w:right="140"/>
        <w:spacing w:after="0" w:line="255" w:lineRule="auto"/>
        <w:rPr>
          <w:sz w:val="20"/>
          <w:szCs w:val="20"/>
          <w:color w:val="auto"/>
        </w:rPr>
      </w:pPr>
      <w:r>
        <w:rPr>
          <w:rFonts w:ascii="Arial" w:cs="Arial" w:eastAsia="Arial" w:hAnsi="Arial"/>
          <w:sz w:val="18"/>
          <w:szCs w:val="18"/>
          <w:color w:val="auto"/>
        </w:rPr>
        <w:t>During 2019, 2018 and 2017, we initiated and continued execution of certain business restructuring initiatives aimed at reducing our fixed cost structure and realigning our business. Initiatives during the years ended December 31, 2019, 2018 and 2017 included a reduction in hourly and salaried headcount of approximately 375 employees, 300 employees and 250 employees, respectively.</w:t>
      </w:r>
    </w:p>
    <w:p>
      <w:pPr>
        <w:spacing w:after="0" w:line="13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Restructuring related costs included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expenses in the Consolidated Statements of Operations and Comprehensive Income included costs for severance and other restructuring costs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4"/>
                <w:szCs w:val="24"/>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Activity related to accrued severance and related costs recorded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in the Consolidated Balance Sheets is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5"/>
              </w:rPr>
              <w:t>Years ended December 31</w:t>
            </w:r>
          </w:p>
        </w:tc>
      </w:tr>
      <w:tr>
        <w:trPr>
          <w:trHeight w:val="34"/>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34"/>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years ended December 31, 2019 and 2018 by reportable segment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Acquisitions/</w:t>
            </w:r>
          </w:p>
        </w:tc>
        <w:tc>
          <w:tcPr>
            <w:tcW w:w="220" w:type="dxa"/>
            <w:vAlign w:val="bottom"/>
          </w:tcPr>
          <w:p>
            <w:pPr>
              <w:spacing w:after="0"/>
              <w:rPr>
                <w:sz w:val="18"/>
                <w:szCs w:val="18"/>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Foreign currency</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25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30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 2018</w:t>
            </w:r>
          </w:p>
        </w:tc>
        <w:tc>
          <w:tcPr>
            <w:tcW w:w="340" w:type="dxa"/>
            <w:vAlign w:val="bottom"/>
          </w:tcPr>
          <w:p>
            <w:pPr>
              <w:spacing w:after="0"/>
              <w:rPr>
                <w:sz w:val="20"/>
                <w:szCs w:val="20"/>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b w:val="1"/>
                <w:bCs w:val="1"/>
                <w:color w:val="auto"/>
              </w:rPr>
              <w:t>divestitures</w:t>
            </w:r>
          </w:p>
        </w:tc>
        <w:tc>
          <w:tcPr>
            <w:tcW w:w="22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translation/other</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r>
      <w:tr>
        <w:trPr>
          <w:trHeight w:val="34"/>
        </w:trPr>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961.4</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643.5</w:t>
            </w:r>
          </w:p>
        </w:tc>
        <w:tc>
          <w:tcPr>
            <w:tcW w:w="3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205.5</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837.2</w:t>
            </w:r>
          </w:p>
        </w:tc>
      </w:tr>
      <w:tr>
        <w:trPr>
          <w:trHeight w:val="27"/>
        </w:trPr>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5"/>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459.7</w:t>
            </w:r>
          </w:p>
        </w:tc>
      </w:tr>
      <w:tr>
        <w:trPr>
          <w:trHeight w:val="237"/>
        </w:trPr>
        <w:tc>
          <w:tcPr>
            <w:tcW w:w="2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2,258.3</w:t>
            </w:r>
          </w:p>
        </w:tc>
      </w:tr>
      <w:tr>
        <w:trPr>
          <w:trHeight w:val="27"/>
        </w:trPr>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Foreign currency</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 2017</w:t>
            </w:r>
          </w:p>
        </w:tc>
        <w:tc>
          <w:tcPr>
            <w:tcW w:w="19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translation/other</w:t>
            </w:r>
          </w:p>
        </w:tc>
        <w:tc>
          <w:tcPr>
            <w:tcW w:w="19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December 31, 2018</w:t>
            </w:r>
          </w:p>
        </w:tc>
      </w:tr>
      <w:tr>
        <w:trPr>
          <w:trHeight w:val="34"/>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973.1</w:t>
            </w:r>
          </w:p>
        </w:tc>
        <w:tc>
          <w:tcPr>
            <w:tcW w:w="9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965.9</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667.6</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643.5</w:t>
            </w: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472.1</w:t>
            </w:r>
          </w:p>
        </w:tc>
        <w:tc>
          <w:tcPr>
            <w:tcW w:w="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463.3</w:t>
            </w:r>
          </w:p>
        </w:tc>
      </w:tr>
      <w:tr>
        <w:trPr>
          <w:trHeight w:val="237"/>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6"/>
              </w:rPr>
              <w:t>2,112.8</w:t>
            </w:r>
          </w:p>
        </w:tc>
        <w:tc>
          <w:tcPr>
            <w:tcW w:w="94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2,072.7</w:t>
            </w:r>
          </w:p>
        </w:tc>
      </w:tr>
      <w:tr>
        <w:trPr>
          <w:trHeight w:val="27"/>
        </w:trPr>
        <w:tc>
          <w:tcPr>
            <w:tcW w:w="54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34"/>
        </w:trPr>
        <w:tc>
          <w:tcPr>
            <w:tcW w:w="5420" w:type="dxa"/>
            <w:vAlign w:val="bottom"/>
            <w:gridSpan w:val="5"/>
          </w:tcPr>
          <w:p>
            <w:pPr>
              <w:spacing w:after="0"/>
              <w:rPr>
                <w:sz w:val="20"/>
                <w:szCs w:val="20"/>
                <w:color w:val="auto"/>
              </w:rPr>
            </w:pPr>
            <w:r>
              <w:rPr>
                <w:rFonts w:ascii="Arial" w:cs="Arial" w:eastAsia="Arial" w:hAnsi="Arial"/>
                <w:sz w:val="18"/>
                <w:szCs w:val="18"/>
                <w:color w:val="auto"/>
                <w:w w:val="92"/>
              </w:rPr>
              <w:t>There has been no impairment of goodwill for any of the years presented.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5420" w:type="dxa"/>
            <w:vAlign w:val="bottom"/>
            <w:gridSpan w:val="5"/>
          </w:tcPr>
          <w:p>
            <w:pPr>
              <w:spacing w:after="0"/>
              <w:rPr>
                <w:sz w:val="20"/>
                <w:szCs w:val="20"/>
                <w:color w:val="auto"/>
              </w:rPr>
            </w:pPr>
            <w:r>
              <w:rPr>
                <w:rFonts w:ascii="Arial" w:cs="Arial" w:eastAsia="Arial" w:hAnsi="Arial"/>
                <w:sz w:val="18"/>
                <w:szCs w:val="18"/>
                <w:color w:val="auto"/>
                <w:w w:val="94"/>
              </w:rPr>
              <w:t>Identifiable intangible assets consisted of the following at December 31: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2018</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
        </w:trPr>
        <w:tc>
          <w:tcPr>
            <w:tcW w:w="2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5"/>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amortization</w:t>
            </w:r>
          </w:p>
        </w:tc>
        <w:tc>
          <w:tcPr>
            <w:tcW w:w="1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Cost</w:t>
            </w:r>
          </w:p>
        </w:tc>
        <w:tc>
          <w:tcPr>
            <w:tcW w:w="200" w:type="dxa"/>
            <w:vAlign w:val="bottom"/>
          </w:tcPr>
          <w:p>
            <w:pPr>
              <w:spacing w:after="0"/>
              <w:rPr>
                <w:sz w:val="20"/>
                <w:szCs w:val="20"/>
                <w:color w:val="auto"/>
              </w:rPr>
            </w:pPr>
          </w:p>
        </w:tc>
        <w:tc>
          <w:tcPr>
            <w:tcW w:w="13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amortization</w:t>
            </w:r>
          </w:p>
        </w:tc>
        <w:tc>
          <w:tcPr>
            <w:tcW w:w="3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34"/>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(269.1)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149.0</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(247.9)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99.2</w:t>
            </w: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Proprietary technology and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patents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86.2</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(68.4)</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37"/>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339.2</w:t>
            </w:r>
          </w:p>
        </w:tc>
        <w:tc>
          <w:tcPr>
            <w:tcW w:w="6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(316.7)</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 amortization expense in 2019, 2018 and 2017 was $31.7 million, $34.9 million and $36.4 million, respectively.</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was no impairment charge for trade name intangible assets in 2019 and 2018. In 2017, we recorded an impairment charge for trade name intangible assets of $8.8 million in Filtration Solutions and Flow Technologies.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6"/>
          </w:tcPr>
          <w:p>
            <w:pPr>
              <w:spacing w:after="0"/>
              <w:rPr>
                <w:sz w:val="20"/>
                <w:szCs w:val="20"/>
                <w:color w:val="auto"/>
              </w:rPr>
            </w:pPr>
            <w:r>
              <w:rPr>
                <w:rFonts w:ascii="Arial" w:cs="Arial" w:eastAsia="Arial" w:hAnsi="Arial"/>
                <w:sz w:val="18"/>
                <w:szCs w:val="18"/>
                <w:color w:val="auto"/>
                <w:w w:val="91"/>
              </w:rPr>
              <w:t>Estimated future amortization expense for identifiable intangible assets during the next five years is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34"/>
        </w:trPr>
        <w:tc>
          <w:tcPr>
            <w:tcW w:w="3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8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31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92"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892"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6.  Supplemental Balance Sheet Information</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34"/>
        </w:trPr>
        <w:tc>
          <w:tcPr>
            <w:tcW w:w="8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r>
      <w:tr>
        <w:trPr>
          <w:trHeight w:val="34"/>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196.2</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191.3</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116.0</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132.2</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 excess of billings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188.1</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178.9</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597.4</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569.3</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lease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98.4</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 and incentives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Billings in excess of cost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lease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128.0</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lease liability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Self-insurance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Deferred compensation plan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4"/>
        </w:trPr>
        <w:tc>
          <w:tcPr>
            <w:tcW w:w="5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adjustments</w:t>
            </w:r>
          </w:p>
        </w:tc>
        <w:tc>
          <w:tcPr>
            <w:tcW w:w="1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Market value of derivative financial instruments, net of tax</w:t>
            </w: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524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0"/>
              </w:rPr>
              <w:t>Debt and the average interest rates on debt outstanding were as follows:</w:t>
            </w: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240" w:type="dxa"/>
            <w:vAlign w:val="bottom"/>
          </w:tcPr>
          <w:p>
            <w:pPr>
              <w:spacing w:after="0"/>
              <w:rPr>
                <w:sz w:val="24"/>
                <w:szCs w:val="24"/>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gridSpan w:val="3"/>
            <w:vMerge w:val="restart"/>
          </w:tcPr>
          <w:p>
            <w:pPr>
              <w:jc w:val="right"/>
              <w:ind w:right="870"/>
              <w:spacing w:after="0"/>
              <w:rPr>
                <w:sz w:val="20"/>
                <w:szCs w:val="20"/>
                <w:color w:val="auto"/>
              </w:rPr>
            </w:pPr>
            <w:r>
              <w:rPr>
                <w:rFonts w:ascii="Arial" w:cs="Arial" w:eastAsia="Arial" w:hAnsi="Arial"/>
                <w:sz w:val="18"/>
                <w:szCs w:val="18"/>
                <w:b w:val="1"/>
                <w:bCs w:val="1"/>
                <w:color w:val="auto"/>
                <w:w w:val="89"/>
              </w:rPr>
              <w:t>December 31</w:t>
            </w: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2"/>
                <w:szCs w:val="22"/>
                <w:color w:val="auto"/>
              </w:rPr>
            </w:pPr>
          </w:p>
        </w:tc>
        <w:tc>
          <w:tcPr>
            <w:tcW w:w="18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interest rate at</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December 31, 2019</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year</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4"/>
        </w:trPr>
        <w:tc>
          <w:tcPr>
            <w:tcW w:w="5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80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2.327%</w:t>
            </w:r>
          </w:p>
        </w:tc>
        <w:tc>
          <w:tcPr>
            <w:tcW w:w="120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2023</w:t>
            </w: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117.8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2.863%</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Term loans </w:t>
            </w:r>
            <w:r>
              <w:rPr>
                <w:rFonts w:ascii="Arial" w:cs="Arial" w:eastAsia="Arial" w:hAnsi="Arial"/>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2.914%</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2023</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2.650%</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 Euro </w:t>
            </w:r>
            <w:r>
              <w:rPr>
                <w:rFonts w:ascii="Arial" w:cs="Arial" w:eastAsia="Arial" w:hAnsi="Arial"/>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2.450%</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2019</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3.625%</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5.000%</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2021</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3.150%</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4.650%</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2025</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4.500%</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issuance costs and discounts</w:t>
            </w:r>
          </w:p>
        </w:tc>
        <w:tc>
          <w:tcPr>
            <w:tcW w:w="180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18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1,029.1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20" w:hanging="185"/>
        <w:spacing w:after="0"/>
        <w:tabs>
          <w:tab w:leader="none" w:pos="22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Senior notes (“the Notes”) and the term loans are guaranteed as to payment by Pentair plc and PISG</w:t>
      </w:r>
    </w:p>
    <w:p>
      <w:pPr>
        <w:spacing w:after="0" w:line="200" w:lineRule="exact"/>
        <w:rPr>
          <w:sz w:val="20"/>
          <w:szCs w:val="20"/>
          <w:color w:val="auto"/>
        </w:rPr>
      </w:pPr>
    </w:p>
    <w:p>
      <w:pPr>
        <w:spacing w:after="0" w:line="25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June 2019, Pentair, Pentair Finance S.à r.l. (“PFSA”) and Pentair Investments Switzerland GmbH (“PISG”) completed a public offering of $400.0 million aggregate principal amount of PFSA’s 4.500% Senior Notes due 2029 (the “2029 Notes”). The 2029 Notes are fully and unconditionally guaranteed as to payment of principal and interest by Pentair and PISG. We used the net proceeds of the 2029 Notes to partially repay outstanding commercial paper.</w:t>
      </w:r>
    </w:p>
    <w:p>
      <w:pPr>
        <w:spacing w:after="0" w:line="14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3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total availability under the Senior Credit Facility was $746.4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$117.8 million of commercial paper outstanding as of December 31, 2019 and $76.0 million as of December 31, 2018,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its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1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$21.0 million, of which there were no outstanding borrowings at December 31, 2019. Borrowings under these credit facilities bear interest at variable rates.</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2018, we used the $993.6 million of cash received from nVent as a result of the Distribution to pay down commercial paper and revolving credit facilities, redeem the remaining $255.3 million aggregate principal of our 2.9% fixed rate senior notes due 2018, and complete a cash tender offer in the amount of €363.4 million aggregate principal of our 2.45% senior notes due 2019. All costs associated with the repurchases of debt were recorded as a </w:t>
      </w:r>
      <w:r>
        <w:rPr>
          <w:rFonts w:ascii="Arial" w:cs="Arial" w:eastAsia="Arial" w:hAnsi="Arial"/>
          <w:sz w:val="18"/>
          <w:szCs w:val="18"/>
          <w:i w:val="1"/>
          <w:iCs w:val="1"/>
          <w:color w:val="auto"/>
        </w:rPr>
        <w:t>Loss on early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extinguishment of debt </w:t>
      </w:r>
      <w:r>
        <w:rPr>
          <w:rFonts w:ascii="Arial" w:cs="Arial" w:eastAsia="Arial" w:hAnsi="Arial"/>
          <w:sz w:val="18"/>
          <w:szCs w:val="18"/>
          <w:color w:val="auto"/>
        </w:rPr>
        <w:t>in the Consolidated Statements of Operations and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$16.0 million premium paid on early</w:t>
      </w:r>
      <w:r>
        <w:rPr>
          <w:rFonts w:ascii="Arial" w:cs="Arial" w:eastAsia="Arial" w:hAnsi="Arial"/>
          <w:sz w:val="18"/>
          <w:szCs w:val="18"/>
          <w:i w:val="1"/>
          <w:iCs w:val="1"/>
          <w:color w:val="auto"/>
        </w:rPr>
        <w:t xml:space="preserve"> </w:t>
      </w:r>
      <w:r>
        <w:rPr>
          <w:rFonts w:ascii="Arial" w:cs="Arial" w:eastAsia="Arial" w:hAnsi="Arial"/>
          <w:sz w:val="18"/>
          <w:szCs w:val="18"/>
          <w:color w:val="auto"/>
        </w:rPr>
        <w:t>extinguishment and $1.1 million of unamortized deferred financing costs.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$74.0 million aggregate principal amount of fixed rate senior notes maturing in 2020. We classified this debt as long-term as of December 31, 2019 as we have the intent and ability to refinance such obligation on a long-term basis under the Senior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w:t>
      </w:r>
      <w:r>
        <w:rPr>
          <w:rFonts w:ascii="Arial" w:cs="Arial" w:eastAsia="Arial" w:hAnsi="Arial"/>
          <w:sz w:val="21"/>
          <w:szCs w:val="21"/>
          <w:color w:val="auto"/>
        </w:rPr>
        <w:t>,</w:t>
      </w:r>
      <w:r>
        <w:rPr>
          <w:rFonts w:ascii="Arial" w:cs="Arial" w:eastAsia="Arial" w:hAnsi="Arial"/>
          <w:sz w:val="18"/>
          <w:szCs w:val="18"/>
          <w:color w:val="auto"/>
        </w:rPr>
        <w:t xml:space="preserve"> at December 31, 2019 matures on a calendar year basis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Thereafter</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debt obligation maturities</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1,039.0</w:t>
            </w:r>
          </w:p>
        </w:tc>
      </w:tr>
      <w:tr>
        <w:trPr>
          <w:trHeight w:val="27"/>
        </w:trPr>
        <w:tc>
          <w:tcPr>
            <w:tcW w:w="3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ind w:right="8140" w:firstLine="8"/>
        <w:spacing w:after="0" w:line="293" w:lineRule="auto"/>
        <w:tabs>
          <w:tab w:leader="none" w:pos="315"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and Financial Instruments </w:t>
      </w:r>
      <w:r>
        <w:rPr>
          <w:rFonts w:ascii="Arial" w:cs="Arial" w:eastAsia="Arial" w:hAnsi="Arial"/>
          <w:sz w:val="16"/>
          <w:szCs w:val="16"/>
          <w:b w:val="1"/>
          <w:bCs w:val="1"/>
          <w:i w:val="1"/>
          <w:iCs w:val="1"/>
          <w:color w:val="auto"/>
        </w:rPr>
        <w:t>Derivative financial instruments</w:t>
      </w:r>
    </w:p>
    <w:p>
      <w:pPr>
        <w:spacing w:after="0" w:line="1" w:lineRule="exact"/>
        <w:rPr>
          <w:rFonts w:ascii="Arial" w:cs="Arial" w:eastAsia="Arial" w:hAnsi="Arial"/>
          <w:sz w:val="16"/>
          <w:szCs w:val="16"/>
          <w:b w:val="1"/>
          <w:bCs w:val="1"/>
          <w:color w:val="auto"/>
        </w:rPr>
      </w:pPr>
    </w:p>
    <w:p>
      <w:pPr>
        <w:ind w:right="4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December 31, 2019 and 2018, we had outstanding foreign currency derivative contracts with gross notional U.S. dollar equivalent amounts of $17.0 million and $47.6 million, respectively. The impact of these contracts on the Consolidated Statements of Operations and Comprehensive Income was not material for any period presented.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At December 31, 2019 and 2018, we had outstanding cross currency swap agreements with a combined notional amount of $777.0 million and $283.8 million, respectively. The agreements are accounted for as either cash flow hedges, to hedge foreign currency fluctuations on certain intercompany debt, or as net investment hedges to manage our exposure to fluctuations in the Euro-U.S. Dollar exchange rate. As of December 31, 2019 and 2018, we had deferred foreign currency losses of $1.8 million and $14.5 million, respectively,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September 2015, we designated the €500 million 2.45% Senior Notes due 2019 (the “2019 Euro Notes”) as a net investment hedge for a portion of our net investment in our Euro denominated subsidiaries. In June 2018, the Company completed a tender offer for €363.4 million of the 2019 Euro Notes. At that time, the remaining €136.6 million of the 2019 Euro Notes were re-designated as a net investment hedge in our Euro denominated subsidiaries. In September 2019, the 2019 Euro Notes matured and were paid in full, terminating the net investment hedge. The historical gains/losses on the 2019 Euro Notes have been included as a component of the cumulative translation adjustment account within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As of December 31, 2019 we had deferred foreign currency gains of $2.8 million and as of December 31, 2018 we had deferred foreign currency losses of $0.8 million,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associated with the net investment hedge activity.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98" w:lineRule="exact"/>
        <w:rPr>
          <w:sz w:val="20"/>
          <w:szCs w:val="20"/>
          <w:color w:val="auto"/>
        </w:rPr>
      </w:pPr>
    </w:p>
    <w:p>
      <w:pPr>
        <w:ind w:left="800"/>
        <w:spacing w:after="0"/>
        <w:tabs>
          <w:tab w:leader="none" w:pos="15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560" w:right="580" w:hanging="759"/>
        <w:spacing w:after="0" w:line="342" w:lineRule="auto"/>
        <w:tabs>
          <w:tab w:leader="none" w:pos="15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800"/>
        <w:spacing w:after="0"/>
        <w:tabs>
          <w:tab w:leader="none" w:pos="15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w:t>
      </w:r>
    </w:p>
    <w:p>
      <w:pPr>
        <w:spacing w:after="0" w:line="157" w:lineRule="exact"/>
        <w:rPr>
          <w:sz w:val="20"/>
          <w:szCs w:val="20"/>
          <w:color w:val="auto"/>
        </w:rPr>
      </w:pPr>
    </w:p>
    <w:p>
      <w:pPr>
        <w:ind w:left="660" w:right="14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660" w:hanging="328"/>
        <w:spacing w:after="0" w:line="30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The recorded amounts and estimated fair values of total debt, excluding unamortized issuance costs and discounts</w:t>
      </w:r>
      <w:r>
        <w:rPr>
          <w:rFonts w:ascii="Arial" w:cs="Arial" w:eastAsia="Arial" w:hAnsi="Arial"/>
          <w:sz w:val="20"/>
          <w:szCs w:val="20"/>
          <w:color w:val="auto"/>
        </w:rPr>
        <w:t>,</w:t>
      </w:r>
      <w:r>
        <w:rPr>
          <w:rFonts w:ascii="Arial" w:cs="Arial" w:eastAsia="Arial" w:hAnsi="Arial"/>
          <w:sz w:val="17"/>
          <w:szCs w:val="17"/>
          <w:color w:val="auto"/>
        </w:rPr>
        <w:t xml:space="preserve"> at December 31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spacing w:after="0"/>
              <w:rPr>
                <w:sz w:val="20"/>
                <w:szCs w:val="20"/>
                <w:color w:val="auto"/>
              </w:rPr>
            </w:pPr>
          </w:p>
        </w:tc>
      </w:tr>
      <w:tr>
        <w:trPr>
          <w:trHeight w:val="34"/>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Recorded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Recorded</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Fair Value</w:t>
            </w:r>
          </w:p>
        </w:tc>
      </w:tr>
      <w:tr>
        <w:trPr>
          <w:trHeight w:val="34"/>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685.4</w:t>
            </w:r>
          </w:p>
        </w:tc>
        <w:tc>
          <w:tcPr>
            <w:tcW w:w="3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690.5</w:t>
            </w: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691.8</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 2019</w:t>
            </w:r>
          </w:p>
        </w:tc>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NAV</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5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1"/>
                <w:szCs w:val="21"/>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r>
      <w:tr>
        <w:trPr>
          <w:trHeight w:val="67"/>
        </w:trPr>
        <w:tc>
          <w:tcPr>
            <w:tcW w:w="5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1"/>
        </w:trPr>
        <w:tc>
          <w:tcPr>
            <w:tcW w:w="514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 2018</w:t>
            </w:r>
          </w:p>
        </w:tc>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NAV</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5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5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p>
      <w:pPr>
        <w:spacing w:after="0" w:line="329" w:lineRule="exact"/>
        <w:rPr>
          <w:sz w:val="20"/>
          <w:szCs w:val="20"/>
          <w:color w:val="auto"/>
        </w:rPr>
      </w:pPr>
    </w:p>
    <w:p>
      <w:pPr>
        <w:ind w:left="660" w:right="360" w:hanging="328"/>
        <w:spacing w:after="0" w:line="204" w:lineRule="auto"/>
        <w:tabs>
          <w:tab w:leader="none" w:pos="660" w:val="left"/>
        </w:tabs>
        <w:numPr>
          <w:ilvl w:val="1"/>
          <w:numId w:val="61"/>
        </w:numPr>
        <w:rPr>
          <w:rFonts w:ascii="Arial" w:cs="Arial" w:eastAsia="Arial" w:hAnsi="Arial"/>
          <w:sz w:val="25"/>
          <w:szCs w:val="25"/>
          <w:b w:val="1"/>
          <w:bCs w:val="1"/>
          <w:color w:val="auto"/>
          <w:vertAlign w:val="superscript"/>
        </w:rPr>
      </w:pPr>
      <w:r>
        <w:rPr>
          <w:rFonts w:ascii="Arial" w:cs="Arial" w:eastAsia="Arial" w:hAnsi="Arial"/>
          <w:sz w:val="16"/>
          <w:szCs w:val="16"/>
          <w:color w:val="auto"/>
        </w:rPr>
        <w:t>During the years ended December 31, 2019 and 2018, we recorded impairment charges for cost method investments in the amount of $21.2 million and $12.0 million, respectively. In 2018, a valuation method using prices in active markets was utilized to determine the fair value. In 2019, we determined the value using unobservable inputs and wrote the balance of the cost method investments to zero.</w:t>
      </w:r>
    </w:p>
    <w:p>
      <w:pPr>
        <w:spacing w:after="0" w:line="136" w:lineRule="exact"/>
        <w:rPr>
          <w:rFonts w:ascii="Arial" w:cs="Arial" w:eastAsia="Arial" w:hAnsi="Arial"/>
          <w:sz w:val="25"/>
          <w:szCs w:val="25"/>
          <w:b w:val="1"/>
          <w:bCs w:val="1"/>
          <w:color w:val="auto"/>
          <w:vertAlign w:val="superscript"/>
        </w:rPr>
      </w:pPr>
    </w:p>
    <w:p>
      <w:pPr>
        <w:ind w:left="420" w:hanging="412"/>
        <w:spacing w:after="0"/>
        <w:tabs>
          <w:tab w:leader="none" w:pos="4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before income taxes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34"/>
        </w:trPr>
        <w:tc>
          <w:tcPr>
            <w:tcW w:w="6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0"/>
        </w:trPr>
        <w:tc>
          <w:tcPr>
            <w:tcW w:w="6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69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404.4</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206.9</w:t>
            </w: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w:t>
            </w: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“Federal” reflects United Kingdom (“U.K.”) loss from continuing operations before income taxes.</w:t>
      </w:r>
    </w:p>
    <w:p>
      <w:pPr>
        <w:spacing w:after="0" w:line="98" w:lineRule="exact"/>
        <w:rPr>
          <w:rFonts w:ascii="Arial" w:cs="Arial" w:eastAsia="Arial" w:hAnsi="Arial"/>
          <w:sz w:val="25"/>
          <w:szCs w:val="25"/>
          <w:color w:val="auto"/>
          <w:vertAlign w:val="superscript"/>
        </w:rPr>
      </w:pPr>
    </w:p>
    <w:p>
      <w:pPr>
        <w:ind w:left="660" w:hanging="328"/>
        <w:spacing w:after="0" w:line="233" w:lineRule="auto"/>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“International” reflects non-U.K. income from continuing operations before income taxes.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gridSpan w:val="3"/>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4"/>
                <w:szCs w:val="24"/>
                <w:color w:val="auto"/>
              </w:rPr>
            </w:pPr>
          </w:p>
        </w:tc>
      </w:tr>
      <w:tr>
        <w:trPr>
          <w:trHeight w:val="34"/>
        </w:trPr>
        <w:tc>
          <w:tcPr>
            <w:tcW w:w="6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960" w:type="dxa"/>
            <w:vAlign w:val="bottom"/>
            <w:gridSpan w:val="3"/>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Currently payable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69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960" w:type="dxa"/>
            <w:vAlign w:val="bottom"/>
            <w:tcBorders>
              <w:bottom w:val="single" w:sz="8" w:color="auto"/>
            </w:tcBorders>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r>
      <w:tr>
        <w:trPr>
          <w:trHeight w:val="237"/>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Total current taxes</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76.7</w:t>
            </w:r>
          </w:p>
        </w:tc>
      </w:tr>
      <w:tr>
        <w:trPr>
          <w:trHeight w:val="27"/>
        </w:trPr>
        <w:tc>
          <w:tcPr>
            <w:tcW w:w="6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6960" w:type="dxa"/>
            <w:vAlign w:val="bottom"/>
            <w:tcBorders>
              <w:bottom w:val="single" w:sz="8" w:color="auto"/>
            </w:tcBorders>
            <w:gridSpan w:val="3"/>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69"/>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deferred taxes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7"/>
        </w:trPr>
        <w:tc>
          <w:tcPr>
            <w:tcW w:w="69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Total provision for income taxes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r>
      <w:tr>
        <w:trPr>
          <w:trHeight w:val="27"/>
        </w:trPr>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59"/>
        </w:trPr>
        <w:tc>
          <w:tcPr>
            <w:tcW w:w="560" w:type="dxa"/>
            <w:vAlign w:val="bottom"/>
          </w:tcPr>
          <w:p>
            <w:pPr>
              <w:ind w:left="340"/>
              <w:spacing w:after="0"/>
              <w:rPr>
                <w:sz w:val="20"/>
                <w:szCs w:val="20"/>
                <w:color w:val="auto"/>
              </w:rPr>
            </w:pPr>
            <w:r>
              <w:rPr>
                <w:rFonts w:ascii="Arial" w:cs="Arial" w:eastAsia="Arial" w:hAnsi="Arial"/>
                <w:sz w:val="13"/>
                <w:szCs w:val="13"/>
                <w:color w:val="auto"/>
              </w:rPr>
              <w:t>(1)</w:t>
            </w:r>
          </w:p>
        </w:tc>
        <w:tc>
          <w:tcPr>
            <w:tcW w:w="6400" w:type="dxa"/>
            <w:vAlign w:val="bottom"/>
            <w:gridSpan w:val="2"/>
          </w:tcPr>
          <w:p>
            <w:pPr>
              <w:ind w:left="100"/>
              <w:spacing w:after="0"/>
              <w:rPr>
                <w:sz w:val="20"/>
                <w:szCs w:val="20"/>
                <w:color w:val="auto"/>
              </w:rPr>
            </w:pPr>
            <w:r>
              <w:rPr>
                <w:rFonts w:ascii="Arial" w:cs="Arial" w:eastAsia="Arial" w:hAnsi="Arial"/>
                <w:sz w:val="18"/>
                <w:szCs w:val="18"/>
                <w:color w:val="auto"/>
              </w:rPr>
              <w:t>“Federal” represents U.K. taxes.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560" w:type="dxa"/>
            <w:vAlign w:val="bottom"/>
          </w:tcPr>
          <w:p>
            <w:pPr>
              <w:ind w:left="340"/>
              <w:spacing w:after="0"/>
              <w:rPr>
                <w:sz w:val="20"/>
                <w:szCs w:val="20"/>
                <w:color w:val="auto"/>
              </w:rPr>
            </w:pPr>
            <w:r>
              <w:rPr>
                <w:rFonts w:ascii="Arial" w:cs="Arial" w:eastAsia="Arial" w:hAnsi="Arial"/>
                <w:sz w:val="13"/>
                <w:szCs w:val="13"/>
                <w:color w:val="auto"/>
              </w:rPr>
              <w:t>(2)</w:t>
            </w:r>
          </w:p>
        </w:tc>
        <w:tc>
          <w:tcPr>
            <w:tcW w:w="6400" w:type="dxa"/>
            <w:vAlign w:val="bottom"/>
            <w:gridSpan w:val="2"/>
          </w:tcPr>
          <w:p>
            <w:pPr>
              <w:ind w:left="100"/>
              <w:spacing w:after="0"/>
              <w:rPr>
                <w:sz w:val="20"/>
                <w:szCs w:val="20"/>
                <w:color w:val="auto"/>
              </w:rPr>
            </w:pPr>
            <w:r>
              <w:rPr>
                <w:rFonts w:ascii="Arial" w:cs="Arial" w:eastAsia="Arial" w:hAnsi="Arial"/>
                <w:sz w:val="18"/>
                <w:szCs w:val="18"/>
                <w:color w:val="auto"/>
              </w:rPr>
              <w:t>“International” represents non-U.K. taxes.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6960" w:type="dxa"/>
            <w:vAlign w:val="bottom"/>
            <w:gridSpan w:val="3"/>
          </w:tcPr>
          <w:p>
            <w:pPr>
              <w:spacing w:after="0"/>
              <w:rPr>
                <w:sz w:val="20"/>
                <w:szCs w:val="20"/>
                <w:color w:val="auto"/>
              </w:rPr>
            </w:pPr>
            <w:r>
              <w:rPr>
                <w:rFonts w:ascii="Arial" w:cs="Arial" w:eastAsia="Arial" w:hAnsi="Arial"/>
                <w:sz w:val="18"/>
                <w:szCs w:val="18"/>
                <w:color w:val="auto"/>
                <w:w w:val="91"/>
              </w:rPr>
              <w:t>Reconciliations of the federal statutory income tax rate to our effective tax rate were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4"/>
                <w:szCs w:val="24"/>
                <w:color w:val="auto"/>
              </w:rPr>
            </w:pPr>
          </w:p>
        </w:tc>
      </w:tr>
      <w:tr>
        <w:trPr>
          <w:trHeight w:val="34"/>
        </w:trPr>
        <w:tc>
          <w:tcPr>
            <w:tcW w:w="67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960" w:type="dxa"/>
            <w:vAlign w:val="bottom"/>
            <w:gridSpan w:val="3"/>
          </w:tcPr>
          <w:p>
            <w:pPr>
              <w:ind w:left="40"/>
              <w:spacing w:after="0"/>
              <w:rPr>
                <w:sz w:val="20"/>
                <w:szCs w:val="20"/>
                <w:color w:val="auto"/>
              </w:rPr>
            </w:pPr>
            <w:r>
              <w:rPr>
                <w:rFonts w:ascii="Arial" w:cs="Arial" w:eastAsia="Arial" w:hAnsi="Arial"/>
                <w:sz w:val="18"/>
                <w:szCs w:val="18"/>
                <w:i w:val="1"/>
                <w:iCs w:val="1"/>
                <w:color w:val="auto"/>
              </w:rPr>
              <w:t>Percentages</w:t>
            </w:r>
          </w:p>
        </w:tc>
        <w:tc>
          <w:tcPr>
            <w:tcW w:w="220" w:type="dxa"/>
            <w:vAlign w:val="bottom"/>
          </w:tcPr>
          <w:p>
            <w:pPr>
              <w:spacing w:after="0"/>
              <w:rPr>
                <w:sz w:val="21"/>
                <w:szCs w:val="21"/>
                <w:color w:val="auto"/>
              </w:rPr>
            </w:pPr>
          </w:p>
        </w:tc>
        <w:tc>
          <w:tcPr>
            <w:tcW w:w="12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34"/>
        </w:trPr>
        <w:tc>
          <w:tcPr>
            <w:tcW w:w="6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U.K. federal statutory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19.0 %</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19.0 %</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70"/>
        </w:trPr>
        <w:tc>
          <w:tcPr>
            <w:tcW w:w="69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Tax effect of international operations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3"/>
                <w:szCs w:val="23"/>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(18.7)</w:t>
            </w: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27.6</w:t>
            </w:r>
          </w:p>
        </w:tc>
      </w:tr>
      <w:tr>
        <w:trPr>
          <w:trHeight w:val="243"/>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Excess tax benefits on stock-based compensation</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6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effect of U.S. tax reform</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Tax effect of early extinguishment of debt</w:t>
            </w:r>
          </w:p>
        </w:tc>
        <w:tc>
          <w:tcPr>
            <w:tcW w:w="220" w:type="dxa"/>
            <w:vAlign w:val="bottom"/>
          </w:tcPr>
          <w:p>
            <w:pPr>
              <w:spacing w:after="0"/>
              <w:rPr>
                <w:sz w:val="21"/>
                <w:szCs w:val="21"/>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9.0</w:t>
            </w:r>
          </w:p>
        </w:tc>
      </w:tr>
      <w:tr>
        <w:trPr>
          <w:trHeight w:val="27"/>
        </w:trPr>
        <w:tc>
          <w:tcPr>
            <w:tcW w:w="6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11.2 %</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15.3 %</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6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The tax effect of international operations consists of non-U.K. jurisdictions.</w:t>
      </w:r>
    </w:p>
    <w:p>
      <w:pPr>
        <w:spacing w:after="0" w:line="147"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18"/>
          <w:szCs w:val="18"/>
          <w:color w:val="auto"/>
        </w:rPr>
        <w:t>Reconciliations of the beginning and ending gross unrecognized tax benefits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r>
      <w:tr>
        <w:trPr>
          <w:trHeight w:val="34"/>
        </w:trPr>
        <w:tc>
          <w:tcPr>
            <w:tcW w:w="6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Gross increases for tax positions in prior periods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 for tax positions in prior periods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Gross increases based on tax positions related to the current year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 related to settlements with taxing authorities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Reductions due to statute expiration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record gross unrecognized tax benefits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in the Consolidated Balance Sheets. Included in the $47.4 million of total gross unrecognized tax benefits as of December 31, 2019 was $47.0 million of tax benefits that, if recognized, would impact the effective tax rate. It is reasonably possible that the gross unrecognized tax benefits as of December 31, 2019 may decrease by a range of zero to $4.3 million during 2020, primarily as a result of the resolution of non-U.K. examinations, including U.S. state examinations, and the expiration of various statutes of limitations.</w:t>
      </w:r>
    </w:p>
    <w:p>
      <w:pPr>
        <w:spacing w:after="0" w:line="13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A number of tax periods from 2008 to present are under audit by tax authorities in various jurisdictions, including China, Germany, India, Italy and New Zealand. We anticipate that several of these audits may be concluded in the foreseeable future.</w:t>
      </w:r>
    </w:p>
    <w:p>
      <w:pPr>
        <w:sectPr>
          <w:pgSz w:w="11900" w:h="16838" w:orient="portrait"/>
          <w:cols w:equalWidth="0" w:num="1">
            <w:col w:w="11400"/>
          </w:cols>
          <w:pgMar w:left="240" w:top="125" w:right="25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125" w:right="2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xml:space="preserve">, respectively, in the Consolidated Statements of Operations and Comprehensive Income. As of December 31, 2019 and 2018, we have liabilities of $0.4 million and $0.5 million, respectively, for the possible payment of penalties and $3.7 million and $3.6 million, respectively, for the possible payment of interest expense, which are recorded in </w:t>
      </w: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in the Consolidated Balance Sheets.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Deferred taxes were recorded in the Consolidated Balance Sheets as follows: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34"/>
        </w:trPr>
        <w:tc>
          <w:tcPr>
            <w:tcW w:w="8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r>
      <w:tr>
        <w:trPr>
          <w:trHeight w:val="34"/>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104.4</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105.9</w:t>
            </w: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r>
      <w:tr>
        <w:trPr>
          <w:trHeight w:val="20"/>
        </w:trPr>
        <w:tc>
          <w:tcPr>
            <w:tcW w:w="8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440" w:type="dxa"/>
            <w:vAlign w:val="bottom"/>
          </w:tcPr>
          <w:p>
            <w:pPr>
              <w:spacing w:after="0"/>
              <w:rPr>
                <w:sz w:val="20"/>
                <w:szCs w:val="20"/>
                <w:color w:val="auto"/>
              </w:rPr>
            </w:pPr>
            <w:r>
              <w:rPr>
                <w:rFonts w:ascii="Arial" w:cs="Arial" w:eastAsia="Arial" w:hAnsi="Arial"/>
                <w:sz w:val="18"/>
                <w:szCs w:val="18"/>
                <w:color w:val="auto"/>
              </w:rPr>
              <w:t>The tax effects of the major items recorded as deferred tax assets and liabilities were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34"/>
        </w:trPr>
        <w:tc>
          <w:tcPr>
            <w:tcW w:w="8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r>
      <w:tr>
        <w:trPr>
          <w:trHeight w:val="34"/>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Accrued liabilities and reserves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42.9</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loss and credit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limitations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20.6</w:t>
            </w: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693.8</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711.9</w:t>
            </w: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Goodwill and other intangibles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200.4</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179.7</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37"/>
        </w:trPr>
        <w:tc>
          <w:tcPr>
            <w:tcW w:w="8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203.0</w:t>
            </w: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r>
      <w:tr>
        <w:trPr>
          <w:trHeight w:val="20"/>
        </w:trPr>
        <w:tc>
          <w:tcPr>
            <w:tcW w:w="8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Included in tax loss and credit carryforwards in the table above is a deferred tax asset of $29.6 million as of December 31, 2019 related to foreign tax credit carryover from the tax period ended December 31, 2017 and related to transition taxes. The entire amount is subject to a valuation allowance. The foreign tax credit is eligible for carryforward until the tax period ending December 31, 2027.</w:t>
      </w:r>
    </w:p>
    <w:p>
      <w:pPr>
        <w:spacing w:after="0" w:line="2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2019, tax loss carryforwards of $2,957.4 million were available to offset future income. A valuation allowance of $663.1 million exists for deferred income tax benefits related to the tax loss carryforwards which may not be realized. We believe sufficient taxable income will be generated in the respective jurisdictions to allow us to fully recover the remainder of the tax losses. The tax losses primarily relate to non-U.S. carryforwards of $2,843.1 million which are subject to varying expiration periods. Non-U.S. carryforwards of $1,763.9 million are located in jurisdictions with unlimited tax loss carryforward periods, while the remainder will begin to expire in 2020. In addition, there were $14.6 million U.S. federal loss carryforwards with unlimited tax loss carryforward periods and $99.7 million of state tax loss carryforwards as of December 31, 2019. State tax losses of $64.0 million are in jurisdictions with unlimited tax loss carryforward periods, while the remainder will expire in future years through 2039.</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reform</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For 2018, the Company considered in its annual effective tax rate additional provisions of the Act including changes to the deduction for executive compensation and interest expense, a tax on global intangible low-taxed income provisions (“GILTI”), the base erosion anti-abuse tax, and a deduction for foreign-derived intangible income. The Company has elected to treat tax on GILTI income as a period cost and has therefore included it in its annual effective tax rate.</w:t>
      </w:r>
    </w:p>
    <w:p>
      <w:pPr>
        <w:spacing w:after="0" w:line="13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calculated its best estimate of the impact of the Act in its December 31, 2017 income tax provision in accordance with its understanding of the Act and guidance available as of the date of the filing of the 2017 Annual Report on Form 10-K and as a result recorded a provisional income tax expense of $2.2 million in the fourth quarter of 2017, the period in which the legislation was enacted. We subsequently recorded a $3.6 million decrease to the provisional income tax expense in the third quarter of 2018, resulting in a $1.4 million net decrease to income tax expense as a result of the Act.</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amount related to the remeasurement of certain deferred tax assets and liabilities based on the rates at which they are expected to reverse in the future was a decrease to income tax expense of $28.0 million. The amount related to the one-time transition tax on the mandatory deemed repatriation of foreign earnings was an increase to income tax expense of $26.6 million.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w:t>
      </w:r>
    </w:p>
    <w:p>
      <w:pPr>
        <w:spacing w:after="0" w:line="1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2017, our Board of Directors approved amendments to terminate the Pentair Salaried Plan (the “Salaried Plan”), a U.S. qualified pension plan. The Salaried Plan discontinued accruing benefits on December 31, 2017 and the termination was effective December 31, 2017. The Salaried Plan participants were not adversely affected by the plan termination.</w:t>
      </w:r>
    </w:p>
    <w:p>
      <w:pPr>
        <w:spacing w:after="0" w:line="12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2018, participants whose plan benefits were not in pay status as of July 1, 2018 were given the opportunity to elect a lump sum (or monthly annuity) payment during a special election window. Payments of $171.9 million were made to participants who elected to receive a lump sum during this window.</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2019, the Company received all required government approvals to complete the termination of the Salaried Plan. In June 2019, we entered into an agreement with an insurance company to purchase from us, through an annuity contract, our remaining obligations under the Salaried Plan. For the year ended December 31, 2019, we contributed $11.1 million to the Salaried Plan as part of the process to settle our obligations. As a result of these actions, a non-cash pre-tax settlement gain of $11.8 million was recorded for the year ended December 31, 2019 and is reflected within </w:t>
      </w:r>
      <w:r>
        <w:rPr>
          <w:rFonts w:ascii="Arial" w:cs="Arial" w:eastAsia="Arial" w:hAnsi="Arial"/>
          <w:sz w:val="18"/>
          <w:szCs w:val="18"/>
          <w:i w:val="1"/>
          <w:iCs w:val="1"/>
          <w:color w:val="auto"/>
        </w:rPr>
        <w:t>Net actuarial loss (gain)</w:t>
      </w:r>
      <w:r>
        <w:rPr>
          <w:rFonts w:ascii="Arial" w:cs="Arial" w:eastAsia="Arial" w:hAnsi="Arial"/>
          <w:sz w:val="18"/>
          <w:szCs w:val="18"/>
          <w:color w:val="auto"/>
        </w:rPr>
        <w:t xml:space="preserve"> in the Net periodic benefit expense table below.</w:t>
      </w:r>
    </w:p>
    <w:p>
      <w:pPr>
        <w:spacing w:after="0" w:line="134"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 xml:space="preserve">As described in Note 1, during the first quarter of 2018, the Company adopted ASU 2017-07. As a result, service costs are classified as employee compensation costs within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within the Consolidated Statements of Operations and Comprehensive Income. All other components of net periodic benefit expense are classified within </w:t>
      </w:r>
      <w:r>
        <w:rPr>
          <w:rFonts w:ascii="Arial" w:cs="Arial" w:eastAsia="Arial" w:hAnsi="Arial"/>
          <w:sz w:val="16"/>
          <w:szCs w:val="16"/>
          <w:i w:val="1"/>
          <w:iCs w:val="1"/>
          <w:color w:val="auto"/>
        </w:rPr>
        <w:t>Other (income) expense</w:t>
      </w:r>
      <w:r>
        <w:rPr>
          <w:rFonts w:ascii="Arial" w:cs="Arial" w:eastAsia="Arial" w:hAnsi="Arial"/>
          <w:sz w:val="16"/>
          <w:szCs w:val="16"/>
          <w:color w:val="auto"/>
        </w:rPr>
        <w:t xml:space="preserve"> for the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herein relates to defined-benefit pension and other post-retirement plans of our continuing operations only.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2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following tables present reconciliations of plan benefit obligations, fair value of plan assets and the funded status of pension plans and other post-retirement plans as of and for the years ended December 31, 2019 and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Other post-retirement</w:t>
            </w:r>
          </w:p>
        </w:tc>
      </w:tr>
      <w:tr>
        <w:trPr>
          <w:trHeight w:val="234"/>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plans</w:t>
            </w:r>
          </w:p>
        </w:tc>
        <w:tc>
          <w:tcPr>
            <w:tcW w:w="30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plans</w:t>
            </w:r>
          </w:p>
        </w:tc>
        <w:tc>
          <w:tcPr>
            <w:tcW w:w="1000" w:type="dxa"/>
            <w:vAlign w:val="bottom"/>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34"/>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(182.3)</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(182.3)</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Funded status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 in excess of the fair value of plan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5820" w:type="dxa"/>
            <w:vAlign w:val="bottom"/>
          </w:tcPr>
          <w:p>
            <w:pPr>
              <w:spacing w:after="0"/>
              <w:rPr>
                <w:sz w:val="20"/>
                <w:szCs w:val="20"/>
                <w:color w:val="auto"/>
              </w:rPr>
            </w:pPr>
            <w:r>
              <w:rPr>
                <w:rFonts w:ascii="Arial" w:cs="Arial" w:eastAsia="Arial" w:hAnsi="Arial"/>
                <w:sz w:val="18"/>
                <w:szCs w:val="18"/>
                <w:color w:val="auto"/>
              </w:rPr>
              <w:t>Amounts recorded in the Consolidated Balance Sheets were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Other post-retirement</w:t>
            </w:r>
          </w:p>
        </w:tc>
      </w:tr>
      <w:tr>
        <w:trPr>
          <w:trHeight w:val="234"/>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plans</w:t>
            </w:r>
          </w:p>
        </w:tc>
        <w:tc>
          <w:tcPr>
            <w:tcW w:w="30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plans</w:t>
            </w:r>
          </w:p>
        </w:tc>
        <w:tc>
          <w:tcPr>
            <w:tcW w:w="1000" w:type="dxa"/>
            <w:vAlign w:val="bottom"/>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34"/>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 in excess of the fair value of plan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accumulated benefit obligation for all defined benefit plans was $107.1 million and $275.0 million at December 31, 2019 and 2018, respectively.</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for pension plans with an accumulated benefit obligation or projected benefit obligation in excess of plan assets as of December 31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Projected benefit obligation</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w w:val="92"/>
              </w:rPr>
              <w:t>Accumulated benefit</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obligation</w:t>
            </w: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7"/>
              </w:rPr>
              <w:t>exceeds the fair value</w:t>
            </w:r>
          </w:p>
        </w:tc>
        <w:tc>
          <w:tcPr>
            <w:tcW w:w="180" w:type="dxa"/>
            <w:vAlign w:val="bottom"/>
          </w:tcPr>
          <w:p>
            <w:pPr>
              <w:spacing w:after="0"/>
              <w:rPr>
                <w:sz w:val="18"/>
                <w:szCs w:val="18"/>
                <w:color w:val="auto"/>
              </w:rPr>
            </w:pPr>
          </w:p>
        </w:tc>
        <w:tc>
          <w:tcPr>
            <w:tcW w:w="27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exceeds the fair value of</w:t>
            </w:r>
          </w:p>
        </w:tc>
      </w:tr>
      <w:tr>
        <w:trPr>
          <w:trHeight w:val="234"/>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4"/>
              </w:rPr>
              <w:t>of plan assets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plan assets</w:t>
            </w:r>
          </w:p>
        </w:tc>
        <w:tc>
          <w:tcPr>
            <w:tcW w:w="1020" w:type="dxa"/>
            <w:vAlign w:val="bottom"/>
          </w:tcPr>
          <w:p>
            <w:pPr>
              <w:spacing w:after="0"/>
              <w:rPr>
                <w:sz w:val="20"/>
                <w:szCs w:val="20"/>
                <w:color w:val="auto"/>
              </w:rPr>
            </w:pPr>
          </w:p>
        </w:tc>
      </w:tr>
      <w:tr>
        <w:trPr>
          <w:trHeight w:val="34"/>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1"/>
                <w:szCs w:val="21"/>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34"/>
        </w:trPr>
        <w:tc>
          <w:tcPr>
            <w:tcW w:w="5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111.7  $</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30.4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107.1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r>
      <w:tr>
        <w:trPr>
          <w:trHeight w:val="27"/>
        </w:trPr>
        <w:tc>
          <w:tcPr>
            <w:tcW w:w="5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expense for our pension plans for the years ended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34"/>
        </w:trPr>
        <w:tc>
          <w:tcPr>
            <w:tcW w:w="4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47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Net actuarial (gain) loss</w:t>
            </w:r>
          </w:p>
        </w:tc>
        <w:tc>
          <w:tcPr>
            <w:tcW w:w="28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4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2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0"/>
        </w:trPr>
        <w:tc>
          <w:tcPr>
            <w:tcW w:w="47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80"/>
        <w:spacing w:after="0" w:line="352" w:lineRule="auto"/>
        <w:rPr>
          <w:sz w:val="20"/>
          <w:szCs w:val="20"/>
          <w:color w:val="auto"/>
        </w:rPr>
      </w:pPr>
      <w:r>
        <w:rPr>
          <w:rFonts w:ascii="Arial" w:cs="Arial" w:eastAsia="Arial" w:hAnsi="Arial"/>
          <w:sz w:val="18"/>
          <w:szCs w:val="18"/>
          <w:color w:val="auto"/>
        </w:rPr>
        <w:t xml:space="preserve">Components of net periodic benefit expense for our other post-retirement plans for the years ended December 31, 2019, 2018 and 2017, were not material. </w:t>
      </w:r>
      <w:r>
        <w:rPr>
          <w:rFonts w:ascii="Arial" w:cs="Arial" w:eastAsia="Arial" w:hAnsi="Arial"/>
          <w:sz w:val="18"/>
          <w:szCs w:val="18"/>
          <w:b w:val="1"/>
          <w:bCs w:val="1"/>
          <w:i w:val="1"/>
          <w:iCs w:val="1"/>
          <w:color w:val="auto"/>
        </w:rPr>
        <w:t>Assumptions</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provides the weighted-average assumptions used to determine benefit obligations and net periodic benefit cost as they pertain to our pension and other post-retirement plans.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1"/>
              </w:rPr>
              <w:t>Other post-retirement</w:t>
            </w:r>
          </w:p>
        </w:tc>
        <w:tc>
          <w:tcPr>
            <w:tcW w:w="72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Pension plans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plans</w:t>
            </w:r>
          </w:p>
        </w:tc>
        <w:tc>
          <w:tcPr>
            <w:tcW w:w="720" w:type="dxa"/>
            <w:vAlign w:val="bottom"/>
          </w:tcPr>
          <w:p>
            <w:pPr>
              <w:spacing w:after="0"/>
              <w:rPr>
                <w:sz w:val="20"/>
                <w:szCs w:val="20"/>
                <w:color w:val="auto"/>
              </w:rPr>
            </w:pPr>
          </w:p>
        </w:tc>
      </w:tr>
      <w:tr>
        <w:trPr>
          <w:trHeight w:val="34"/>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492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2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2018</w:t>
            </w:r>
          </w:p>
        </w:tc>
        <w:tc>
          <w:tcPr>
            <w:tcW w:w="7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4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Benefit obligation assumptions </w:t>
            </w:r>
            <w:r>
              <w:rPr>
                <w:rFonts w:ascii="Arial" w:cs="Arial" w:eastAsia="Arial" w:hAnsi="Arial"/>
                <w:sz w:val="25"/>
                <w:szCs w:val="25"/>
                <w:b w:val="1"/>
                <w:bCs w:val="1"/>
                <w:color w:val="auto"/>
                <w:vertAlign w:val="superscript"/>
              </w:rPr>
              <w:t>(1)</w:t>
            </w:r>
          </w:p>
        </w:tc>
        <w:tc>
          <w:tcPr>
            <w:tcW w:w="10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3.73%</w:t>
            </w: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2.81%</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3.95%</w:t>
            </w: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rPr>
              <w:t>NA</w:t>
            </w:r>
          </w:p>
        </w:tc>
        <w:tc>
          <w:tcPr>
            <w:tcW w:w="72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rPr>
              <w:t>NA</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expense assumptions</w:t>
            </w:r>
          </w:p>
        </w:tc>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3.95%</w:t>
            </w:r>
          </w:p>
        </w:tc>
        <w:tc>
          <w:tcPr>
            <w:tcW w:w="1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3.40%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4.37%</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4.17%</w:t>
            </w: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rPr>
              <w:t>NA</w:t>
            </w:r>
          </w:p>
        </w:tc>
        <w:tc>
          <w:tcPr>
            <w:tcW w:w="1260" w:type="dxa"/>
            <w:vAlign w:val="bottom"/>
          </w:tcPr>
          <w:p>
            <w:pPr>
              <w:jc w:val="center"/>
              <w:ind w:right="430"/>
              <w:spacing w:after="0"/>
              <w:rPr>
                <w:sz w:val="20"/>
                <w:szCs w:val="20"/>
                <w:color w:val="auto"/>
              </w:rPr>
            </w:pPr>
            <w:r>
              <w:rPr>
                <w:rFonts w:ascii="Arial" w:cs="Arial" w:eastAsia="Arial" w:hAnsi="Arial"/>
                <w:sz w:val="18"/>
                <w:szCs w:val="18"/>
                <w:color w:val="auto"/>
              </w:rPr>
              <w:t>NA</w:t>
            </w:r>
          </w:p>
        </w:tc>
        <w:tc>
          <w:tcPr>
            <w:tcW w:w="720" w:type="dxa"/>
            <w:vAlign w:val="bottom"/>
          </w:tcPr>
          <w:p>
            <w:pPr>
              <w:jc w:val="center"/>
              <w:ind w:right="250"/>
              <w:spacing w:after="0"/>
              <w:rPr>
                <w:sz w:val="20"/>
                <w:szCs w:val="20"/>
                <w:color w:val="auto"/>
              </w:rPr>
            </w:pPr>
            <w:r>
              <w:rPr>
                <w:rFonts w:ascii="Arial" w:cs="Arial" w:eastAsia="Arial" w:hAnsi="Arial"/>
                <w:sz w:val="18"/>
                <w:szCs w:val="18"/>
                <w:color w:val="auto"/>
              </w:rPr>
              <w:t>NA</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rPr>
              <w:t>NA</w:t>
            </w:r>
          </w:p>
        </w:tc>
      </w:tr>
      <w:tr>
        <w:trPr>
          <w:trHeight w:val="27"/>
        </w:trPr>
        <w:tc>
          <w:tcPr>
            <w:tcW w:w="49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left="660" w:right="140" w:hanging="328"/>
        <w:spacing w:after="0" w:line="227" w:lineRule="auto"/>
        <w:tabs>
          <w:tab w:leader="none" w:pos="660" w:val="left"/>
        </w:tabs>
        <w:numPr>
          <w:ilvl w:val="0"/>
          <w:numId w:val="65"/>
        </w:numPr>
        <w:rPr>
          <w:rFonts w:ascii="Arial" w:cs="Arial" w:eastAsia="Arial" w:hAnsi="Arial"/>
          <w:sz w:val="24"/>
          <w:szCs w:val="24"/>
          <w:color w:val="auto"/>
          <w:vertAlign w:val="superscript"/>
        </w:rPr>
      </w:pPr>
      <w:r>
        <w:rPr>
          <w:rFonts w:ascii="Arial" w:cs="Arial" w:eastAsia="Arial" w:hAnsi="Arial"/>
          <w:sz w:val="17"/>
          <w:szCs w:val="17"/>
          <w:color w:val="auto"/>
        </w:rPr>
        <w:t>The benefit obligation for the Salaried Plan as of December 31, 2018 was determined using assumptions reflecting the termination of the plan. As a result, the 2018 weighted-average assumptions for the pension plans reflected in the table above do not include the Salaried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adjusted to eliminate the effects of call provisions. There are no known or anticipated changes in our discount rate assumptions that will impact our pension expense in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rates of return</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 Pension plan assets yielded returns of 8.85%, (5.60)% and 12.00% in 2019, 2018 and 2017,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cost trend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assumed healthcare cost trend rates for other post-retirement plans as of December 31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34"/>
        </w:trPr>
        <w:tc>
          <w:tcPr>
            <w:tcW w:w="9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following year</w:t>
            </w:r>
          </w:p>
        </w:tc>
        <w:tc>
          <w:tcPr>
            <w:tcW w:w="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9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the cost trend rate reaches the ultimate trend rate</w:t>
            </w:r>
          </w:p>
        </w:tc>
        <w:tc>
          <w:tcPr>
            <w:tcW w:w="8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89"/>
              </w:rPr>
              <w:t>2038</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2038</w:t>
            </w:r>
          </w:p>
        </w:tc>
      </w:tr>
      <w:tr>
        <w:trPr>
          <w:trHeight w:val="864"/>
        </w:trPr>
        <w:tc>
          <w:tcPr>
            <w:tcW w:w="9320" w:type="dxa"/>
            <w:vAlign w:val="bottom"/>
          </w:tcPr>
          <w:p>
            <w:pPr>
              <w:jc w:val="right"/>
              <w:ind w:right="3430"/>
              <w:spacing w:after="0"/>
              <w:rPr>
                <w:sz w:val="20"/>
                <w:szCs w:val="20"/>
                <w:color w:val="auto"/>
              </w:rPr>
            </w:pPr>
            <w:r>
              <w:rPr>
                <w:rFonts w:ascii="Arial" w:cs="Arial" w:eastAsia="Arial" w:hAnsi="Arial"/>
                <w:sz w:val="18"/>
                <w:szCs w:val="18"/>
                <w:color w:val="auto"/>
              </w:rPr>
              <w:t>69</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w:t>
      </w:r>
    </w:p>
    <w:p>
      <w:pPr>
        <w:spacing w:after="0" w:line="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primary objective of our investment strategy is to meet the pension obligation to our employees at a reasonable cost to us. This is primarily accomplished through growth of capital and safety of the funds invested.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allocation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actual overall asset allocation for our pension plans as compared to our investment policy goals as of December 31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Actual</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b w:val="1"/>
                <w:bCs w:val="1"/>
                <w:color w:val="auto"/>
              </w:rPr>
              <w:t>Target</w:t>
            </w:r>
          </w:p>
        </w:tc>
        <w:tc>
          <w:tcPr>
            <w:tcW w:w="110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960" w:type="dxa"/>
            <w:vAlign w:val="bottom"/>
          </w:tcPr>
          <w:p>
            <w:pPr>
              <w:jc w:val="right"/>
              <w:ind w:right="91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5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Alternative</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29%</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28%</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fair values of our pension plan assets and their respective levels in the fair value hierarchy as of December 31, 2019 and December 31, 2018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Investments measured at NAV</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180" w:type="dxa"/>
            <w:vAlign w:val="bottom"/>
          </w:tcPr>
          <w:p>
            <w:pPr>
              <w:ind w:left="20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137.5</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investments at fair value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measured at NAV</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methodologies used for investments measured at fair value were as follows:</w:t>
      </w:r>
    </w:p>
    <w:p>
      <w:pPr>
        <w:spacing w:after="0" w:line="185" w:lineRule="exact"/>
        <w:rPr>
          <w:sz w:val="20"/>
          <w:szCs w:val="20"/>
          <w:color w:val="auto"/>
        </w:rPr>
      </w:pPr>
    </w:p>
    <w:p>
      <w:pPr>
        <w:ind w:left="660" w:right="64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Cash consists of cash held in bank accounts and is considered a Level 1 investment. Cash equivalents consist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commingled funds valued based on observable market data. Such investments were classified as Level 2.</w:t>
      </w:r>
    </w:p>
    <w:p>
      <w:pPr>
        <w:spacing w:after="0" w:line="92"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Fixed income: </w:t>
      </w:r>
      <w:r>
        <w:rPr>
          <w:rFonts w:ascii="Arial" w:cs="Arial" w:eastAsia="Arial" w:hAnsi="Arial"/>
          <w:sz w:val="18"/>
          <w:szCs w:val="18"/>
          <w:color w:val="auto"/>
        </w:rPr>
        <w:t>Investments in corporate bonds, government securities, mortgages and asset backed securities were valued based upon quoted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prices for similar securities and other observable market data. Investments in commingled funds were generally valued at the end of the period based upon the value of the underlying investments as determined by quoted market prices or by a pricing service. Such investments were classified as Level 2.</w:t>
      </w:r>
    </w:p>
    <w:p>
      <w:pPr>
        <w:spacing w:after="0" w:line="132"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investments: </w:t>
      </w:r>
      <w:r>
        <w:rPr>
          <w:rFonts w:ascii="Arial" w:cs="Arial" w:eastAsia="Arial" w:hAnsi="Arial"/>
          <w:sz w:val="18"/>
          <w:szCs w:val="18"/>
          <w:color w:val="auto"/>
        </w:rPr>
        <w:t>Other investments include investments in commingled funds with diversified investment strategies. Investments in commingled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that were valued at the end of the period based upon the value of the underlying investments as determined by quoted market prices or by a pricing service were classified as Level 2. Investments in commingled funds that were valued based on unobservable inputs due to liquidation restrictions were classified as Level 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Activity for our Level 3 pension plan assets held during the years ended December 31, 2019 and 2018 was not material.</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9"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Pension contributions from continuing operations totaled $18.0 million and $7.1 million in 2019 and 2018, respectively. We anticipate our 2020 pension contributions to be approximately $6.6 million. The 2020 expected contributions will equal or exceed our minimum funding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benefit payments</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benefit payments, which reflect expected future service or payout from termination, as appropriate, are expected to be paid by the plans in each of the next five fiscal years and in the aggregate for the five fiscal years thereafter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Other post-</w:t>
            </w:r>
          </w:p>
        </w:tc>
      </w:tr>
      <w:tr>
        <w:trPr>
          <w:trHeight w:val="216"/>
        </w:trPr>
        <w:tc>
          <w:tcPr>
            <w:tcW w:w="4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retirement</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92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Pension plans</w:t>
            </w:r>
          </w:p>
        </w:tc>
        <w:tc>
          <w:tcPr>
            <w:tcW w:w="26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plans</w:t>
            </w:r>
          </w:p>
        </w:tc>
      </w:tr>
      <w:tr>
        <w:trPr>
          <w:trHeight w:val="34"/>
        </w:trPr>
        <w:tc>
          <w:tcPr>
            <w:tcW w:w="47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2021</w:t>
            </w:r>
          </w:p>
        </w:tc>
        <w:tc>
          <w:tcPr>
            <w:tcW w:w="3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7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9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2023</w:t>
            </w:r>
          </w:p>
        </w:tc>
        <w:tc>
          <w:tcPr>
            <w:tcW w:w="3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7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9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3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plan</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 401(k) plan (the “401(k) plan”) with an employee share ownership (“ESOP”) bonus component, which covers certain union and all non-union U.S. employees who met certain age requirements. Under the 401(k) plan, eligible U.S. employees could voluntarily contribute a percentage of their eligible compensation. We match contributions made by employees who met certain eligibility and service requirements.</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January 1, 2018, the 401(k) company match contribution was changed to a dollar-for-dollar (100%) matching contribution on up to 5% of employee eligible earnings, contributed as before-tax contributions. This change replaced the ESOP component discussed below and offers the same 5% total company match.</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2017, the 401(k) matching contribution was 100% of eligible employee contributions for the first 1% of eligible compensation and 50% of the next 5% of eligible compensation.</w:t>
      </w:r>
    </w:p>
    <w:p>
      <w:pPr>
        <w:spacing w:after="0" w:line="11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During 2018 and 2017, in addition to the matching contribution, all employees who met certain service requirements received a discretionary ESOP contribution equal to 1.5% of annual eligible compensation.</w:t>
      </w:r>
    </w:p>
    <w:p>
      <w:pPr>
        <w:spacing w:after="0" w:line="279" w:lineRule="exact"/>
        <w:rPr>
          <w:sz w:val="20"/>
          <w:szCs w:val="20"/>
          <w:color w:val="auto"/>
        </w:rPr>
      </w:pPr>
    </w:p>
    <w:p>
      <w:pPr>
        <w:ind w:right="840"/>
        <w:spacing w:after="0" w:line="352" w:lineRule="auto"/>
        <w:rPr>
          <w:sz w:val="20"/>
          <w:szCs w:val="20"/>
          <w:color w:val="auto"/>
        </w:rPr>
      </w:pPr>
      <w:r>
        <w:rPr>
          <w:rFonts w:ascii="Arial" w:cs="Arial" w:eastAsia="Arial" w:hAnsi="Arial"/>
          <w:sz w:val="18"/>
          <w:szCs w:val="18"/>
          <w:color w:val="auto"/>
        </w:rPr>
        <w:t xml:space="preserve">Our combined expense for the 401(k) plan and the ESOP was $14.4 million, $23.4 million and $27.9 million in 2019, 2018 and 2017, respectively. </w:t>
      </w:r>
      <w:r>
        <w:rPr>
          <w:rFonts w:ascii="Arial" w:cs="Arial" w:eastAsia="Arial" w:hAnsi="Arial"/>
          <w:sz w:val="18"/>
          <w:szCs w:val="18"/>
          <w:b w:val="1"/>
          <w:bCs w:val="1"/>
          <w:i w:val="1"/>
          <w:iCs w:val="1"/>
          <w:color w:val="auto"/>
        </w:rPr>
        <w:t>Other retirement compensation</w:t>
      </w:r>
    </w:p>
    <w:p>
      <w:pPr>
        <w:spacing w:after="0" w:line="1"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 xml:space="preserve">Total other accrued retirement compensation, primarily related to deferred compensation and supplemental retirement plans, was $29.0 million and $28.2 million as of December 31, 2019 and 2018, respectively, and is included in </w:t>
      </w:r>
      <w:r>
        <w:rPr>
          <w:rFonts w:ascii="Arial" w:cs="Arial" w:eastAsia="Arial" w:hAnsi="Arial"/>
          <w:sz w:val="18"/>
          <w:szCs w:val="18"/>
          <w:i w:val="1"/>
          <w:iCs w:val="1"/>
          <w:color w:val="auto"/>
        </w:rPr>
        <w:t>Pension and other post-retirement compensation and benefits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Other non-current liabilities </w:t>
      </w:r>
      <w:r>
        <w:rPr>
          <w:rFonts w:ascii="Arial" w:cs="Arial" w:eastAsia="Arial" w:hAnsi="Arial"/>
          <w:sz w:val="18"/>
          <w:szCs w:val="18"/>
          <w:color w:val="auto"/>
        </w:rPr>
        <w:t>in the Consolidated Balance Sheets.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9360" w:firstLine="8"/>
        <w:spacing w:after="0" w:line="276" w:lineRule="auto"/>
        <w:tabs>
          <w:tab w:leader="none" w:pos="405"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Shareholders’ Equity </w:t>
      </w:r>
      <w:r>
        <w:rPr>
          <w:rFonts w:ascii="Arial" w:cs="Arial" w:eastAsia="Arial" w:hAnsi="Arial"/>
          <w:sz w:val="17"/>
          <w:szCs w:val="17"/>
          <w:b w:val="1"/>
          <w:bCs w:val="1"/>
          <w:i w:val="1"/>
          <w:iCs w:val="1"/>
          <w:color w:val="auto"/>
        </w:rPr>
        <w:t>Authorized shares</w:t>
      </w:r>
    </w:p>
    <w:p>
      <w:pPr>
        <w:spacing w:after="0"/>
        <w:rPr>
          <w:rFonts w:ascii="Arial" w:cs="Arial" w:eastAsia="Arial" w:hAnsi="Arial"/>
          <w:sz w:val="17"/>
          <w:szCs w:val="17"/>
          <w:b w:val="1"/>
          <w:bCs w:val="1"/>
          <w:color w:val="auto"/>
        </w:rPr>
      </w:pPr>
      <w:r>
        <w:rPr>
          <w:rFonts w:ascii="Arial" w:cs="Arial" w:eastAsia="Arial" w:hAnsi="Arial"/>
          <w:sz w:val="18"/>
          <w:szCs w:val="18"/>
          <w:color w:val="auto"/>
        </w:rPr>
        <w:t>Our authorized share capital consists of 426.0 million ordinary shares with a par value of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2014, the Board of Directors authorized the repurchase of our ordinary shares up to a maximum dollar limit of $1.0 billion (the “2014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Authorization). On May 8, 2018, the Board of Directors authorized the repurchase of our ordinary shares up to a maximum dollar limit of $750.0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Authorization”), replacing the 2014 Authorization. The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Authorization expires on May 31, 2021.</w:t>
      </w:r>
    </w:p>
    <w:p>
      <w:pPr>
        <w:spacing w:after="0" w:line="15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During the year ended December 31, 2018, we repurchased 10.2 million of our ordinary shares for $500.0 million, of which 2.2 million shares, or $150.0 million, and 8.0 million shares, or $350.0 million, were repurchased pursuant to the 2014 and 2018 Authorizations,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we repurchased 4.0 million of our ordinary shares for $150.0 million pursuant to the 2018 Authorization.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$250.0 million available for share repurchases under the 2018 Authorization.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On December 9, 2019, the Board of Directors approved a 6 percent increase in the company’s regular quarterly dividend rate (from $0.18 per share to $0.19 per share) that was paid on February 7, 2020 to shareholders of record at the close of business on January 24, 2020.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Consolidated Balance Sheets was $32.0 million at December 31, 2019. Dividends paid per ordinary share were $0.72, $1.05 and $1.38 for the years ended December 31, 2019, 2018 and 2017, respectively.</w:t>
      </w:r>
    </w:p>
    <w:p>
      <w:pPr>
        <w:spacing w:after="0" w:line="29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2019, 2018 and 2017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Of the total share-based compensation expense noted above, $3.4 million and $7.6 million for the years ended December 31, 2018 and 2017, respectively, was reported as part of </w:t>
      </w:r>
      <w:r>
        <w:rPr>
          <w:rFonts w:ascii="Arial" w:cs="Arial" w:eastAsia="Arial" w:hAnsi="Arial"/>
          <w:sz w:val="18"/>
          <w:szCs w:val="18"/>
          <w:i w:val="1"/>
          <w:iCs w:val="1"/>
          <w:color w:val="auto"/>
        </w:rPr>
        <w:t>(Loss) income from discontinued operations, net of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plans</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2012, our Board of Directors, and Tyco International Ltd. (“Tyco”) as our sole shareholder at the time, approved the Pentair plc 2012 Stock and Incentive Plan (the “2012 Plan”). The 2012 Plan became effective on September 28, 2012 and authorizes the issuance of 9.0 million of our ordinary shares. The shares may be issued as new shares or from shares held in treasury. Our practice is to settle equity-based awards by issuing new shares. The 2012 Plan terminates in September 2022. The 2012 Plan allows for the granting to our officers, directors, employees and consultants of non-qualified stock options, incentive stock options, stock appreciation rights, performance shares, performance units, restricted shares, restricted stock units, deferred stock rights, annual incentive awards, dividend equivalent units and other equity-based awards.</w:t>
      </w:r>
    </w:p>
    <w:p>
      <w:pPr>
        <w:spacing w:after="0" w:line="1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2012 Plan is administered by our compensation committee (the “Committee”), which is made up of independent members of our Board of Directors. Employees eligible to receive awards under the 2012 Plan are managerial, administrative or other key employees who are in a position to make a material contribution to the continued profitable growth and long-term success of our company. The Committee has the authority to select the recipients of awards, determine the type and size of awards, establish certain terms and conditions of award grants and take certain other actions as permitted under the 2012 Plan. The 2012 Plan prohibits the Committee from re-pricing awards or canceling and reissuing awards at lower prices.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and incentive stock options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2012 Plan, we may grant stock options to any eligible employee with an exercise price equal to the market value of the shares on the dates the options were granted. Options generally vest one-third each year over a period of three years commencing on the grant date and expire 10 years after the grant 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 and restricted stock units</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Under the 2012 Plan, eligible employees may be awarded restricted shares or restricted stock units of our common stock. Restricted shares and restricted stock units generally vest one-third each year over a period of three years commencing on the grant date, subject to continuous employment and certain other conditions. Restricted shares and restricted stock units are valued at market value on the date of grant and are expensed over the vesting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performance shares and performance units</w:t>
      </w:r>
    </w:p>
    <w:p>
      <w:pPr>
        <w:spacing w:after="0" w:line="2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Under the 2012 Plan, the Committee is permitted to issue these awards which are generally earned over a vesting period of three years and tied to specific financial metrics. PSUs are granted to certain employees that vest based on the satisfaction of a service period of three years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financial performance metrics during the vesting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all plans for the year ended December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860" w:type="dxa"/>
            <w:vAlign w:val="bottom"/>
          </w:tcPr>
          <w:p>
            <w:pPr>
              <w:spacing w:after="0"/>
              <w:rPr>
                <w:sz w:val="18"/>
                <w:szCs w:val="18"/>
                <w:color w:val="auto"/>
              </w:rPr>
            </w:pPr>
          </w:p>
        </w:tc>
        <w:tc>
          <w:tcPr>
            <w:tcW w:w="22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exercise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life</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intrinsic</w:t>
            </w:r>
          </w:p>
        </w:tc>
      </w:tr>
      <w:tr>
        <w:trPr>
          <w:trHeight w:val="234"/>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Shares and intrinsic value in millions</w:t>
            </w:r>
          </w:p>
        </w:tc>
        <w:tc>
          <w:tcPr>
            <w:tcW w:w="222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value</w:t>
            </w:r>
          </w:p>
        </w:tc>
      </w:tr>
      <w:tr>
        <w:trPr>
          <w:trHeight w:val="34"/>
        </w:trPr>
        <w:tc>
          <w:tcPr>
            <w:tcW w:w="4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2019</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35.77</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Granted</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39.05</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26.92</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2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44.56</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2019</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60" w:type="dxa"/>
            <w:vAlign w:val="bottom"/>
          </w:tcPr>
          <w:p>
            <w:pPr>
              <w:ind w:left="40"/>
              <w:spacing w:after="0"/>
              <w:rPr>
                <w:sz w:val="20"/>
                <w:szCs w:val="20"/>
                <w:color w:val="auto"/>
              </w:rPr>
            </w:pPr>
            <w:r>
              <w:rPr>
                <w:rFonts w:ascii="Arial" w:cs="Arial" w:eastAsia="Arial" w:hAnsi="Arial"/>
                <w:sz w:val="18"/>
                <w:szCs w:val="18"/>
                <w:color w:val="auto"/>
              </w:rPr>
              <w:t>Options exercisable as of December 31, 2019</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36.08</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expected to vest as of December 31, 2019</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41.35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48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options granted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weighted average grant date fair value of options granted under Pentair plans in 2019, 2018 and 2017 was estimated to be $8.86, $10.92 and $12.59 per share, respectively. The total intrinsic value of options that were exercised during 2019, 2018 and 2017 was $9.5 million, $18.2 million and $34.3 million, respectively. At December 31, 2019, the total unrecognized compensation cost related to stock options was $4.0 million. This cost is expected to be recognized over a weighted average period of 1.7 years.</w:t>
      </w:r>
    </w:p>
    <w:p>
      <w:pPr>
        <w:spacing w:after="0" w:line="13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0225"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ind w:left="7180"/>
              <w:spacing w:after="0"/>
              <w:rPr>
                <w:sz w:val="20"/>
                <w:szCs w:val="20"/>
                <w:color w:val="auto"/>
              </w:rPr>
            </w:pPr>
            <w:r>
              <w:rPr>
                <w:rFonts w:ascii="Arial" w:cs="Arial" w:eastAsia="Arial" w:hAnsi="Arial"/>
                <w:sz w:val="18"/>
                <w:szCs w:val="18"/>
                <w:b w:val="1"/>
                <w:bCs w:val="1"/>
                <w:color w:val="auto"/>
                <w:w w:val="94"/>
              </w:rPr>
              <w:t>2019</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34"/>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3"/>
              </w:rPr>
              <w:t>2.89%</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7"/>
              </w:rPr>
              <w:t>2.58%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1640" w:type="dxa"/>
            <w:vAlign w:val="bottom"/>
          </w:tcPr>
          <w:p>
            <w:pPr>
              <w:jc w:val="right"/>
              <w:ind w:right="1050"/>
              <w:spacing w:after="0"/>
              <w:rPr>
                <w:sz w:val="20"/>
                <w:szCs w:val="20"/>
                <w:color w:val="auto"/>
              </w:rPr>
            </w:pPr>
            <w:r>
              <w:rPr>
                <w:rFonts w:ascii="Arial" w:cs="Arial" w:eastAsia="Arial" w:hAnsi="Arial"/>
                <w:sz w:val="18"/>
                <w:szCs w:val="18"/>
                <w:color w:val="auto"/>
                <w:w w:val="93"/>
              </w:rPr>
              <w:t>1.78%</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w w:val="97"/>
              </w:rPr>
              <w:t>1.56%</w:t>
            </w: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164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3"/>
              </w:rPr>
              <w:t>23.3%</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7"/>
              </w:rPr>
              <w:t>24.8%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ind w:right="1190"/>
              <w:spacing w:after="0"/>
              <w:rPr>
                <w:sz w:val="20"/>
                <w:szCs w:val="20"/>
                <w:color w:val="auto"/>
              </w:rPr>
            </w:pPr>
            <w:r>
              <w:rPr>
                <w:rFonts w:ascii="Arial" w:cs="Arial" w:eastAsia="Arial" w:hAnsi="Arial"/>
                <w:sz w:val="18"/>
                <w:szCs w:val="18"/>
                <w:color w:val="auto"/>
              </w:rPr>
              <w:t>6.1</w:t>
            </w:r>
          </w:p>
        </w:tc>
        <w:tc>
          <w:tcPr>
            <w:tcW w:w="880" w:type="dxa"/>
            <w:vAlign w:val="bottom"/>
          </w:tcPr>
          <w:p>
            <w:pPr>
              <w:jc w:val="right"/>
              <w:ind w:right="430"/>
              <w:spacing w:after="0"/>
              <w:rPr>
                <w:sz w:val="20"/>
                <w:szCs w:val="20"/>
                <w:color w:val="auto"/>
              </w:rPr>
            </w:pPr>
            <w:r>
              <w:rPr>
                <w:rFonts w:ascii="Arial" w:cs="Arial" w:eastAsia="Arial" w:hAnsi="Arial"/>
                <w:sz w:val="18"/>
                <w:szCs w:val="18"/>
                <w:color w:val="auto"/>
              </w:rPr>
              <w:t>6.1</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6.3</w:t>
            </w:r>
          </w:p>
        </w:tc>
      </w:tr>
    </w:tbl>
    <w:p>
      <w:pPr>
        <w:spacing w:after="0" w:line="39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based the expected life assumption on historical experience as well as the terms and vesting periods of the options granted. For purposes of determining expected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Cash received from option exercises for the years ended December 31, 2019, 2018 and 2017 was $15.5 million, $19.5 million and $46.0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actual tax benefit realized for the tax deductions from option exercised totaled $2.8 million, $5.6 million and $7.8 million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under all plans for the year ended December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5840" w:type="dxa"/>
            <w:vAlign w:val="bottom"/>
          </w:tcPr>
          <w:p>
            <w:pPr>
              <w:spacing w:after="0"/>
              <w:rPr>
                <w:sz w:val="18"/>
                <w:szCs w:val="18"/>
                <w:color w:val="auto"/>
              </w:rPr>
            </w:pPr>
          </w:p>
        </w:tc>
        <w:tc>
          <w:tcPr>
            <w:tcW w:w="410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grant date</w:t>
            </w:r>
          </w:p>
        </w:tc>
      </w:tr>
      <w:tr>
        <w:trPr>
          <w:trHeight w:val="234"/>
        </w:trPr>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Shares in millions</w:t>
            </w:r>
          </w:p>
        </w:tc>
        <w:tc>
          <w:tcPr>
            <w:tcW w:w="410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fair value</w:t>
            </w:r>
          </w:p>
        </w:tc>
      </w:tr>
      <w:tr>
        <w:trPr>
          <w:trHeight w:val="34"/>
        </w:trPr>
        <w:tc>
          <w:tcPr>
            <w:tcW w:w="58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2019</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41.74</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Granted</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41.08</w:t>
            </w:r>
          </w:p>
        </w:tc>
      </w:tr>
      <w:tr>
        <w:trPr>
          <w:trHeight w:val="27"/>
        </w:trPr>
        <w:tc>
          <w:tcPr>
            <w:tcW w:w="5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 2019</w:t>
            </w:r>
          </w:p>
        </w:tc>
        <w:tc>
          <w:tcPr>
            <w:tcW w:w="4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42.16</w:t>
            </w:r>
          </w:p>
        </w:tc>
      </w:tr>
      <w:tr>
        <w:trPr>
          <w:trHeight w:val="27"/>
        </w:trPr>
        <w:tc>
          <w:tcPr>
            <w:tcW w:w="58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2019, there was $20.5 million of unrecognized compensation cost related to restricted share compensation arrangements granted under the 2012 Plan and previous plans. That cost is expected to be recognized over a weighted-average period of 1.1 years. The total fair value of shares vested during the years ended December 31, 2019, 2018 and 2017, was $9.3 million, $24.4 million and $21.7 million, respectively. The actual tax benefit realized for the year ended December 31, 2019 and 2018 was $0.1 million and $0.7 million, respectively. There were no actual tax benefits realized for the year ended December 31,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share unit activity under all plans for the year ended December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8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5840" w:type="dxa"/>
            <w:vAlign w:val="bottom"/>
          </w:tcPr>
          <w:p>
            <w:pPr>
              <w:spacing w:after="0"/>
              <w:rPr>
                <w:sz w:val="18"/>
                <w:szCs w:val="18"/>
                <w:color w:val="auto"/>
              </w:rPr>
            </w:pPr>
          </w:p>
        </w:tc>
        <w:tc>
          <w:tcPr>
            <w:tcW w:w="406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grant date</w:t>
            </w:r>
          </w:p>
        </w:tc>
      </w:tr>
      <w:tr>
        <w:trPr>
          <w:trHeight w:val="234"/>
        </w:trPr>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Shares in millions</w:t>
            </w:r>
          </w:p>
        </w:tc>
        <w:tc>
          <w:tcPr>
            <w:tcW w:w="406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fair value</w:t>
            </w:r>
          </w:p>
        </w:tc>
      </w:tr>
      <w:tr>
        <w:trPr>
          <w:trHeight w:val="34"/>
        </w:trPr>
        <w:tc>
          <w:tcPr>
            <w:tcW w:w="5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2019</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Granted</w:t>
            </w:r>
          </w:p>
        </w:tc>
        <w:tc>
          <w:tcPr>
            <w:tcW w:w="40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38.60</w:t>
            </w:r>
          </w:p>
        </w:tc>
      </w:tr>
      <w:tr>
        <w:trPr>
          <w:trHeight w:val="27"/>
        </w:trPr>
        <w:tc>
          <w:tcPr>
            <w:tcW w:w="5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2019</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r>
      <w:tr>
        <w:trPr>
          <w:trHeight w:val="20"/>
        </w:trPr>
        <w:tc>
          <w:tcPr>
            <w:tcW w:w="584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expense recognized each period is dependent upon our estimate of the number of shares that will ultimately be issued. As of December 31, 2019, there was $8.7 million of unrecognized compensation cost related to performance share compensation arrangements granted under the 2012 Plan and previous plans. That cost is expected to be recognized over a weighted-average period of 1.7 years. There were $0.2 million of actual tax benefits realized for both of the years ended December 31, 2019 and 2018. There were no actual tax benefits realized for the year ended December 31,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the Separation and Distribution, the Company adjusted its outstanding equity awards on May 1, 2018 in accordance with the Employee Matters Agreement between Pentair and nVent. The outstanding awards will continue to vest over the original vesting period, which is generally three years from the grant date.</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RSUs, PSUs, and stock option awards issued before May 9, 2017 (the date of Pentair’s announcement of its intention to separate its Water and Electrical businesses) were converted into awards of both Pentair and nVent regardless of which company the award holder was employed by immediately after the Separation. These awards were converted as follows:</w:t>
      </w:r>
    </w:p>
    <w:p>
      <w:pPr>
        <w:spacing w:after="0" w:line="18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For every unvested Pentair RSU award held, the holder received one nVent RSU.</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left="660" w:right="700" w:hanging="328"/>
        <w:spacing w:after="0" w:line="312" w:lineRule="auto"/>
        <w:tabs>
          <w:tab w:leader="none" w:pos="66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 units</w:t>
      </w:r>
      <w:r>
        <w:rPr>
          <w:rFonts w:ascii="Arial" w:cs="Arial" w:eastAsia="Arial" w:hAnsi="Arial"/>
          <w:sz w:val="16"/>
          <w:szCs w:val="16"/>
          <w:color w:val="auto"/>
        </w:rPr>
        <w:t>: Pentair PSUs were converted to Pentair RSUs immediately after the Distribution. The PSUs granted in 2016 were</w:t>
      </w:r>
      <w:r>
        <w:rPr>
          <w:rFonts w:ascii="Arial" w:cs="Arial" w:eastAsia="Arial" w:hAnsi="Arial"/>
          <w:sz w:val="16"/>
          <w:szCs w:val="16"/>
          <w:i w:val="1"/>
          <w:iCs w:val="1"/>
          <w:color w:val="auto"/>
        </w:rPr>
        <w:t xml:space="preserve"> </w:t>
      </w:r>
      <w:r>
        <w:rPr>
          <w:rFonts w:ascii="Arial" w:cs="Arial" w:eastAsia="Arial" w:hAnsi="Arial"/>
          <w:sz w:val="16"/>
          <w:szCs w:val="16"/>
          <w:color w:val="auto"/>
        </w:rPr>
        <w:t>converted at rate of 125% of target, and the PSUs granted in 2017 were converted at a rate of 100% of target. For every converted RSU, the shareholder also received one nVent RSU. The converted RSUs retain the original vesting schedule of the awarded PSUs.</w:t>
      </w:r>
    </w:p>
    <w:p>
      <w:pPr>
        <w:spacing w:after="0" w:line="146" w:lineRule="exact"/>
        <w:rPr>
          <w:rFonts w:ascii="Arial" w:cs="Arial" w:eastAsia="Arial" w:hAnsi="Arial"/>
          <w:sz w:val="16"/>
          <w:szCs w:val="16"/>
          <w:i w:val="1"/>
          <w:iCs w:val="1"/>
          <w:color w:val="auto"/>
        </w:rPr>
      </w:pPr>
    </w:p>
    <w:p>
      <w:pPr>
        <w:ind w:left="660" w:right="60" w:hanging="328"/>
        <w:spacing w:after="0" w:line="276" w:lineRule="auto"/>
        <w:tabs>
          <w:tab w:leader="none" w:pos="660" w:val="left"/>
        </w:tabs>
        <w:numPr>
          <w:ilvl w:val="0"/>
          <w:numId w:val="6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Every holder of unexercised (vested and unvested) Pentair stock options received both adjusted stock options of Pentair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of nVent, with the number of underlying shares and the exercise price adjusted accordingly to preserve the overall intrinsic value of the awards. The number of Pentair stock options was converted based upon the ratio of Pentair’s pre-Distribution stock price divided by the sum of the Pentair and nVent post-Distribution closing prices. The exercise price for the converted Pentair stock options was adjusted based on the Pentair post-Distribution closing price divided by the Pentair pre-Distribution closing price.</w:t>
      </w:r>
    </w:p>
    <w:p>
      <w:pPr>
        <w:spacing w:after="0" w:line="173"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The number of new nVent stock options awarded is the same as the converted number of Pentair stock options calculated as described above. The exercise price for the new nVent stock options was calculated based on nVent’s post-Distribution closing price divided by the Pentair pre-Distribution closing price.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unvested awards issued after May 9, 2017 were converted to awards of the Company that the shareholder was employed by immediately after the Separation, with adjustments to the number of underlying shares as appropriate to preserve the intrinsic value of such awards immediately prior to the Distribution. The adjustment of the underlying shares was based on the ratio of Pentair’s pre-Distribution stock price divided by the post-Distribution closing price of the respective company’s ordinary shares. The exercise prices of the stock options were converted using the inverse ratio in a manner designed to preserve the intrinsic value of such awards.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operations into the following business segments:</w:t>
      </w:r>
    </w:p>
    <w:p>
      <w:pPr>
        <w:spacing w:after="0" w:line="157" w:lineRule="exact"/>
        <w:rPr>
          <w:sz w:val="20"/>
          <w:szCs w:val="20"/>
          <w:color w:val="auto"/>
        </w:rPr>
      </w:pPr>
    </w:p>
    <w:p>
      <w:pPr>
        <w:ind w:left="660" w:right="760" w:hanging="328"/>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18"/>
          <w:szCs w:val="18"/>
          <w:color w:val="auto"/>
        </w:rPr>
        <w:t>- 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32"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18"/>
          <w:szCs w:val="18"/>
          <w:color w:val="auto"/>
        </w:rPr>
        <w:t>- 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134"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18"/>
          <w:szCs w:val="18"/>
          <w:color w:val="auto"/>
        </w:rPr>
        <w:t>- This segment manufactures and sells products ranging from light duty diaphragm pumps to high-flow turbine pumps and solid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13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segment is included in the following summary: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34"/>
        </w:trPr>
        <w:tc>
          <w:tcPr>
            <w:tcW w:w="3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Net sales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Segment income (loss)</w:t>
            </w:r>
          </w:p>
        </w:tc>
        <w:tc>
          <w:tcPr>
            <w:tcW w:w="1020" w:type="dxa"/>
            <w:vAlign w:val="bottom"/>
          </w:tcPr>
          <w:p>
            <w:pPr>
              <w:spacing w:after="0"/>
              <w:rPr>
                <w:sz w:val="21"/>
                <w:szCs w:val="21"/>
                <w:color w:val="auto"/>
              </w:rPr>
            </w:pPr>
          </w:p>
        </w:tc>
      </w:tr>
      <w:tr>
        <w:trPr>
          <w:trHeight w:val="34"/>
        </w:trPr>
        <w:tc>
          <w:tcPr>
            <w:tcW w:w="3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1,066.9</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1,001.0</w:t>
            </w: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171.3</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154.5</w:t>
            </w: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3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08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Consolidated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536.8</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40" w:hanging="328"/>
        <w:spacing w:after="0" w:line="216" w:lineRule="auto"/>
        <w:tabs>
          <w:tab w:leader="none" w:pos="66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color w:val="auto"/>
        </w:rPr>
        <w:t>One customer in the Aquatic Systems segment, Pool Corporation, represented approximately 15% of our consolidated net sales in 2019, 2018 and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34"/>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spacing w:after="0" w:line="270" w:lineRule="exact"/>
              <w:rPr>
                <w:sz w:val="20"/>
                <w:szCs w:val="20"/>
                <w:color w:val="auto"/>
              </w:rPr>
            </w:pPr>
            <w:r>
              <w:rPr>
                <w:rFonts w:ascii="Arial" w:cs="Arial" w:eastAsia="Arial" w:hAnsi="Arial"/>
                <w:sz w:val="18"/>
                <w:szCs w:val="18"/>
                <w:b w:val="1"/>
                <w:bCs w:val="1"/>
                <w:color w:val="auto"/>
              </w:rPr>
              <w:t xml:space="preserve">Identifiable assets </w:t>
            </w:r>
            <w:r>
              <w:rPr>
                <w:rFonts w:ascii="Arial" w:cs="Arial" w:eastAsia="Arial" w:hAnsi="Arial"/>
                <w:sz w:val="25"/>
                <w:szCs w:val="25"/>
                <w:b w:val="1"/>
                <w:bCs w:val="1"/>
                <w:color w:val="auto"/>
                <w:vertAlign w:val="superscript"/>
              </w:rPr>
              <w:t>(1)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Capital expenditures</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Depreciation</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1,323.0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1,552.6</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1,232.4</w:t>
            </w:r>
          </w:p>
        </w:tc>
        <w:tc>
          <w:tcPr>
            <w:tcW w:w="3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1,333.3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1,010.8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246.8</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266.3</w:t>
            </w:r>
          </w:p>
        </w:tc>
        <w:tc>
          <w:tcPr>
            <w:tcW w:w="3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4,966.6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8,633.7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0"/>
        </w:trPr>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680" w:hanging="348"/>
        <w:spacing w:after="0"/>
        <w:tabs>
          <w:tab w:leader="none" w:pos="68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All cash and cash equivalents and assets held for sale are included in “Other.”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7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34"/>
        </w:trPr>
        <w:tc>
          <w:tcPr>
            <w:tcW w:w="5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step-up</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Intangible amortization</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mark-to-market gain (loss)</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Trade name and other impairment</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of businesses</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Corporate allocations</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 related costs and expenses</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8440" w:firstLine="8"/>
        <w:spacing w:after="0" w:line="261" w:lineRule="auto"/>
        <w:tabs>
          <w:tab w:leader="none" w:pos="40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ind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We determine if an arrangement is a lease at inception. Our lease portfolio principally consists of operating leases related to facilities, machinery, equipment and vehicles. Our lease terms do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The components of lease cost was as follows:</w:t>
            </w: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8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8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10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0"/>
        </w:trPr>
        <w:tc>
          <w:tcPr>
            <w:tcW w:w="8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96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8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8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91.1</w:t>
            </w:r>
          </w:p>
        </w:tc>
      </w:tr>
      <w:tr>
        <w:trPr>
          <w:trHeight w:val="459"/>
        </w:trPr>
        <w:tc>
          <w:tcPr>
            <w:tcW w:w="896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0"/>
        </w:trPr>
        <w:tc>
          <w:tcPr>
            <w:tcW w:w="8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of operating leases</w:t>
            </w:r>
          </w:p>
        </w:tc>
        <w:tc>
          <w:tcPr>
            <w:tcW w:w="1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5.2</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Weighted-average discount rate of operating leases</w:t>
            </w:r>
          </w:p>
        </w:tc>
        <w:tc>
          <w:tcPr>
            <w:tcW w:w="1040" w:type="dxa"/>
            <w:vAlign w:val="bottom"/>
          </w:tcPr>
          <w:p>
            <w:pPr>
              <w:spacing w:after="0"/>
              <w:rPr>
                <w:sz w:val="21"/>
                <w:szCs w:val="21"/>
                <w:color w:val="auto"/>
              </w:rPr>
            </w:pPr>
          </w:p>
        </w:tc>
        <w:tc>
          <w:tcPr>
            <w:tcW w:w="1420" w:type="dxa"/>
            <w:vAlign w:val="bottom"/>
          </w:tcPr>
          <w:p>
            <w:pPr>
              <w:ind w:left="1000"/>
              <w:spacing w:after="0"/>
              <w:rPr>
                <w:sz w:val="20"/>
                <w:szCs w:val="20"/>
                <w:color w:val="auto"/>
              </w:rPr>
            </w:pPr>
            <w:r>
              <w:rPr>
                <w:rFonts w:ascii="Arial" w:cs="Arial" w:eastAsia="Arial" w:hAnsi="Arial"/>
                <w:sz w:val="18"/>
                <w:szCs w:val="18"/>
                <w:color w:val="auto"/>
                <w:w w:val="97"/>
              </w:rPr>
              <w:t>6.3%</w:t>
            </w:r>
          </w:p>
        </w:tc>
      </w:tr>
      <w:tr>
        <w:trPr>
          <w:trHeight w:val="675"/>
        </w:trPr>
        <w:tc>
          <w:tcPr>
            <w:tcW w:w="8960" w:type="dxa"/>
            <w:vAlign w:val="bottom"/>
          </w:tcPr>
          <w:p>
            <w:pPr>
              <w:spacing w:after="0"/>
              <w:rPr>
                <w:sz w:val="20"/>
                <w:szCs w:val="20"/>
                <w:color w:val="auto"/>
              </w:rPr>
            </w:pPr>
            <w:r>
              <w:rPr>
                <w:rFonts w:ascii="Arial" w:cs="Arial" w:eastAsia="Arial" w:hAnsi="Arial"/>
                <w:sz w:val="18"/>
                <w:szCs w:val="18"/>
                <w:color w:val="auto"/>
                <w:w w:val="94"/>
              </w:rPr>
              <w:t>Future minimum lease commitments under non-cancelable operating leases as of December 31, 2019 were as follows:</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8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Operating Leases</w:t>
            </w:r>
          </w:p>
        </w:tc>
      </w:tr>
      <w:tr>
        <w:trPr>
          <w:trHeight w:val="27"/>
        </w:trPr>
        <w:tc>
          <w:tcPr>
            <w:tcW w:w="8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2021</w:t>
            </w:r>
          </w:p>
        </w:tc>
        <w:tc>
          <w:tcPr>
            <w:tcW w:w="10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8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2023</w:t>
            </w:r>
          </w:p>
        </w:tc>
        <w:tc>
          <w:tcPr>
            <w:tcW w:w="10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8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8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0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8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20"/>
        </w:trPr>
        <w:tc>
          <w:tcPr>
            <w:tcW w:w="8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Future minimum lease commitments under non-cancelable operating leases based on accounting standards applicable as of December 31,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50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5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2020</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2022</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5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5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4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ectPr>
          <w:pgSz w:w="11900" w:h="16838" w:orient="portrait"/>
          <w:cols w:equalWidth="0" w:num="1">
            <w:col w:w="11420"/>
          </w:cols>
          <w:pgMar w:left="240" w:top="125"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service and product warranties for the years ended December 31, 2019, 2018 and 2017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In certain situations,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December 31, 2019 and 2018, the outstanding value of bonds, letters of credit and bank guarantees totaled $91.3 million and $123.6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addition to the matters described above, from time to time, we are subject to disputes, administrative proceedings and other claims relating to the conduct of our business. These matters include, without limitation, claims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 On the basis of information currently available to it, management does not believe that existing proceedings and claims will have a material impact on our Consolidated Financial Statements. However, litigation is unpredictable, and we could incur judgments or enter into settlements for current or future claims that could adversely affect our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2019 and 2018 quarterly financial information: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6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5"/>
        </w:trPr>
        <w:tc>
          <w:tcPr>
            <w:tcW w:w="6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First</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Second</w:t>
            </w:r>
          </w:p>
        </w:tc>
        <w:tc>
          <w:tcPr>
            <w:tcW w:w="160" w:type="dxa"/>
            <w:vAlign w:val="bottom"/>
          </w:tcPr>
          <w:p>
            <w:pPr>
              <w:spacing w:after="0"/>
              <w:rPr>
                <w:sz w:val="19"/>
                <w:szCs w:val="19"/>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Full</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r>
      <w:tr>
        <w:trPr>
          <w:trHeight w:val="34"/>
        </w:trPr>
        <w:tc>
          <w:tcPr>
            <w:tcW w:w="6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2,957.2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255.0</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1,051.5</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361.7</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355.7</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Earnings (loss) per ordinary share </w:t>
            </w:r>
            <w:r>
              <w:rPr>
                <w:rFonts w:ascii="Arial" w:cs="Arial" w:eastAsia="Arial" w:hAnsi="Arial"/>
                <w:sz w:val="25"/>
                <w:szCs w:val="25"/>
                <w:b w:val="1"/>
                <w:bCs w:val="1"/>
                <w:color w:val="auto"/>
                <w:vertAlign w:val="superscript"/>
              </w:rPr>
              <w:t>(1)</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6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6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460" w:hanging="328"/>
        <w:spacing w:after="0" w:line="216" w:lineRule="auto"/>
        <w:tabs>
          <w:tab w:leader="none" w:pos="660" w:val="left"/>
        </w:tabs>
        <w:numPr>
          <w:ilvl w:val="0"/>
          <w:numId w:val="74"/>
        </w:numPr>
        <w:rPr>
          <w:rFonts w:ascii="Arial" w:cs="Arial" w:eastAsia="Arial" w:hAnsi="Arial"/>
          <w:sz w:val="25"/>
          <w:szCs w:val="25"/>
          <w:color w:val="auto"/>
          <w:vertAlign w:val="superscript"/>
        </w:rPr>
      </w:pPr>
      <w:r>
        <w:rPr>
          <w:rFonts w:ascii="Arial" w:cs="Arial" w:eastAsia="Arial" w:hAnsi="Arial"/>
          <w:sz w:val="18"/>
          <w:szCs w:val="18"/>
          <w:color w:val="auto"/>
        </w:rPr>
        <w:t>Amounts may not total to annual earnings because each quarter and year are calculated separately based on basic and diluted weighted-average ordinary shares outstanding during that period.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5"/>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Second</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Full</w:t>
            </w:r>
          </w:p>
        </w:tc>
      </w:tr>
      <w:tr>
        <w:trPr>
          <w:trHeight w:val="234"/>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Quarter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Quarter</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r>
      <w:tr>
        <w:trPr>
          <w:trHeight w:val="34"/>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253.3</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282.6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268.0</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1,047.7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321.7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110.1</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347.4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Earnings (loss) per ordinary share </w:t>
            </w:r>
            <w:r>
              <w:rPr>
                <w:rFonts w:ascii="Arial" w:cs="Arial" w:eastAsia="Arial" w:hAnsi="Arial"/>
                <w:sz w:val="25"/>
                <w:szCs w:val="25"/>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Includes decrease of $17.1 million related to loss on early extinguishment of debt.</w:t>
      </w:r>
    </w:p>
    <w:p>
      <w:pPr>
        <w:spacing w:after="0" w:line="1" w:lineRule="exact"/>
        <w:rPr>
          <w:rFonts w:ascii="Arial" w:cs="Arial" w:eastAsia="Arial" w:hAnsi="Arial"/>
          <w:sz w:val="25"/>
          <w:szCs w:val="25"/>
          <w:color w:val="auto"/>
          <w:vertAlign w:val="superscript"/>
        </w:rPr>
      </w:pPr>
    </w:p>
    <w:p>
      <w:pPr>
        <w:ind w:left="660" w:right="460" w:hanging="328"/>
        <w:spacing w:after="0" w:line="208" w:lineRule="auto"/>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Amounts may not total to annual earnings because each quarter and year are calculated separately based on basic and diluted weighted-average ordinary shares outstanding during that period.</w:t>
      </w:r>
    </w:p>
    <w:p>
      <w:pPr>
        <w:sectPr>
          <w:pgSz w:w="11900" w:h="16838" w:orient="portrait"/>
          <w:cols w:equalWidth="0" w:num="1">
            <w:col w:w="11420"/>
          </w:cols>
          <w:pgMar w:left="240" w:top="125"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Supplemental Guarantor Information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Pentair plc (the “Parent Company Guarantor”) and Pentair Investments Switzerland GmbH (the “Subsidiary Guarantor”), fully and unconditionally, guarantee the Notes of Pentair Finance S.à r.l. (the “Subsidiary Issuer”). The Subsidiary Guarantor is a Switzerland limited liability company formed in April 2014 and 100 percent-owned subsidiary of the Parent Company Guarantor. The Subsidiary Issuer is a Luxembourg public limited liability company formed in January 2012 and 100 percent-owned subsidiary of the Subsidiary Guarantor. The guarantees provided by the Parent Company Guarantor and Subsidiary Guarantor are joint and several.</w:t>
      </w:r>
    </w:p>
    <w:p>
      <w:pPr>
        <w:spacing w:after="0" w:line="13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 of Operations and Comprehensive Income and Condensed Consolidating Statement of Cash Flows for the years ended December 31, 2019, 2018 and 2017 and Condensed Consolidating Balance Sheet as of December 31, 2019 and 2018. Condensed Consolidating financial information for Pentair plc, Pentair Investments Switzerland GmbH and Pentair Finance S.à r.l. on a stand-alone basis is presented using the equity method of accounting for subsidiaries.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5" w:right="2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2,957.2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2,957.2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1,905.7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1,905.7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526.2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540.1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374.2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428.0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(1,132.7)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(loss) from continuing</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374.2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382.2</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(1,132.7)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Loss from discontinued operations, net of</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(Loss) earnings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357.8</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91"/>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Parent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Company</w:t>
            </w:r>
          </w:p>
        </w:tc>
        <w:tc>
          <w:tcPr>
            <w:tcW w:w="24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Subsidiary</w:t>
            </w:r>
          </w:p>
        </w:tc>
        <w:tc>
          <w:tcPr>
            <w:tcW w:w="1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Guarantor</w:t>
            </w:r>
          </w:p>
        </w:tc>
        <w:tc>
          <w:tcPr>
            <w:tcW w:w="24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Guarantor</w:t>
            </w:r>
          </w:p>
        </w:tc>
        <w:tc>
          <w:tcPr>
            <w:tcW w:w="18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502.9</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377.4</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99.1</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w w:val="98"/>
              </w:rPr>
              <w:t>Property, plant and equipment,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283.2</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1,904.5</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1,904.0</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2,789.6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(6,598.1)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339.2</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2,015.1</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1,904.9</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4,068.3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2,781.6</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(7,975.5)</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2,794.4</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4,139.5</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325.1</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Employee compensation and benefits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299.8</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352.9</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1,029.1</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96.4</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206.7</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2,185.6</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1,953.9</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1,904.5</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2,789.8</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(6,598.1)</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1,953.9</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4,139.5</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953"/>
        </w:trPr>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Subsidiary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24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24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(1,096.7)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353.0</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Proceeds from sale of businesses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(309.9)</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365.8</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32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for) provided by</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3240" w:type="dxa"/>
            <w:vAlign w:val="bottom"/>
          </w:tcPr>
          <w:p>
            <w:pPr>
              <w:ind w:left="5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(309.9)</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(128.3)</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365.8</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(331.9)</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rPr>
              <w:t>Net receipts of commercial paper and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240" w:type="dxa"/>
            <w:vAlign w:val="bottom"/>
          </w:tcPr>
          <w:p>
            <w:pPr>
              <w:ind w:left="200"/>
              <w:spacing w:after="0"/>
              <w:rPr>
                <w:sz w:val="20"/>
                <w:szCs w:val="20"/>
                <w:color w:val="auto"/>
              </w:rPr>
            </w:pPr>
            <w:r>
              <w:rPr>
                <w:rFonts w:ascii="Arial" w:cs="Arial" w:eastAsia="Arial" w:hAnsi="Arial"/>
                <w:sz w:val="18"/>
                <w:szCs w:val="18"/>
                <w:color w:val="auto"/>
              </w:rPr>
              <w:t>revolving long-term debt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Repayment of long-term debt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advances to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730.9</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w w:val="93"/>
              </w:rPr>
              <w:t>Shares issued to employees, net of shares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24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ordinary shares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32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for) provided by</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324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(211.2)</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730.9</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1"/>
              </w:rPr>
              <w:t>Effect of exchange rate changes on cash</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9"/>
              </w:rPr>
              <w:t>Change in cash and cash equivalents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1"/>
              </w:rPr>
              <w:t>Cash and cash equivalents, beginning of</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year</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Cash and cash equivalents, end of year</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r>
      <w:tr>
        <w:trPr>
          <w:trHeight w:val="27"/>
        </w:trPr>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91"/>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Subsidiary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1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1,917.4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1,917.4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534.3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450.6</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436.7</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(Earnings) loss from continuing operations of</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subsidiaries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1,043.4</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income (loss)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1"/>
              </w:rPr>
              <w:t>Income from discontinued operations, net of tax</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discontinued operations of</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2"/>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subsidiaries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347.4</w:t>
            </w:r>
          </w:p>
        </w:tc>
      </w:tr>
      <w:tr>
        <w:trPr>
          <w:trHeight w:val="67"/>
        </w:trPr>
        <w:tc>
          <w:tcPr>
            <w:tcW w:w="35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net of tax</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347.4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359.2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(1,120.5)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347.4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Changes in cumulative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3"/>
              </w:rPr>
              <w:t>Changes in market value of derivative financial</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instruments, net of tax</w:t>
            </w:r>
          </w:p>
        </w:tc>
        <w:tc>
          <w:tcPr>
            <w:tcW w:w="1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488.2</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272.6</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1,903.8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2,036.1</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2,675.7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(6,615.6)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2,036.1</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3,078.7</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(7,919.2)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2,494.5</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378.6</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89"/>
              </w:rPr>
              <w:t>Pension and other post-retirement compensation</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and benefits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1,970.4</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1,836.1</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1,903.8</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2,676.0</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(6,615.6)</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953"/>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85</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4"/>
              </w:rPr>
              <w:t>Net cash provided by (used for) operating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540"/>
              <w:spacing w:after="0"/>
              <w:rPr>
                <w:sz w:val="20"/>
                <w:szCs w:val="20"/>
                <w:color w:val="auto"/>
              </w:rPr>
            </w:pPr>
            <w:r>
              <w:rPr>
                <w:rFonts w:ascii="Arial" w:cs="Arial" w:eastAsia="Arial" w:hAnsi="Arial"/>
                <w:sz w:val="18"/>
                <w:szCs w:val="18"/>
                <w:color w:val="auto"/>
              </w:rPr>
              <w:t>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637.7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439.1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Proceeds from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Payments due to sale of businesses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1,655.7</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(1,930.8)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cash provided by (used for) investing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activities of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4"/>
              </w:rPr>
              <w:t>Net cash used for investing activities from</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54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cash provided by (used for) investing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receipts (repayments) of commercial paper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revolving long-term debt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Repayment of long-term debt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(675.1)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Premium paid on early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Distribution of cash from nVent, net of cash</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transferred</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993.6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919.4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advances to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Shares issued to employees, net of shares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withheld</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ordinary shares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(187.2)</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35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95"/>
              </w:rPr>
              <w:t>Net cash provided by (used for) financing</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540" w:type="dxa"/>
            <w:vAlign w:val="bottom"/>
          </w:tcPr>
          <w:p>
            <w:pPr>
              <w:ind w:left="5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(532.2)</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3,128.4</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(407.9)</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cash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25"/>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w w:val="90"/>
              </w:rPr>
              <w:t>Effect of exchange rate changes on cash and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540" w:type="dxa"/>
            <w:vAlign w:val="bottom"/>
          </w:tcPr>
          <w:p>
            <w:pPr>
              <w:ind w:left="20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w w:val="88"/>
              </w:rPr>
              <w:t>Cash and cash equivalents, beginning of year</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1,858.2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1,858.2</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526.4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536.0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371.3</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371.3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Gain from sale of discontinued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552.4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(1,657.2)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(1,492.5)</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497.5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1,167.0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(3,663.7)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1,159.4</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29"/>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656.2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794.6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(2,185.0)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620.2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w w:val="88"/>
              </w:rPr>
              <w:t>Proceeds from sale of businesses and other</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2,765.6</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2,759.4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3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 of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2,678.1</w:t>
            </w: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w w:val="95"/>
              </w:rPr>
              <w:t>Net cash used for investing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of discontinued 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for) provided by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(repayments) receipts of commercial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paper and revolving 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(913.1)</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(1,917.8)</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(2,009.3)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Premium paid on early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extinguishment of debt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w w:val="99"/>
              </w:rPr>
              <w:t>Net change in advances to subsidiaries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(617.2)</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(680.8)</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(840.5)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2,402.3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Shares issued to employees, net of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withheld</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Repurchases of ordinary shares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for) provided by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Change in cash held for sale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Effect of exchange rate changes on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Change in cash and cash equivalents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Cash and cash equivalents, beginning of</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2"/>
              </w:rPr>
              <w:t>Cash and cash equivalents, end of year</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ind w:right="1200"/>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the design and operation of our disclosure controls and procedures as of the end of the year ended December 31, 2019, pursuant to Rule 13a-15(b) of the Securities Exchange Act of 1934 (“the Exchange Act”). Based upon their evaluation, our Chief Executive Officer and our Chief Financial Officer concluded that our disclosure controls and procedures were effective as of the year ended December 31, 2019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report of management required under this ITEM 9A is contained in ITEM 8 of this Annual Report on Form 10-K under the caption “Management’s Report on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Form 10-K under the caption “Report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2019 that has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53"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Information required under this item with respect to directors is contained in our Proxy Statement for our 2020 annual general meeting of shareholders under the captions “Corporate Governance Matters” and “Proposal 1 Re-elect Director Nominees” and is incorporated herein by reference.</w:t>
      </w:r>
    </w:p>
    <w:p>
      <w:pPr>
        <w:spacing w:after="0" w:line="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required under this item with respect to executive officers is contained in Part I of this Form 10-K under the caption “Information About Our Executive Officers.”</w:t>
      </w:r>
    </w:p>
    <w:p>
      <w:pPr>
        <w:spacing w:after="0" w:line="1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Arial" w:cs="Arial" w:eastAsia="Arial" w:hAnsi="Arial"/>
          <w:sz w:val="16"/>
          <w:szCs w:val="16"/>
          <w:u w:val="single" w:color="auto"/>
          <w:color w:val="auto"/>
        </w:rPr>
        <w:t>http://pentair.com/en/about-us/leadership/corporate-governance</w:t>
      </w:r>
      <w:r>
        <w:rPr>
          <w:rFonts w:ascii="Arial" w:cs="Arial" w:eastAsia="Arial" w:hAnsi="Arial"/>
          <w:sz w:val="16"/>
          <w:szCs w:val="16"/>
          <w:color w:val="auto"/>
        </w:rPr>
        <w:t xml:space="preserve">. We intend to satisfy the disclosure requirements under Item 5.05 of Form 8-K regarding amendments to or waivers from, Pentair’s Code of Business Conduct and Ethics by posting such information on our website at </w:t>
      </w:r>
      <w:r>
        <w:rPr>
          <w:rFonts w:ascii="Arial" w:cs="Arial" w:eastAsia="Arial" w:hAnsi="Arial"/>
          <w:sz w:val="16"/>
          <w:szCs w:val="16"/>
          <w:u w:val="single" w:color="auto"/>
          <w:color w:val="auto"/>
        </w:rPr>
        <w:t>http://pentair.com/en/about-us/leadership/corporate-governance</w:t>
      </w:r>
      <w:r>
        <w:rPr>
          <w:rFonts w:ascii="Arial" w:cs="Arial" w:eastAsia="Arial" w:hAnsi="Arial"/>
          <w:sz w:val="16"/>
          <w:szCs w:val="16"/>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not including the information contained on our website as part of, or incorporating it by reference into,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Information required under this item is contained in our Proxy Statement for our 2020 annual general meeting of shareholders under the captions “Compensation Discussion and Analysis,” “Compensation Committee Report,” “Executive Compensation Tables” and “Corporate Governance Matters - Director Compensation” and is incorporated herein by reference.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53" w:right="239" w:bottom="1440" w:gutter="0" w:footer="0" w:header="0"/>
        </w:sectPr>
      </w:pPr>
    </w:p>
    <w:bookmarkStart w:id="93" w:name="page94"/>
    <w:bookmarkEnd w:id="93"/>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Information required under this item with respect to security ownership is contained in our Proxy Statement for our 2020 annual general meeting of shareholders under the caption “Security Ownership” and is incorporated herein by reference.</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as of December 31, 2019, information about compensation plans under which our equity securities are authorized for issuance: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Number of securities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future issuance under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jc w:val="center"/>
              <w:ind w:left="10"/>
              <w:spacing w:after="0"/>
              <w:rPr>
                <w:sz w:val="20"/>
                <w:szCs w:val="20"/>
                <w:color w:val="auto"/>
              </w:rPr>
            </w:pPr>
            <w:r>
              <w:rPr>
                <w:rFonts w:ascii="Arial" w:cs="Arial" w:eastAsia="Arial" w:hAnsi="Arial"/>
                <w:sz w:val="18"/>
                <w:szCs w:val="18"/>
                <w:color w:val="auto"/>
                <w:w w:val="91"/>
              </w:rPr>
              <w:t>Number of securities to</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88"/>
              </w:rPr>
              <w:t>Weighted-average</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equity compensation</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jc w:val="center"/>
              <w:ind w:left="10"/>
              <w:spacing w:after="0"/>
              <w:rPr>
                <w:sz w:val="20"/>
                <w:szCs w:val="20"/>
                <w:color w:val="auto"/>
              </w:rPr>
            </w:pPr>
            <w:r>
              <w:rPr>
                <w:rFonts w:ascii="Arial" w:cs="Arial" w:eastAsia="Arial" w:hAnsi="Arial"/>
                <w:sz w:val="18"/>
                <w:szCs w:val="18"/>
                <w:color w:val="auto"/>
                <w:w w:val="87"/>
              </w:rPr>
              <w:t>be issued upon exercise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0"/>
              </w:rPr>
              <w:t>exercise price of</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plans (excluding</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jc w:val="center"/>
              <w:ind w:left="10"/>
              <w:spacing w:after="0"/>
              <w:rPr>
                <w:sz w:val="20"/>
                <w:szCs w:val="20"/>
                <w:color w:val="auto"/>
              </w:rPr>
            </w:pPr>
            <w:r>
              <w:rPr>
                <w:rFonts w:ascii="Arial" w:cs="Arial" w:eastAsia="Arial" w:hAnsi="Arial"/>
                <w:sz w:val="18"/>
                <w:szCs w:val="18"/>
                <w:color w:val="auto"/>
                <w:w w:val="91"/>
              </w:rPr>
              <w:t>of outstanding options,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0"/>
              </w:rPr>
              <w:t>outstanding options,</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securities reflected in</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280" w:type="dxa"/>
            <w:vAlign w:val="bottom"/>
          </w:tcPr>
          <w:p>
            <w:pPr>
              <w:jc w:val="center"/>
              <w:ind w:left="10"/>
              <w:spacing w:after="0"/>
              <w:rPr>
                <w:sz w:val="20"/>
                <w:szCs w:val="20"/>
                <w:color w:val="auto"/>
              </w:rPr>
            </w:pPr>
            <w:r>
              <w:rPr>
                <w:rFonts w:ascii="Arial" w:cs="Arial" w:eastAsia="Arial" w:hAnsi="Arial"/>
                <w:sz w:val="18"/>
                <w:szCs w:val="18"/>
                <w:color w:val="auto"/>
                <w:w w:val="90"/>
              </w:rPr>
              <w:t>warrants and rights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0"/>
              </w:rPr>
              <w:t>warrants and rights</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column (a))</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vMerge w:val="continue"/>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(b)</w:t>
            </w:r>
          </w:p>
        </w:tc>
        <w:tc>
          <w:tcPr>
            <w:tcW w:w="4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8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approved by security</w:t>
            </w:r>
          </w:p>
        </w:tc>
        <w:tc>
          <w:tcPr>
            <w:tcW w:w="2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2012 Stock and Incentive Plan</w:t>
            </w:r>
          </w:p>
        </w:tc>
        <w:tc>
          <w:tcPr>
            <w:tcW w:w="2280" w:type="dxa"/>
            <w:vAlign w:val="bottom"/>
          </w:tcPr>
          <w:p>
            <w:pPr>
              <w:jc w:val="right"/>
              <w:spacing w:after="0"/>
              <w:rPr>
                <w:sz w:val="20"/>
                <w:szCs w:val="20"/>
                <w:color w:val="auto"/>
              </w:rPr>
            </w:pPr>
            <w:r>
              <w:rPr>
                <w:rFonts w:ascii="Arial" w:cs="Arial" w:eastAsia="Arial" w:hAnsi="Arial"/>
                <w:sz w:val="18"/>
                <w:szCs w:val="18"/>
                <w:color w:val="auto"/>
              </w:rPr>
              <w:t>4,555,732</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39.78</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(2)</w:t>
            </w:r>
          </w:p>
        </w:tc>
        <w:tc>
          <w:tcPr>
            <w:tcW w:w="2160" w:type="dxa"/>
            <w:vAlign w:val="bottom"/>
          </w:tcPr>
          <w:p>
            <w:pPr>
              <w:jc w:val="right"/>
              <w:spacing w:after="0"/>
              <w:rPr>
                <w:sz w:val="20"/>
                <w:szCs w:val="20"/>
                <w:color w:val="auto"/>
              </w:rPr>
            </w:pPr>
            <w:r>
              <w:rPr>
                <w:rFonts w:ascii="Arial" w:cs="Arial" w:eastAsia="Arial" w:hAnsi="Arial"/>
                <w:sz w:val="18"/>
                <w:szCs w:val="18"/>
                <w:color w:val="auto"/>
              </w:rPr>
              <w:t>3,081,917</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2008 Omnibus Stock Incentive Plan</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664,329</w:t>
            </w:r>
          </w:p>
        </w:tc>
        <w:tc>
          <w:tcPr>
            <w:tcW w:w="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(2)</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5,220,061</w:t>
            </w: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rPr>
              <w:t>(2)</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3,081,917</w:t>
            </w: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360" w:hanging="328"/>
        <w:spacing w:after="0" w:line="216" w:lineRule="auto"/>
        <w:tabs>
          <w:tab w:leader="none" w:pos="66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Consists of 3,626,370 shares subject to stock options, 563,051 shares subject to restricted stock units, and 366,311 shares subject to performance share awards.</w:t>
      </w:r>
    </w:p>
    <w:p>
      <w:pPr>
        <w:spacing w:after="0" w:line="149" w:lineRule="exact"/>
        <w:rPr>
          <w:rFonts w:ascii="Arial" w:cs="Arial" w:eastAsia="Arial" w:hAnsi="Arial"/>
          <w:sz w:val="25"/>
          <w:szCs w:val="25"/>
          <w:color w:val="auto"/>
          <w:vertAlign w:val="superscript"/>
        </w:rPr>
      </w:pPr>
    </w:p>
    <w:p>
      <w:pPr>
        <w:ind w:left="660" w:right="440" w:hanging="328"/>
        <w:spacing w:after="0" w:line="216" w:lineRule="auto"/>
        <w:tabs>
          <w:tab w:leader="none" w:pos="66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Represents the weighted average exercise price of outstanding stock options and does not take into account outstanding restricted stock units or performance share units.</w:t>
      </w:r>
    </w:p>
    <w:p>
      <w:pPr>
        <w:spacing w:after="0" w:line="92"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Represents securities remaining available for issuance under the 2012 Stock and Incentive Plan.</w:t>
      </w:r>
    </w:p>
    <w:p>
      <w:pPr>
        <w:spacing w:after="0" w:line="98" w:lineRule="exact"/>
        <w:rPr>
          <w:rFonts w:ascii="Arial" w:cs="Arial" w:eastAsia="Arial" w:hAnsi="Arial"/>
          <w:sz w:val="25"/>
          <w:szCs w:val="25"/>
          <w:color w:val="auto"/>
          <w:vertAlign w:val="superscript"/>
        </w:rPr>
      </w:pPr>
    </w:p>
    <w:p>
      <w:pPr>
        <w:ind w:left="660" w:hanging="328"/>
        <w:spacing w:after="0" w:line="233" w:lineRule="auto"/>
        <w:tabs>
          <w:tab w:leader="none" w:pos="66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Consists of 664,329 shares subject to stock options.</w:t>
      </w:r>
    </w:p>
    <w:p>
      <w:pPr>
        <w:spacing w:after="0" w:line="148" w:lineRule="exact"/>
        <w:rPr>
          <w:rFonts w:ascii="Arial" w:cs="Arial" w:eastAsia="Arial" w:hAnsi="Arial"/>
          <w:sz w:val="25"/>
          <w:szCs w:val="25"/>
          <w:color w:val="auto"/>
          <w:vertAlign w:val="superscript"/>
        </w:rPr>
      </w:pPr>
    </w:p>
    <w:p>
      <w:pPr>
        <w:ind w:left="660" w:right="280" w:hanging="328"/>
        <w:spacing w:after="0" w:line="216" w:lineRule="auto"/>
        <w:tabs>
          <w:tab w:leader="none" w:pos="66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The 2008 Omnibus Stock Incentive Plan was terminated in 2012. Stock options previously granted under the 2008 Omnibus Stock Incentive Plan remain outstanding, but no further options or shares may be granted under this plan.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Information required under this item is contained in our Proxy Statement for our 2020 annual general meeting of shareholders under the captions “Proposal 1 Re-elect Director Nominees - Director Independence” and “Corporate Governance Matters - The Board’s Role and Responsibilities - Policies and Procedures Regarding Related Person Transactions”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Information required under this item is contained in our Proxy Statement for our 2020 annual general meeting of shareholders under the caption “Proposal 3 Ratify, by Nonbinding, Advisory Vote, the Appointment of Deloitte &amp; Touche LLP as the Independent Auditor of Pentair plc and to Authorize, by Binding Vote, the Audit and Finance Committee of the Board of Directors to Set the Auditor’s Remuneration” and is incorporated herein by reference.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53" w:right="239" w:bottom="1440" w:gutter="0" w:footer="0" w:header="0"/>
        </w:sectPr>
      </w:pPr>
    </w:p>
    <w:bookmarkStart w:id="94" w:name="page95"/>
    <w:bookmarkEnd w:id="94"/>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List of documents filed as part of this report: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and Comprehensive Income for the years ended December 31, 2019, 2018 and 2017</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Changes in Equity for the years ended December 31, 2019, 2018 and 2017</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1300" w:right="100"/>
        <w:spacing w:after="0" w:line="308" w:lineRule="auto"/>
        <w:rPr>
          <w:sz w:val="20"/>
          <w:szCs w:val="20"/>
          <w:color w:val="auto"/>
        </w:rPr>
      </w:pPr>
      <w:r>
        <w:rPr>
          <w:rFonts w:ascii="Arial" w:cs="Arial" w:eastAsia="Arial" w:hAnsi="Arial"/>
          <w:sz w:val="17"/>
          <w:szCs w:val="17"/>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exhibits of this Annual Report on Form 10-K included herein are set forth below.</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w:t>
      </w:r>
    </w:p>
    <w:p>
      <w:pPr>
        <w:spacing w:after="0" w:line="166" w:lineRule="exact"/>
        <w:rPr>
          <w:sz w:val="20"/>
          <w:szCs w:val="20"/>
          <w:color w:val="auto"/>
        </w:rPr>
      </w:pPr>
    </w:p>
    <w:p>
      <w:pPr>
        <w:jc w:val="right"/>
        <w:ind w:left="360" w:right="540"/>
        <w:spacing w:after="0" w:line="347" w:lineRule="auto"/>
        <w:rPr>
          <w:rFonts w:ascii="Arial" w:cs="Arial" w:eastAsia="Arial" w:hAnsi="Arial"/>
          <w:sz w:val="16"/>
          <w:szCs w:val="16"/>
          <w:b w:val="1"/>
          <w:bCs w:val="1"/>
          <w:color w:val="0000FF"/>
        </w:rPr>
      </w:pPr>
      <w:hyperlink r:id="rId19">
        <w:r>
          <w:rPr>
            <w:rFonts w:ascii="Arial" w:cs="Arial" w:eastAsia="Arial" w:hAnsi="Arial"/>
            <w:sz w:val="16"/>
            <w:szCs w:val="16"/>
            <w:b w:val="1"/>
            <w:bCs w:val="1"/>
            <w:u w:val="single" w:color="auto"/>
            <w:color w:val="0000FF"/>
          </w:rPr>
          <w:t>2.1</w:t>
        </w:r>
        <w:r>
          <w:rPr>
            <w:rFonts w:ascii="Arial" w:cs="Arial" w:eastAsia="Arial" w:hAnsi="Arial"/>
            <w:sz w:val="16"/>
            <w:szCs w:val="16"/>
            <w:b w:val="1"/>
            <w:bCs w:val="1"/>
            <w:color w:val="0000FF"/>
          </w:rPr>
          <w:t xml:space="preserve">     </w:t>
        </w:r>
      </w:hyperlink>
      <w:r>
        <w:rPr>
          <w:rFonts w:ascii="Arial" w:cs="Arial" w:eastAsia="Arial" w:hAnsi="Arial"/>
          <w:sz w:val="16"/>
          <w:szCs w:val="16"/>
          <w:color w:val="000000"/>
        </w:rPr>
        <w:t>Share</w:t>
      </w:r>
      <w:r>
        <w:rPr>
          <w:rFonts w:ascii="Arial" w:cs="Arial" w:eastAsia="Arial" w:hAnsi="Arial"/>
          <w:sz w:val="16"/>
          <w:szCs w:val="16"/>
          <w:b w:val="1"/>
          <w:bCs w:val="1"/>
          <w:color w:val="0000FF"/>
        </w:rPr>
        <w:t xml:space="preserve"> </w:t>
      </w:r>
      <w:r>
        <w:rPr>
          <w:rFonts w:ascii="Arial" w:cs="Arial" w:eastAsia="Arial" w:hAnsi="Arial"/>
          <w:sz w:val="16"/>
          <w:szCs w:val="16"/>
          <w:color w:val="000000"/>
        </w:rPr>
        <w:t>Purchase Agreement, dated August 18, 2016, by and between Emerson Electric Co. and Pentair plc (Incorporated by reference to</w:t>
      </w:r>
      <w:r>
        <w:rPr>
          <w:rFonts w:ascii="Arial" w:cs="Arial" w:eastAsia="Arial" w:hAnsi="Arial"/>
          <w:sz w:val="16"/>
          <w:szCs w:val="16"/>
          <w:b w:val="1"/>
          <w:bCs w:val="1"/>
          <w:color w:val="0000FF"/>
        </w:rPr>
        <w:t xml:space="preserve"> </w:t>
      </w:r>
      <w:r>
        <w:rPr>
          <w:rFonts w:ascii="Arial" w:cs="Arial" w:eastAsia="Arial" w:hAnsi="Arial"/>
          <w:sz w:val="16"/>
          <w:szCs w:val="16"/>
          <w:color w:val="000000"/>
        </w:rPr>
        <w:t>Exhibit 2.1 in the Quarterly Report on Form 10-Q of Pentair plc filed with the Commission on October 25, 2016 (File No. 001-11625)).</w:t>
      </w:r>
    </w:p>
    <w:p>
      <w:pPr>
        <w:spacing w:after="0" w:line="76" w:lineRule="exact"/>
        <w:rPr>
          <w:sz w:val="20"/>
          <w:szCs w:val="20"/>
          <w:color w:val="auto"/>
        </w:rPr>
      </w:pPr>
    </w:p>
    <w:p>
      <w:pPr>
        <w:ind w:left="1080" w:hanging="719"/>
        <w:spacing w:after="0" w:line="342" w:lineRule="auto"/>
        <w:tabs>
          <w:tab w:leader="none" w:pos="1060" w:val="left"/>
        </w:tabs>
        <w:rPr>
          <w:rFonts w:ascii="Arial" w:cs="Arial" w:eastAsia="Arial" w:hAnsi="Arial"/>
          <w:sz w:val="18"/>
          <w:szCs w:val="18"/>
          <w:b w:val="1"/>
          <w:bCs w:val="1"/>
          <w:color w:val="0000FF"/>
        </w:rPr>
      </w:pPr>
      <w:hyperlink r:id="rId20">
        <w:r>
          <w:rPr>
            <w:rFonts w:ascii="Arial" w:cs="Arial" w:eastAsia="Arial" w:hAnsi="Arial"/>
            <w:sz w:val="18"/>
            <w:szCs w:val="18"/>
            <w:b w:val="1"/>
            <w:bCs w:val="1"/>
            <w:u w:val="single" w:color="auto"/>
            <w:color w:val="0000FF"/>
          </w:rPr>
          <w:t>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Separation and Distribution Agreement, dated as of April 27, 2018, by and between Pentair plc and nVent Electric plc (Incorporated by reference to Exhibit 2.1 to the Current Report on Form 8-K of Pentair plc filed with the Commission on April 30, 2018) (File No. 001-11625)).</w:t>
      </w:r>
    </w:p>
    <w:p>
      <w:pPr>
        <w:spacing w:after="0" w:line="83" w:lineRule="exact"/>
        <w:rPr>
          <w:sz w:val="20"/>
          <w:szCs w:val="20"/>
          <w:color w:val="auto"/>
        </w:rPr>
      </w:pPr>
    </w:p>
    <w:p>
      <w:pPr>
        <w:ind w:left="360"/>
        <w:spacing w:after="0"/>
        <w:tabs>
          <w:tab w:leader="none" w:pos="1060" w:val="left"/>
        </w:tabs>
        <w:rPr>
          <w:rFonts w:ascii="Arial" w:cs="Arial" w:eastAsia="Arial" w:hAnsi="Arial"/>
          <w:sz w:val="18"/>
          <w:szCs w:val="18"/>
          <w:b w:val="1"/>
          <w:bCs w:val="1"/>
          <w:color w:val="0000FF"/>
        </w:rPr>
      </w:pPr>
      <w:hyperlink r:id="rId21">
        <w:r>
          <w:rPr>
            <w:rFonts w:ascii="Arial" w:cs="Arial" w:eastAsia="Arial" w:hAnsi="Arial"/>
            <w:sz w:val="18"/>
            <w:szCs w:val="18"/>
            <w:b w:val="1"/>
            <w:bCs w:val="1"/>
            <w:u w:val="single" w:color="auto"/>
            <w:color w:val="0000FF"/>
          </w:rPr>
          <w:t>2.3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Tax Matters Agreement, dated as of April 27, 2018, by and between Pentair plc and nVent Electric plc (Incorporated by reference to Exhibit</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2.2 to the Current Report on Form 8-K of Pentair plc filed with the Commission on April 30, 2018 (File No. 001-11625)).</w:t>
      </w:r>
    </w:p>
    <w:p>
      <w:pPr>
        <w:spacing w:after="0" w:line="166" w:lineRule="exact"/>
        <w:rPr>
          <w:sz w:val="20"/>
          <w:szCs w:val="20"/>
          <w:color w:val="auto"/>
        </w:rPr>
      </w:pPr>
    </w:p>
    <w:p>
      <w:pPr>
        <w:ind w:left="360"/>
        <w:spacing w:after="0"/>
        <w:tabs>
          <w:tab w:leader="none" w:pos="1060" w:val="left"/>
        </w:tabs>
        <w:rPr>
          <w:rFonts w:ascii="Arial" w:cs="Arial" w:eastAsia="Arial" w:hAnsi="Arial"/>
          <w:sz w:val="18"/>
          <w:szCs w:val="18"/>
          <w:b w:val="1"/>
          <w:bCs w:val="1"/>
          <w:color w:val="0000FF"/>
        </w:rPr>
      </w:pPr>
      <w:hyperlink r:id="rId22">
        <w:r>
          <w:rPr>
            <w:rFonts w:ascii="Arial" w:cs="Arial" w:eastAsia="Arial" w:hAnsi="Arial"/>
            <w:sz w:val="18"/>
            <w:szCs w:val="18"/>
            <w:b w:val="1"/>
            <w:bCs w:val="1"/>
            <w:u w:val="single" w:color="auto"/>
            <w:color w:val="0000FF"/>
          </w:rPr>
          <w:t>2.4</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Transition Services Agreement, dated as of April 27, 2018, by and between Pentair plc and nVent Electric plc (Incorporated by reference to</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Exhibit 2.3 to the Current Report on Form 8-K of Pentair plc filed with the Commission on April 30, 2018 (File No. 001-11625)).</w:t>
      </w:r>
    </w:p>
    <w:p>
      <w:pPr>
        <w:spacing w:after="0" w:line="166" w:lineRule="exact"/>
        <w:rPr>
          <w:sz w:val="20"/>
          <w:szCs w:val="20"/>
          <w:color w:val="auto"/>
        </w:rPr>
      </w:pPr>
    </w:p>
    <w:p>
      <w:pPr>
        <w:ind w:left="1080" w:right="340" w:hanging="719"/>
        <w:spacing w:after="0" w:line="342" w:lineRule="auto"/>
        <w:tabs>
          <w:tab w:leader="none" w:pos="1060" w:val="left"/>
        </w:tabs>
        <w:rPr>
          <w:rFonts w:ascii="Arial" w:cs="Arial" w:eastAsia="Arial" w:hAnsi="Arial"/>
          <w:sz w:val="18"/>
          <w:szCs w:val="18"/>
          <w:b w:val="1"/>
          <w:bCs w:val="1"/>
          <w:color w:val="0000FF"/>
        </w:rPr>
      </w:pPr>
      <w:hyperlink r:id="rId23">
        <w:r>
          <w:rPr>
            <w:rFonts w:ascii="Arial" w:cs="Arial" w:eastAsia="Arial" w:hAnsi="Arial"/>
            <w:sz w:val="18"/>
            <w:szCs w:val="18"/>
            <w:b w:val="1"/>
            <w:bCs w:val="1"/>
            <w:u w:val="single" w:color="auto"/>
            <w:color w:val="0000FF"/>
          </w:rPr>
          <w:t>2.5</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Employee Matters Agreement, dated as of April 27, 2018, by and between Pentair plc and nVent Electric plc (Incorporated by reference to Exhibit 2.4 to the Current Report on Form 8-K of Pentair plc filed with the Commission on April 30, 2018 (File No. 001-11625)).</w:t>
      </w:r>
    </w:p>
    <w:p>
      <w:pPr>
        <w:spacing w:after="0" w:line="83" w:lineRule="exact"/>
        <w:rPr>
          <w:sz w:val="20"/>
          <w:szCs w:val="20"/>
          <w:color w:val="auto"/>
        </w:rPr>
      </w:pPr>
    </w:p>
    <w:p>
      <w:pPr>
        <w:ind w:left="1080" w:right="500" w:hanging="719"/>
        <w:spacing w:after="0" w:line="277" w:lineRule="auto"/>
        <w:tabs>
          <w:tab w:leader="none" w:pos="1060" w:val="left"/>
        </w:tabs>
        <w:rPr>
          <w:rFonts w:ascii="Arial" w:cs="Arial" w:eastAsia="Arial" w:hAnsi="Arial"/>
          <w:sz w:val="18"/>
          <w:szCs w:val="18"/>
          <w:b w:val="1"/>
          <w:bCs w:val="1"/>
          <w:color w:val="0000FF"/>
        </w:rPr>
      </w:pPr>
      <w:hyperlink r:id="rId24">
        <w:r>
          <w:rPr>
            <w:rFonts w:ascii="Arial" w:cs="Arial" w:eastAsia="Arial" w:hAnsi="Arial"/>
            <w:sz w:val="18"/>
            <w:szCs w:val="18"/>
            <w:b w:val="1"/>
            <w:bCs w:val="1"/>
            <w:u w:val="single" w:color="auto"/>
            <w:color w:val="0000FF"/>
          </w:rPr>
          <w:t>3.1</w:t>
        </w:r>
      </w:hyperlink>
      <w:r>
        <w:rPr>
          <w:rFonts w:ascii="Arial" w:cs="Arial" w:eastAsia="Arial" w:hAnsi="Arial"/>
          <w:sz w:val="18"/>
          <w:szCs w:val="18"/>
          <w:b w:val="1"/>
          <w:bCs w:val="1"/>
          <w:color w:val="0000FF"/>
        </w:rPr>
        <w:tab/>
        <w:t>Amended and Restated Memorandum and Articles of Association of Pentair plc (Incorporated by reference to Exhibit 3.1 to the Current Report on Form 8-K of Pentair plc filed with the Commission on May 9, 2017 (File No. 001-11625)).</w:t>
      </w:r>
    </w:p>
    <w:p>
      <w:pPr>
        <w:spacing w:after="0" w:line="130" w:lineRule="exact"/>
        <w:rPr>
          <w:sz w:val="20"/>
          <w:szCs w:val="20"/>
          <w:color w:val="auto"/>
        </w:rPr>
      </w:pPr>
    </w:p>
    <w:p>
      <w:pPr>
        <w:jc w:val="both"/>
        <w:ind w:left="1080" w:right="160" w:hanging="719"/>
        <w:spacing w:after="0" w:line="286" w:lineRule="auto"/>
        <w:tabs>
          <w:tab w:leader="none" w:pos="1060" w:val="left"/>
        </w:tabs>
        <w:rPr>
          <w:rFonts w:ascii="Arial" w:cs="Arial" w:eastAsia="Arial" w:hAnsi="Arial"/>
          <w:sz w:val="18"/>
          <w:szCs w:val="18"/>
          <w:b w:val="1"/>
          <w:bCs w:val="1"/>
          <w:color w:val="0000FF"/>
        </w:rPr>
      </w:pPr>
      <w:hyperlink r:id="rId25">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Indenture, dated as of September 24, 2012, among Pentair Finance S.A. (formerly Tyco Flow Control International Finance S.A.) (as Issuer), Pentair Ltd. (as Guarantor) and Wells Fargo Bank, National Association (as Trustee) (Incorporated by reference to Exhibit 4.1 in the Current Report on Form 8-K of Pentair Ltd. filed with the Commission on September 28, 2012 (File No. 001-11625)).</w:t>
      </w:r>
    </w:p>
    <w:p>
      <w:pPr>
        <w:spacing w:after="0" w:line="125" w:lineRule="exact"/>
        <w:rPr>
          <w:sz w:val="20"/>
          <w:szCs w:val="20"/>
          <w:color w:val="auto"/>
        </w:rPr>
      </w:pPr>
    </w:p>
    <w:p>
      <w:pPr>
        <w:ind w:left="1080" w:right="140" w:hanging="719"/>
        <w:spacing w:after="0" w:line="259" w:lineRule="auto"/>
        <w:tabs>
          <w:tab w:leader="none" w:pos="1060" w:val="left"/>
        </w:tabs>
        <w:rPr>
          <w:rFonts w:ascii="Arial" w:cs="Arial" w:eastAsia="Arial" w:hAnsi="Arial"/>
          <w:sz w:val="18"/>
          <w:szCs w:val="18"/>
          <w:b w:val="1"/>
          <w:bCs w:val="1"/>
          <w:color w:val="0000FF"/>
        </w:rPr>
      </w:pPr>
      <w:hyperlink r:id="rId26">
        <w:r>
          <w:rPr>
            <w:rFonts w:ascii="Arial" w:cs="Arial" w:eastAsia="Arial" w:hAnsi="Arial"/>
            <w:sz w:val="18"/>
            <w:szCs w:val="18"/>
            <w:b w:val="1"/>
            <w:bCs w:val="1"/>
            <w:u w:val="single" w:color="auto"/>
            <w:color w:val="0000FF"/>
          </w:rPr>
          <w:t>4.2</w:t>
        </w:r>
      </w:hyperlink>
      <w:r>
        <w:rPr>
          <w:rFonts w:ascii="Arial" w:cs="Arial" w:eastAsia="Arial" w:hAnsi="Arial"/>
          <w:sz w:val="18"/>
          <w:szCs w:val="18"/>
          <w:b w:val="1"/>
          <w:bCs w:val="1"/>
          <w:color w:val="0000FF"/>
        </w:rPr>
        <w:tab/>
        <w:t>Second Supplemental Indenture, dated as of September 24, 2012, among Pentair Finance S.A. (formerly Tyco Flow Control International Finance S.A.) (as Issuer), Pentair Ltd. (as Guarantor), Pentair, Inc. and Wells Fargo Bank, National Association (as Trustee) (Incorporated by reference to Exhibit 4.3 in the Current Report on Form 8-K of Pentair Ltd. filed with the Commission on September 28, 2012 (File No. 001-11625)).</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553" w:right="279" w:bottom="1440" w:gutter="0" w:footer="0" w:header="0"/>
        </w:sectPr>
      </w:pPr>
    </w:p>
    <w:bookmarkStart w:id="95" w:name="page96"/>
    <w:bookmarkEnd w:id="95"/>
    <w:p>
      <w:pPr>
        <w:ind w:left="780" w:right="20" w:hanging="719"/>
        <w:spacing w:after="0" w:line="264" w:lineRule="auto"/>
        <w:tabs>
          <w:tab w:leader="none" w:pos="760" w:val="left"/>
        </w:tabs>
        <w:rPr>
          <w:rFonts w:ascii="Arial" w:cs="Arial" w:eastAsia="Arial" w:hAnsi="Arial"/>
          <w:sz w:val="18"/>
          <w:szCs w:val="18"/>
          <w:b w:val="1"/>
          <w:bCs w:val="1"/>
          <w:color w:val="0000FF"/>
        </w:rPr>
      </w:pPr>
      <w:hyperlink r:id="rId27">
        <w:r>
          <w:rPr>
            <w:rFonts w:ascii="Arial" w:cs="Arial" w:eastAsia="Arial" w:hAnsi="Arial"/>
            <w:sz w:val="18"/>
            <w:szCs w:val="18"/>
            <w:b w:val="1"/>
            <w:bCs w:val="1"/>
            <w:u w:val="single" w:color="auto"/>
            <w:color w:val="0000FF"/>
          </w:rPr>
          <w:t>4.3</w:t>
        </w:r>
      </w:hyperlink>
      <w:r>
        <w:rPr>
          <w:rFonts w:ascii="Arial" w:cs="Arial" w:eastAsia="Arial" w:hAnsi="Arial"/>
          <w:sz w:val="18"/>
          <w:szCs w:val="18"/>
          <w:b w:val="1"/>
          <w:bCs w:val="1"/>
          <w:color w:val="0000FF"/>
        </w:rPr>
        <w:tab/>
        <w:t>Fourth Supplemental Indenture, dated as of November 26, 2012, among Pentair Finance S.A. (as Issuer), Pentair Ltd. (as Guarantor) and Wells Fargo Bank, National Association (as Trustee) (Incorporated by reference to Exhibit 4.2 in the Current Report on Form 8-K of Pentair Ltd. filed with the Commission on November 28, 2012 (File No. 001-11625)).</w:t>
      </w:r>
    </w:p>
    <w:p>
      <w:pPr>
        <w:spacing w:after="0" w:line="141" w:lineRule="exact"/>
        <w:rPr>
          <w:sz w:val="20"/>
          <w:szCs w:val="20"/>
          <w:color w:val="auto"/>
        </w:rPr>
      </w:pPr>
    </w:p>
    <w:p>
      <w:pPr>
        <w:ind w:left="780" w:right="160" w:hanging="719"/>
        <w:spacing w:after="0" w:line="264" w:lineRule="auto"/>
        <w:tabs>
          <w:tab w:leader="none" w:pos="760" w:val="left"/>
        </w:tabs>
        <w:rPr>
          <w:rFonts w:ascii="Arial" w:cs="Arial" w:eastAsia="Arial" w:hAnsi="Arial"/>
          <w:sz w:val="18"/>
          <w:szCs w:val="18"/>
          <w:b w:val="1"/>
          <w:bCs w:val="1"/>
          <w:color w:val="0000FF"/>
        </w:rPr>
      </w:pPr>
      <w:hyperlink r:id="rId28">
        <w:r>
          <w:rPr>
            <w:rFonts w:ascii="Arial" w:cs="Arial" w:eastAsia="Arial" w:hAnsi="Arial"/>
            <w:sz w:val="18"/>
            <w:szCs w:val="18"/>
            <w:b w:val="1"/>
            <w:bCs w:val="1"/>
            <w:u w:val="single" w:color="auto"/>
            <w:color w:val="0000FF"/>
          </w:rPr>
          <w:t>4.4</w:t>
        </w:r>
      </w:hyperlink>
      <w:r>
        <w:rPr>
          <w:rFonts w:ascii="Arial" w:cs="Arial" w:eastAsia="Arial" w:hAnsi="Arial"/>
          <w:sz w:val="18"/>
          <w:szCs w:val="18"/>
          <w:b w:val="1"/>
          <w:bCs w:val="1"/>
          <w:color w:val="0000FF"/>
        </w:rPr>
        <w:tab/>
        <w:t>Fifth Supplemental Indenture, dated as of December 18, 2012, among Pentair Finance S.A. (as Issuer), Pentair Ltd. (as Guarantor) and Wells Fargo Bank, National Association (as Trustee) (Incorporated by reference to Exhibit 4.1 in the Current Report on Form 8-K of Pentair Ltd. filed with the Commission on December 18, 2012 (File No. 001-11625)).</w:t>
      </w:r>
    </w:p>
    <w:p>
      <w:pPr>
        <w:spacing w:after="0" w:line="141" w:lineRule="exact"/>
        <w:rPr>
          <w:sz w:val="20"/>
          <w:szCs w:val="20"/>
          <w:color w:val="auto"/>
        </w:rPr>
      </w:pPr>
    </w:p>
    <w:p>
      <w:pPr>
        <w:ind w:left="780" w:right="100" w:hanging="719"/>
        <w:spacing w:after="0" w:line="264" w:lineRule="auto"/>
        <w:tabs>
          <w:tab w:leader="none" w:pos="760" w:val="left"/>
        </w:tabs>
        <w:rPr>
          <w:rFonts w:ascii="Arial" w:cs="Arial" w:eastAsia="Arial" w:hAnsi="Arial"/>
          <w:sz w:val="18"/>
          <w:szCs w:val="18"/>
          <w:b w:val="1"/>
          <w:bCs w:val="1"/>
          <w:color w:val="0000FF"/>
        </w:rPr>
      </w:pPr>
      <w:hyperlink r:id="rId29">
        <w:r>
          <w:rPr>
            <w:rFonts w:ascii="Arial" w:cs="Arial" w:eastAsia="Arial" w:hAnsi="Arial"/>
            <w:sz w:val="18"/>
            <w:szCs w:val="18"/>
            <w:b w:val="1"/>
            <w:bCs w:val="1"/>
            <w:u w:val="single" w:color="auto"/>
            <w:color w:val="0000FF"/>
          </w:rPr>
          <w:t>4.5</w:t>
        </w:r>
      </w:hyperlink>
      <w:r>
        <w:rPr>
          <w:rFonts w:ascii="Arial" w:cs="Arial" w:eastAsia="Arial" w:hAnsi="Arial"/>
          <w:sz w:val="18"/>
          <w:szCs w:val="18"/>
          <w:b w:val="1"/>
          <w:bCs w:val="1"/>
          <w:color w:val="0000FF"/>
        </w:rPr>
        <w:tab/>
        <w:t>Sixth Supplemental Indenture, dated as of May 20, 2014, among Pentair Finance S.A., Pentair Ltd., Pentair Investments Switzerland GmbH, Pentair plc and Wells Fargo Bank, National Association, as trustee (Incorporated by reference to Exhibit 4.3 in the Current Report on Form 8-K of Pentair plc filed with the Commission on May 20, 2014 (File No. 001-11625)).</w:t>
      </w:r>
    </w:p>
    <w:p>
      <w:pPr>
        <w:spacing w:after="0" w:line="141" w:lineRule="exact"/>
        <w:rPr>
          <w:sz w:val="20"/>
          <w:szCs w:val="20"/>
          <w:color w:val="auto"/>
        </w:rPr>
      </w:pPr>
    </w:p>
    <w:p>
      <w:pPr>
        <w:jc w:val="both"/>
        <w:ind w:left="780" w:right="80" w:hanging="719"/>
        <w:spacing w:after="0" w:line="264" w:lineRule="auto"/>
        <w:tabs>
          <w:tab w:leader="none" w:pos="760" w:val="left"/>
        </w:tabs>
        <w:rPr>
          <w:rFonts w:ascii="Arial" w:cs="Arial" w:eastAsia="Arial" w:hAnsi="Arial"/>
          <w:sz w:val="18"/>
          <w:szCs w:val="18"/>
          <w:b w:val="1"/>
          <w:bCs w:val="1"/>
          <w:color w:val="0000FF"/>
        </w:rPr>
      </w:pPr>
      <w:hyperlink r:id="rId30">
        <w:r>
          <w:rPr>
            <w:rFonts w:ascii="Arial" w:cs="Arial" w:eastAsia="Arial" w:hAnsi="Arial"/>
            <w:sz w:val="18"/>
            <w:szCs w:val="18"/>
            <w:b w:val="1"/>
            <w:bCs w:val="1"/>
            <w:u w:val="single" w:color="auto"/>
            <w:color w:val="0000FF"/>
          </w:rPr>
          <w:t>4.6</w:t>
        </w:r>
      </w:hyperlink>
      <w:r>
        <w:rPr>
          <w:rFonts w:ascii="Arial" w:cs="Arial" w:eastAsia="Arial" w:hAnsi="Arial"/>
          <w:sz w:val="18"/>
          <w:szCs w:val="18"/>
          <w:b w:val="1"/>
          <w:bCs w:val="1"/>
          <w:color w:val="0000FF"/>
        </w:rPr>
        <w:tab/>
        <w:t>Seventh Supplemental Indenture, dated as of May 26, 2017, among Pentair Finance S.A., Pentair plc, Pentair Investments Switzerland GmbH and Wells Fargo Bank, National Association as trustee (Incorporated by reference to Exhibit 4.1 to the Current Report on Form 8-K of Pentair plc filed with the Commission on May 31, 2017 (File No. 001-11625)).</w:t>
      </w:r>
    </w:p>
    <w:p>
      <w:pPr>
        <w:spacing w:after="0" w:line="141" w:lineRule="exact"/>
        <w:rPr>
          <w:sz w:val="20"/>
          <w:szCs w:val="20"/>
          <w:color w:val="auto"/>
        </w:rPr>
      </w:pPr>
    </w:p>
    <w:p>
      <w:pPr>
        <w:ind w:left="780" w:right="300" w:hanging="719"/>
        <w:spacing w:after="0" w:line="277" w:lineRule="auto"/>
        <w:tabs>
          <w:tab w:leader="none" w:pos="760" w:val="left"/>
        </w:tabs>
        <w:rPr>
          <w:rFonts w:ascii="Arial" w:cs="Arial" w:eastAsia="Arial" w:hAnsi="Arial"/>
          <w:sz w:val="18"/>
          <w:szCs w:val="18"/>
          <w:b w:val="1"/>
          <w:bCs w:val="1"/>
          <w:color w:val="0000FF"/>
        </w:rPr>
      </w:pPr>
      <w:hyperlink r:id="rId31">
        <w:r>
          <w:rPr>
            <w:rFonts w:ascii="Arial" w:cs="Arial" w:eastAsia="Arial" w:hAnsi="Arial"/>
            <w:sz w:val="18"/>
            <w:szCs w:val="18"/>
            <w:b w:val="1"/>
            <w:bCs w:val="1"/>
            <w:u w:val="single" w:color="auto"/>
            <w:color w:val="0000FF"/>
          </w:rPr>
          <w:t>4.7</w:t>
        </w:r>
      </w:hyperlink>
      <w:r>
        <w:rPr>
          <w:rFonts w:ascii="Arial" w:cs="Arial" w:eastAsia="Arial" w:hAnsi="Arial"/>
          <w:sz w:val="18"/>
          <w:szCs w:val="18"/>
          <w:b w:val="1"/>
          <w:bCs w:val="1"/>
          <w:color w:val="0000FF"/>
        </w:rPr>
        <w:tab/>
        <w:t>Senior Indenture, dated May 2, 2011 by and among Pentair, Inc. and Wells Fargo Bank, National Association (Incorporated by reference to Exhibit 4.5 to Pentair, Inc.’s Registration Statement on Form S-3 (Registration 333-173829)).</w:t>
      </w:r>
    </w:p>
    <w:p>
      <w:pPr>
        <w:spacing w:after="0" w:line="130" w:lineRule="exact"/>
        <w:rPr>
          <w:sz w:val="20"/>
          <w:szCs w:val="20"/>
          <w:color w:val="auto"/>
        </w:rPr>
      </w:pPr>
    </w:p>
    <w:p>
      <w:pPr>
        <w:ind w:left="780" w:right="40" w:hanging="719"/>
        <w:spacing w:after="0" w:line="264" w:lineRule="auto"/>
        <w:tabs>
          <w:tab w:leader="none" w:pos="760" w:val="left"/>
        </w:tabs>
        <w:rPr>
          <w:rFonts w:ascii="Arial" w:cs="Arial" w:eastAsia="Arial" w:hAnsi="Arial"/>
          <w:sz w:val="18"/>
          <w:szCs w:val="18"/>
          <w:b w:val="1"/>
          <w:bCs w:val="1"/>
          <w:color w:val="0000FF"/>
        </w:rPr>
      </w:pPr>
      <w:hyperlink r:id="rId32">
        <w:r>
          <w:rPr>
            <w:rFonts w:ascii="Arial" w:cs="Arial" w:eastAsia="Arial" w:hAnsi="Arial"/>
            <w:sz w:val="18"/>
            <w:szCs w:val="18"/>
            <w:b w:val="1"/>
            <w:bCs w:val="1"/>
            <w:u w:val="single" w:color="auto"/>
            <w:color w:val="0000FF"/>
          </w:rPr>
          <w:t>4.8</w:t>
        </w:r>
      </w:hyperlink>
      <w:r>
        <w:rPr>
          <w:rFonts w:ascii="Arial" w:cs="Arial" w:eastAsia="Arial" w:hAnsi="Arial"/>
          <w:sz w:val="18"/>
          <w:szCs w:val="18"/>
          <w:b w:val="1"/>
          <w:bCs w:val="1"/>
          <w:color w:val="0000FF"/>
        </w:rPr>
        <w:tab/>
        <w:t>First Supplemental Indenture, dated as of May 9, 2011, among Pentair, Inc., the guarantors named therein and Wells Fargo Bank, National Association (Incorporated by reference to Exhibit 4.2 in the Current Report on Form 8-K of Pentair, Inc. filed with the Commission on May 9, 2011 (File No. 000-04689)).</w:t>
      </w:r>
    </w:p>
    <w:p>
      <w:pPr>
        <w:spacing w:after="0" w:line="141" w:lineRule="exact"/>
        <w:rPr>
          <w:sz w:val="20"/>
          <w:szCs w:val="20"/>
          <w:color w:val="auto"/>
        </w:rPr>
      </w:pPr>
    </w:p>
    <w:p>
      <w:pPr>
        <w:ind w:left="780" w:hanging="719"/>
        <w:spacing w:after="0" w:line="264" w:lineRule="auto"/>
        <w:tabs>
          <w:tab w:leader="none" w:pos="760" w:val="left"/>
        </w:tabs>
        <w:rPr>
          <w:rFonts w:ascii="Arial" w:cs="Arial" w:eastAsia="Arial" w:hAnsi="Arial"/>
          <w:sz w:val="18"/>
          <w:szCs w:val="18"/>
          <w:b w:val="1"/>
          <w:bCs w:val="1"/>
          <w:color w:val="0000FF"/>
        </w:rPr>
      </w:pPr>
      <w:hyperlink r:id="rId33">
        <w:r>
          <w:rPr>
            <w:rFonts w:ascii="Arial" w:cs="Arial" w:eastAsia="Arial" w:hAnsi="Arial"/>
            <w:sz w:val="18"/>
            <w:szCs w:val="18"/>
            <w:b w:val="1"/>
            <w:bCs w:val="1"/>
            <w:u w:val="single" w:color="auto"/>
            <w:color w:val="0000FF"/>
          </w:rPr>
          <w:t>4.9</w:t>
        </w:r>
      </w:hyperlink>
      <w:r>
        <w:rPr>
          <w:rFonts w:ascii="Arial" w:cs="Arial" w:eastAsia="Arial" w:hAnsi="Arial"/>
          <w:sz w:val="18"/>
          <w:szCs w:val="18"/>
          <w:b w:val="1"/>
          <w:bCs w:val="1"/>
          <w:color w:val="0000FF"/>
        </w:rPr>
        <w:tab/>
        <w:t>Third Supplemental Indenture, dated October 1, 2012, among Pentair Ltd., Pentair, Inc. and Wells Fargo Bank, National Association, as trustee (Incorporated by reference to Exhibit 4.1 in the Current Report on Form 8-K of Pentair Ltd. filed with the Commission on October 1, 2012 (File No. 001-11625)).</w:t>
      </w:r>
    </w:p>
    <w:p>
      <w:pPr>
        <w:spacing w:after="0" w:line="141" w:lineRule="exact"/>
        <w:rPr>
          <w:sz w:val="20"/>
          <w:szCs w:val="20"/>
          <w:color w:val="auto"/>
        </w:rPr>
      </w:pPr>
    </w:p>
    <w:p>
      <w:pPr>
        <w:ind w:left="780" w:right="40" w:hanging="764"/>
        <w:spacing w:after="0" w:line="264" w:lineRule="auto"/>
        <w:tabs>
          <w:tab w:leader="none" w:pos="760" w:val="left"/>
        </w:tabs>
        <w:rPr>
          <w:rFonts w:ascii="Arial" w:cs="Arial" w:eastAsia="Arial" w:hAnsi="Arial"/>
          <w:sz w:val="18"/>
          <w:szCs w:val="18"/>
          <w:b w:val="1"/>
          <w:bCs w:val="1"/>
          <w:color w:val="0000FF"/>
        </w:rPr>
      </w:pPr>
      <w:hyperlink r:id="rId34">
        <w:r>
          <w:rPr>
            <w:rFonts w:ascii="Arial" w:cs="Arial" w:eastAsia="Arial" w:hAnsi="Arial"/>
            <w:sz w:val="18"/>
            <w:szCs w:val="18"/>
            <w:b w:val="1"/>
            <w:bCs w:val="1"/>
            <w:u w:val="single" w:color="auto"/>
            <w:color w:val="0000FF"/>
          </w:rPr>
          <w:t>4.10</w:t>
        </w:r>
      </w:hyperlink>
      <w:r>
        <w:rPr>
          <w:rFonts w:ascii="Arial" w:cs="Arial" w:eastAsia="Arial" w:hAnsi="Arial"/>
          <w:sz w:val="18"/>
          <w:szCs w:val="18"/>
          <w:b w:val="1"/>
          <w:bCs w:val="1"/>
          <w:color w:val="0000FF"/>
        </w:rPr>
        <w:tab/>
        <w:t>Fourth Supplemental Indenture, dated as of December 17, 2012, among Pentair, Inc. (as Issuer), Pentair Ltd. (as Guarantor) and Wells Fargo Bank, National Association (as Trustee) (Incorporated by reference to Exhibit 4.2 in the Current Report on Form 8-K of Pentair Ltd. filed with the Commission on December 18, 2012 (File No. 001-11625)).</w:t>
      </w:r>
    </w:p>
    <w:p>
      <w:pPr>
        <w:spacing w:after="0" w:line="141" w:lineRule="exact"/>
        <w:rPr>
          <w:sz w:val="20"/>
          <w:szCs w:val="20"/>
          <w:color w:val="auto"/>
        </w:rPr>
      </w:pPr>
    </w:p>
    <w:p>
      <w:pPr>
        <w:jc w:val="both"/>
        <w:ind w:left="780" w:right="20" w:hanging="759"/>
        <w:spacing w:after="0" w:line="264" w:lineRule="auto"/>
        <w:tabs>
          <w:tab w:leader="none" w:pos="760" w:val="left"/>
        </w:tabs>
        <w:rPr>
          <w:rFonts w:ascii="Arial" w:cs="Arial" w:eastAsia="Arial" w:hAnsi="Arial"/>
          <w:sz w:val="18"/>
          <w:szCs w:val="18"/>
          <w:b w:val="1"/>
          <w:bCs w:val="1"/>
          <w:color w:val="0000FF"/>
        </w:rPr>
      </w:pPr>
      <w:hyperlink r:id="rId35">
        <w:r>
          <w:rPr>
            <w:rFonts w:ascii="Arial" w:cs="Arial" w:eastAsia="Arial" w:hAnsi="Arial"/>
            <w:sz w:val="18"/>
            <w:szCs w:val="18"/>
            <w:b w:val="1"/>
            <w:bCs w:val="1"/>
            <w:u w:val="single" w:color="auto"/>
            <w:color w:val="0000FF"/>
          </w:rPr>
          <w:t>4.11</w:t>
        </w:r>
      </w:hyperlink>
      <w:r>
        <w:rPr>
          <w:rFonts w:ascii="Arial" w:cs="Arial" w:eastAsia="Arial" w:hAnsi="Arial"/>
          <w:sz w:val="18"/>
          <w:szCs w:val="18"/>
          <w:b w:val="1"/>
          <w:bCs w:val="1"/>
          <w:color w:val="0000FF"/>
        </w:rPr>
        <w:tab/>
        <w:t>Fifth Supplemental Indenture, dated as of May 20, 2014, among Pentair, Inc., Pentair Ltd., Pentair Investments Switzerland GmbH, Pentair plc and Wells Fargo Bank, National Association, as trustee (Incorporated by reference to Exhibit 4.2 in the Current Report on Form 8-K of Pentair plc filed with the Commission on May 20, 2014 (File No. 001-11625)).</w:t>
      </w:r>
    </w:p>
    <w:p>
      <w:pPr>
        <w:spacing w:after="0" w:line="141" w:lineRule="exact"/>
        <w:rPr>
          <w:sz w:val="20"/>
          <w:szCs w:val="20"/>
          <w:color w:val="auto"/>
        </w:rPr>
      </w:pPr>
    </w:p>
    <w:p>
      <w:pPr>
        <w:jc w:val="both"/>
        <w:ind w:left="780" w:right="140" w:hanging="764"/>
        <w:spacing w:after="0" w:line="264" w:lineRule="auto"/>
        <w:tabs>
          <w:tab w:leader="none" w:pos="760" w:val="left"/>
        </w:tabs>
        <w:rPr>
          <w:rFonts w:ascii="Arial" w:cs="Arial" w:eastAsia="Arial" w:hAnsi="Arial"/>
          <w:sz w:val="18"/>
          <w:szCs w:val="18"/>
          <w:b w:val="1"/>
          <w:bCs w:val="1"/>
          <w:color w:val="0000FF"/>
        </w:rPr>
      </w:pPr>
      <w:hyperlink r:id="rId36">
        <w:r>
          <w:rPr>
            <w:rFonts w:ascii="Arial" w:cs="Arial" w:eastAsia="Arial" w:hAnsi="Arial"/>
            <w:sz w:val="18"/>
            <w:szCs w:val="18"/>
            <w:b w:val="1"/>
            <w:bCs w:val="1"/>
            <w:u w:val="single" w:color="auto"/>
            <w:color w:val="0000FF"/>
          </w:rPr>
          <w:t>4.12</w:t>
        </w:r>
      </w:hyperlink>
      <w:r>
        <w:rPr>
          <w:rFonts w:ascii="Arial" w:cs="Arial" w:eastAsia="Arial" w:hAnsi="Arial"/>
          <w:sz w:val="18"/>
          <w:szCs w:val="18"/>
          <w:b w:val="1"/>
          <w:bCs w:val="1"/>
          <w:color w:val="0000FF"/>
        </w:rPr>
        <w:tab/>
        <w:t>Sixth Supplemental Indenture, dated as of May 26, 2017, among Pentair, Inc., Pentair plc, Pentair Investments Switzerland GmbH and Wells Fargo Bank, National Association, as trustee (Incorporated by reference to Exhibit 4.2 to the Current Report on Form 8-K of Pentair plc filed with the Commission on May 31, 2017 (File No. 001-11625)).</w:t>
      </w:r>
    </w:p>
    <w:p>
      <w:pPr>
        <w:spacing w:after="0" w:line="141" w:lineRule="exact"/>
        <w:rPr>
          <w:sz w:val="20"/>
          <w:szCs w:val="20"/>
          <w:color w:val="auto"/>
        </w:rPr>
      </w:pPr>
    </w:p>
    <w:p>
      <w:pPr>
        <w:ind w:left="780" w:hanging="764"/>
        <w:spacing w:after="0" w:line="264" w:lineRule="auto"/>
        <w:tabs>
          <w:tab w:leader="none" w:pos="760" w:val="left"/>
        </w:tabs>
        <w:rPr>
          <w:rFonts w:ascii="Arial" w:cs="Arial" w:eastAsia="Arial" w:hAnsi="Arial"/>
          <w:sz w:val="18"/>
          <w:szCs w:val="18"/>
          <w:b w:val="1"/>
          <w:bCs w:val="1"/>
          <w:color w:val="0000FF"/>
        </w:rPr>
      </w:pPr>
      <w:hyperlink r:id="rId37">
        <w:r>
          <w:rPr>
            <w:rFonts w:ascii="Arial" w:cs="Arial" w:eastAsia="Arial" w:hAnsi="Arial"/>
            <w:sz w:val="18"/>
            <w:szCs w:val="18"/>
            <w:b w:val="1"/>
            <w:bCs w:val="1"/>
            <w:u w:val="single" w:color="auto"/>
            <w:color w:val="0000FF"/>
          </w:rPr>
          <w:t>4.13</w:t>
        </w:r>
      </w:hyperlink>
      <w:r>
        <w:rPr>
          <w:rFonts w:ascii="Arial" w:cs="Arial" w:eastAsia="Arial" w:hAnsi="Arial"/>
          <w:sz w:val="18"/>
          <w:szCs w:val="18"/>
          <w:b w:val="1"/>
          <w:bCs w:val="1"/>
          <w:color w:val="0000FF"/>
        </w:rPr>
        <w:tab/>
        <w:t>Credit Agreement, dated as of April 25, 2018, among Pentair plc, Pentair Investments Switzerland GmbH, Pentair Finance S.à r.l., Pentair, Inc. and the lenders and agents party thereto (Incorporated by reference to Exhibit 4.1 to the Current Report on Form 8-K of Pentair plc filed with the Commission on April 30, 2018) (File No. 001-11625)).</w:t>
      </w:r>
    </w:p>
    <w:p>
      <w:pPr>
        <w:spacing w:after="0" w:line="141" w:lineRule="exact"/>
        <w:rPr>
          <w:sz w:val="20"/>
          <w:szCs w:val="20"/>
          <w:color w:val="auto"/>
        </w:rPr>
      </w:pPr>
    </w:p>
    <w:p>
      <w:pPr>
        <w:ind w:left="780" w:right="160" w:hanging="764"/>
        <w:spacing w:after="0" w:line="312" w:lineRule="auto"/>
        <w:tabs>
          <w:tab w:leader="none" w:pos="760" w:val="left"/>
        </w:tabs>
        <w:rPr>
          <w:rFonts w:ascii="Arial" w:cs="Arial" w:eastAsia="Arial" w:hAnsi="Arial"/>
          <w:sz w:val="18"/>
          <w:szCs w:val="18"/>
          <w:b w:val="1"/>
          <w:bCs w:val="1"/>
          <w:color w:val="0000FF"/>
        </w:rPr>
      </w:pPr>
      <w:hyperlink r:id="rId38">
        <w:r>
          <w:rPr>
            <w:rFonts w:ascii="Arial" w:cs="Arial" w:eastAsia="Arial" w:hAnsi="Arial"/>
            <w:sz w:val="18"/>
            <w:szCs w:val="18"/>
            <w:b w:val="1"/>
            <w:bCs w:val="1"/>
            <w:u w:val="single" w:color="auto"/>
            <w:color w:val="0000FF"/>
          </w:rPr>
          <w:t>4.14</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Amendment No. 1, dated as of December 2, 2019, to Credit Agreement, dated as of April 15, 2018, among Pentair plc, Pentair Investments Switzerland GmbH, Pentair Finance S.à r.l., Pentair, Inc. and the lenders and agents party thereto (Incorporated by reference to Exhibit 4.1 to the Current Report on Form 8-K of Pentair plc filed with the Commission on December 6, 2019) (File No. 001-11625)).</w:t>
      </w:r>
    </w:p>
    <w:p>
      <w:pPr>
        <w:spacing w:after="0" w:line="106" w:lineRule="exact"/>
        <w:rPr>
          <w:sz w:val="20"/>
          <w:szCs w:val="20"/>
          <w:color w:val="auto"/>
        </w:rPr>
      </w:pPr>
    </w:p>
    <w:p>
      <w:pPr>
        <w:ind w:left="780" w:right="80" w:hanging="764"/>
        <w:spacing w:after="0" w:line="286" w:lineRule="auto"/>
        <w:tabs>
          <w:tab w:leader="none" w:pos="760" w:val="left"/>
        </w:tabs>
        <w:rPr>
          <w:rFonts w:ascii="Arial" w:cs="Arial" w:eastAsia="Arial" w:hAnsi="Arial"/>
          <w:sz w:val="18"/>
          <w:szCs w:val="18"/>
          <w:b w:val="1"/>
          <w:bCs w:val="1"/>
          <w:color w:val="0000FF"/>
        </w:rPr>
      </w:pPr>
      <w:hyperlink r:id="rId39">
        <w:r>
          <w:rPr>
            <w:rFonts w:ascii="Arial" w:cs="Arial" w:eastAsia="Arial" w:hAnsi="Arial"/>
            <w:sz w:val="18"/>
            <w:szCs w:val="18"/>
            <w:b w:val="1"/>
            <w:bCs w:val="1"/>
            <w:u w:val="single" w:color="auto"/>
            <w:color w:val="0000FF"/>
          </w:rPr>
          <w:t>4.15</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Indenture, dated as of September 16, 2015, among Pentair Finance S.A. (as Issuer), Pentair plc (as Parent and Guarantor), Pentair Investments Switzerland GmbH (as Guarantor) and U.S. Bank National Association (as Trustee) (Incorporated by reference to Exhibit 4.1 to the Current Report on Form 8-K of Pentair plc filed with the Commission on September 16, 2015 (File No. 001-11625)).</w:t>
      </w:r>
    </w:p>
    <w:p>
      <w:pPr>
        <w:spacing w:after="0" w:line="125" w:lineRule="exact"/>
        <w:rPr>
          <w:sz w:val="20"/>
          <w:szCs w:val="20"/>
          <w:color w:val="auto"/>
        </w:rPr>
      </w:pPr>
    </w:p>
    <w:p>
      <w:pPr>
        <w:ind w:left="780" w:right="280" w:hanging="764"/>
        <w:spacing w:after="0" w:line="259" w:lineRule="auto"/>
        <w:tabs>
          <w:tab w:leader="none" w:pos="760" w:val="left"/>
        </w:tabs>
        <w:rPr>
          <w:rFonts w:ascii="Arial" w:cs="Arial" w:eastAsia="Arial" w:hAnsi="Arial"/>
          <w:sz w:val="18"/>
          <w:szCs w:val="18"/>
          <w:b w:val="1"/>
          <w:bCs w:val="1"/>
          <w:color w:val="0000FF"/>
        </w:rPr>
      </w:pPr>
      <w:hyperlink r:id="rId40">
        <w:r>
          <w:rPr>
            <w:rFonts w:ascii="Arial" w:cs="Arial" w:eastAsia="Arial" w:hAnsi="Arial"/>
            <w:sz w:val="18"/>
            <w:szCs w:val="18"/>
            <w:b w:val="1"/>
            <w:bCs w:val="1"/>
            <w:u w:val="single" w:color="auto"/>
            <w:color w:val="0000FF"/>
          </w:rPr>
          <w:t>4.16</w:t>
        </w:r>
      </w:hyperlink>
      <w:r>
        <w:rPr>
          <w:rFonts w:ascii="Arial" w:cs="Arial" w:eastAsia="Arial" w:hAnsi="Arial"/>
          <w:sz w:val="18"/>
          <w:szCs w:val="18"/>
          <w:b w:val="1"/>
          <w:bCs w:val="1"/>
          <w:color w:val="0000FF"/>
        </w:rPr>
        <w:tab/>
        <w:t>Second Supplemental Indenture, dated as of September 16, 2015, among Pentair Finance S.A. (as Issuer), Pentair plc (as Parent and Guarantor), Pentair Investments Switzerland GmbH (as Guarantor) and U.S. Bank National Association (as Trustee) (Incorporated by reference to Exhibit 4.3 to the Current Report on Form 8-K of Pentair plc filed with the Commission on September 16, 2015 (File No. 001-11625)).</w:t>
      </w:r>
    </w:p>
    <w:p>
      <w:pPr>
        <w:spacing w:after="0" w:line="33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540" w:top="837" w:right="279" w:bottom="1440" w:gutter="0" w:footer="0" w:header="0"/>
        </w:sectPr>
      </w:pPr>
    </w:p>
    <w:bookmarkStart w:id="96" w:name="page97"/>
    <w:bookmarkEnd w:id="96"/>
    <w:p>
      <w:pPr>
        <w:jc w:val="both"/>
        <w:ind w:left="820" w:right="40" w:hanging="764"/>
        <w:spacing w:after="0" w:line="312" w:lineRule="auto"/>
        <w:tabs>
          <w:tab w:leader="none" w:pos="800" w:val="left"/>
        </w:tabs>
        <w:rPr>
          <w:rFonts w:ascii="Arial" w:cs="Arial" w:eastAsia="Arial" w:hAnsi="Arial"/>
          <w:sz w:val="18"/>
          <w:szCs w:val="18"/>
          <w:b w:val="1"/>
          <w:bCs w:val="1"/>
          <w:color w:val="0000FF"/>
        </w:rPr>
      </w:pPr>
      <w:hyperlink r:id="rId41">
        <w:r>
          <w:rPr>
            <w:rFonts w:ascii="Arial" w:cs="Arial" w:eastAsia="Arial" w:hAnsi="Arial"/>
            <w:sz w:val="18"/>
            <w:szCs w:val="18"/>
            <w:b w:val="1"/>
            <w:bCs w:val="1"/>
            <w:u w:val="single" w:color="auto"/>
            <w:color w:val="0000FF"/>
          </w:rPr>
          <w:t>4.17</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Third Supplemental Indenture, dated as of September 16, 2015, among Pentair Finance S.A. (as Issuer), Pentair plc (as Parent and Guarantor), Pentair Investments Switzerland GmbH (as Guarantor) and U.S. Bank National Association (as Trustee) (Incorporated by reference to Exhibit 4.4 to the Current Report on Form 8-K of Pentair plc filed with the Commission on September 16, 2015 (File No. 001-11625)).</w:t>
      </w:r>
    </w:p>
    <w:p>
      <w:pPr>
        <w:spacing w:after="0" w:line="106" w:lineRule="exact"/>
        <w:rPr>
          <w:sz w:val="20"/>
          <w:szCs w:val="20"/>
          <w:color w:val="auto"/>
        </w:rPr>
      </w:pPr>
    </w:p>
    <w:p>
      <w:pPr>
        <w:ind w:left="820" w:right="260" w:hanging="764"/>
        <w:spacing w:after="0" w:line="259" w:lineRule="auto"/>
        <w:tabs>
          <w:tab w:leader="none" w:pos="800" w:val="left"/>
        </w:tabs>
        <w:rPr>
          <w:rFonts w:ascii="Arial" w:cs="Arial" w:eastAsia="Arial" w:hAnsi="Arial"/>
          <w:sz w:val="18"/>
          <w:szCs w:val="18"/>
          <w:b w:val="1"/>
          <w:bCs w:val="1"/>
          <w:color w:val="0000FF"/>
        </w:rPr>
      </w:pPr>
      <w:hyperlink r:id="rId42">
        <w:r>
          <w:rPr>
            <w:rFonts w:ascii="Arial" w:cs="Arial" w:eastAsia="Arial" w:hAnsi="Arial"/>
            <w:sz w:val="18"/>
            <w:szCs w:val="18"/>
            <w:b w:val="1"/>
            <w:bCs w:val="1"/>
            <w:u w:val="single" w:color="auto"/>
            <w:color w:val="0000FF"/>
          </w:rPr>
          <w:t>4.18</w:t>
        </w:r>
      </w:hyperlink>
      <w:r>
        <w:rPr>
          <w:rFonts w:ascii="Arial" w:cs="Arial" w:eastAsia="Arial" w:hAnsi="Arial"/>
          <w:sz w:val="18"/>
          <w:szCs w:val="18"/>
          <w:b w:val="1"/>
          <w:bCs w:val="1"/>
          <w:color w:val="0000FF"/>
        </w:rPr>
        <w:tab/>
        <w:t>Fourth Supplemental Indenture, dated as of September 17, 2015, among Pentair Finance S.A. (as Issuer), Pentair plc (as Parent and Guarantor), Pentair Investments Switzerland GmbH (as Guarantor) and U.S. Bank National Association (as Trustee) (Incorporated by reference to Exhibit 4.2 to the Current Report on Form 8-K of Pentair plc filed with the Commission on September 17, 2015 (File No. 001-11625)).</w:t>
      </w:r>
    </w:p>
    <w:p>
      <w:pPr>
        <w:spacing w:after="0" w:line="146" w:lineRule="exact"/>
        <w:rPr>
          <w:sz w:val="20"/>
          <w:szCs w:val="20"/>
          <w:color w:val="auto"/>
        </w:rPr>
      </w:pPr>
    </w:p>
    <w:p>
      <w:pPr>
        <w:ind w:left="820" w:hanging="764"/>
        <w:spacing w:after="0" w:line="264" w:lineRule="auto"/>
        <w:tabs>
          <w:tab w:leader="none" w:pos="800" w:val="left"/>
        </w:tabs>
        <w:rPr>
          <w:rFonts w:ascii="Arial" w:cs="Arial" w:eastAsia="Arial" w:hAnsi="Arial"/>
          <w:sz w:val="18"/>
          <w:szCs w:val="18"/>
          <w:b w:val="1"/>
          <w:bCs w:val="1"/>
          <w:color w:val="0000FF"/>
        </w:rPr>
      </w:pPr>
      <w:hyperlink r:id="rId43">
        <w:r>
          <w:rPr>
            <w:rFonts w:ascii="Arial" w:cs="Arial" w:eastAsia="Arial" w:hAnsi="Arial"/>
            <w:sz w:val="18"/>
            <w:szCs w:val="18"/>
            <w:b w:val="1"/>
            <w:bCs w:val="1"/>
            <w:u w:val="single" w:color="auto"/>
            <w:color w:val="0000FF"/>
          </w:rPr>
          <w:t>4.19</w:t>
        </w:r>
      </w:hyperlink>
      <w:r>
        <w:rPr>
          <w:rFonts w:ascii="Arial" w:cs="Arial" w:eastAsia="Arial" w:hAnsi="Arial"/>
          <w:sz w:val="18"/>
          <w:szCs w:val="18"/>
          <w:b w:val="1"/>
          <w:bCs w:val="1"/>
          <w:color w:val="0000FF"/>
        </w:rPr>
        <w:tab/>
        <w:t>Fifth Supplemental Indenture, dated as of May 26, 2017, among Pentair Finance S.A., Pentair plc, Pentair Investments Switzerland GmbH and U.S. Bank National Association, as trustee (Incorporated by reference to Exhibit 4.3 to the Current Report on Form 8-K of Pentair plc filed with the Commission on May 31, 2017 (File No. 001-11625)).</w:t>
      </w:r>
    </w:p>
    <w:p>
      <w:pPr>
        <w:spacing w:after="0" w:line="141" w:lineRule="exact"/>
        <w:rPr>
          <w:sz w:val="20"/>
          <w:szCs w:val="20"/>
          <w:color w:val="auto"/>
        </w:rPr>
      </w:pPr>
    </w:p>
    <w:p>
      <w:pPr>
        <w:ind w:left="820" w:right="60" w:hanging="764"/>
        <w:spacing w:after="0" w:line="312" w:lineRule="auto"/>
        <w:tabs>
          <w:tab w:leader="none" w:pos="800" w:val="left"/>
        </w:tabs>
        <w:rPr>
          <w:rFonts w:ascii="Arial" w:cs="Arial" w:eastAsia="Arial" w:hAnsi="Arial"/>
          <w:sz w:val="18"/>
          <w:szCs w:val="18"/>
          <w:b w:val="1"/>
          <w:bCs w:val="1"/>
          <w:color w:val="0000FF"/>
        </w:rPr>
      </w:pPr>
      <w:hyperlink r:id="rId44">
        <w:r>
          <w:rPr>
            <w:rFonts w:ascii="Arial" w:cs="Arial" w:eastAsia="Arial" w:hAnsi="Arial"/>
            <w:sz w:val="18"/>
            <w:szCs w:val="18"/>
            <w:b w:val="1"/>
            <w:bCs w:val="1"/>
            <w:u w:val="single" w:color="auto"/>
            <w:color w:val="0000FF"/>
          </w:rPr>
          <w:t>4.20</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Sixth Supplemental Indenture, dated as of June 21, 2019, among Pentair Finance S.à r.l. (as Issuer), Pentair plc (as Parent and Guarantor), Pentair Investments Switzerland GmbH (as Guarantor) and U.S. Bank National Association (as Trustee) (Incorporated by reference to Exhibit 4.2 to the Current Report on Form 8-K of Pentair plc filed with the Commission on June 21, 2019 (File No. 001-11625)).</w:t>
      </w:r>
    </w:p>
    <w:p>
      <w:pPr>
        <w:spacing w:after="0" w:line="106" w:lineRule="exact"/>
        <w:rPr>
          <w:sz w:val="20"/>
          <w:szCs w:val="20"/>
          <w:color w:val="auto"/>
        </w:rPr>
      </w:pPr>
    </w:p>
    <w:p>
      <w:pPr>
        <w:ind w:left="40"/>
        <w:spacing w:after="0"/>
        <w:tabs>
          <w:tab w:leader="none" w:pos="800" w:val="left"/>
        </w:tabs>
        <w:rPr>
          <w:rFonts w:ascii="Arial" w:cs="Arial" w:eastAsia="Arial" w:hAnsi="Arial"/>
          <w:sz w:val="18"/>
          <w:szCs w:val="18"/>
          <w:b w:val="1"/>
          <w:bCs w:val="1"/>
          <w:color w:val="0000FF"/>
        </w:rPr>
      </w:pPr>
      <w:hyperlink w:anchor="page101">
        <w:r>
          <w:rPr>
            <w:rFonts w:ascii="Arial" w:cs="Arial" w:eastAsia="Arial" w:hAnsi="Arial"/>
            <w:sz w:val="18"/>
            <w:szCs w:val="18"/>
            <w:b w:val="1"/>
            <w:bCs w:val="1"/>
            <w:u w:val="single" w:color="auto"/>
            <w:color w:val="0000FF"/>
          </w:rPr>
          <w:t>4.21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Description of Securities.</w:t>
      </w:r>
    </w:p>
    <w:p>
      <w:pPr>
        <w:spacing w:after="0" w:line="185" w:lineRule="exact"/>
        <w:rPr>
          <w:sz w:val="20"/>
          <w:szCs w:val="20"/>
          <w:color w:val="auto"/>
        </w:rPr>
      </w:pPr>
    </w:p>
    <w:p>
      <w:pPr>
        <w:ind w:left="820" w:right="320" w:hanging="764"/>
        <w:spacing w:after="0" w:line="264" w:lineRule="auto"/>
        <w:tabs>
          <w:tab w:leader="none" w:pos="800" w:val="left"/>
        </w:tabs>
        <w:rPr>
          <w:rFonts w:ascii="Arial" w:cs="Arial" w:eastAsia="Arial" w:hAnsi="Arial"/>
          <w:sz w:val="18"/>
          <w:szCs w:val="18"/>
          <w:b w:val="1"/>
          <w:bCs w:val="1"/>
          <w:color w:val="0000FF"/>
        </w:rPr>
      </w:pPr>
      <w:hyperlink r:id="rId45">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t>Tax Sharing Agreement, dated September 28, 2012 by and among Pentair Ltd., Tyco International Ltd. and The ADT Corporation (Incorporated by reference to Exhibit 10.1 in the Current Report on Form 8-K of Pentair Ltd. filed with the Commission on September 28, 2012 (File No. 001-11625)).</w:t>
      </w:r>
    </w:p>
    <w:p>
      <w:pPr>
        <w:spacing w:after="0" w:line="141" w:lineRule="exact"/>
        <w:rPr>
          <w:sz w:val="20"/>
          <w:szCs w:val="20"/>
          <w:color w:val="auto"/>
        </w:rPr>
      </w:pPr>
    </w:p>
    <w:p>
      <w:pPr>
        <w:ind w:left="820" w:right="40" w:hanging="764"/>
        <w:spacing w:after="0" w:line="277" w:lineRule="auto"/>
        <w:tabs>
          <w:tab w:leader="none" w:pos="800" w:val="left"/>
        </w:tabs>
        <w:rPr>
          <w:rFonts w:ascii="Arial" w:cs="Arial" w:eastAsia="Arial" w:hAnsi="Arial"/>
          <w:sz w:val="18"/>
          <w:szCs w:val="18"/>
          <w:b w:val="1"/>
          <w:bCs w:val="1"/>
          <w:color w:val="0000FF"/>
        </w:rPr>
      </w:pPr>
      <w:hyperlink r:id="rId46">
        <w:r>
          <w:rPr>
            <w:rFonts w:ascii="Arial" w:cs="Arial" w:eastAsia="Arial" w:hAnsi="Arial"/>
            <w:sz w:val="18"/>
            <w:szCs w:val="18"/>
            <w:b w:val="1"/>
            <w:bCs w:val="1"/>
            <w:u w:val="single" w:color="auto"/>
            <w:color w:val="0000FF"/>
          </w:rPr>
          <w:t>10.2</w:t>
        </w:r>
      </w:hyperlink>
      <w:r>
        <w:rPr>
          <w:rFonts w:ascii="Arial" w:cs="Arial" w:eastAsia="Arial" w:hAnsi="Arial"/>
          <w:sz w:val="18"/>
          <w:szCs w:val="18"/>
          <w:b w:val="1"/>
          <w:bCs w:val="1"/>
          <w:color w:val="0000FF"/>
        </w:rPr>
        <w:tab/>
        <w:t>Pentair plc 2012 Stock and Incentive Plan, as amended and restated effective as of January 1, 2017. (Incorporated by reference to Exhibit 10.2 to the Annual Report on Form 10-K of Pentair plc for the year ended December 31, 2016 (File No. 001-11625)).*</w:t>
      </w:r>
    </w:p>
    <w:p>
      <w:pPr>
        <w:spacing w:after="0" w:line="130" w:lineRule="exact"/>
        <w:rPr>
          <w:sz w:val="20"/>
          <w:szCs w:val="20"/>
          <w:color w:val="auto"/>
        </w:rPr>
      </w:pPr>
    </w:p>
    <w:p>
      <w:pPr>
        <w:ind w:left="820" w:right="40" w:hanging="764"/>
        <w:spacing w:after="0" w:line="277" w:lineRule="auto"/>
        <w:tabs>
          <w:tab w:leader="none" w:pos="800" w:val="left"/>
        </w:tabs>
        <w:rPr>
          <w:rFonts w:ascii="Arial" w:cs="Arial" w:eastAsia="Arial" w:hAnsi="Arial"/>
          <w:sz w:val="18"/>
          <w:szCs w:val="18"/>
          <w:b w:val="1"/>
          <w:bCs w:val="1"/>
          <w:color w:val="0000FF"/>
        </w:rPr>
      </w:pPr>
      <w:hyperlink r:id="rId47">
        <w:r>
          <w:rPr>
            <w:rFonts w:ascii="Arial" w:cs="Arial" w:eastAsia="Arial" w:hAnsi="Arial"/>
            <w:sz w:val="18"/>
            <w:szCs w:val="18"/>
            <w:b w:val="1"/>
            <w:bCs w:val="1"/>
            <w:u w:val="single" w:color="auto"/>
            <w:color w:val="0000FF"/>
          </w:rPr>
          <w:t>10.3</w:t>
        </w:r>
      </w:hyperlink>
      <w:r>
        <w:rPr>
          <w:rFonts w:ascii="Arial" w:cs="Arial" w:eastAsia="Arial" w:hAnsi="Arial"/>
          <w:sz w:val="18"/>
          <w:szCs w:val="18"/>
          <w:b w:val="1"/>
          <w:bCs w:val="1"/>
          <w:color w:val="0000FF"/>
        </w:rPr>
        <w:tab/>
        <w:t>Form of Executive Officer Stock Option Grant Agreement for grants made prior to January 1, 2017 (Incorporated by reference to Exhibit 10.7 in the Current Report on Form 8-K of Pentair plc filed with the Commission on June 3, 2014 (File No. 001-11625)).*</w:t>
      </w:r>
    </w:p>
    <w:p>
      <w:pPr>
        <w:spacing w:after="0" w:line="130" w:lineRule="exact"/>
        <w:rPr>
          <w:sz w:val="20"/>
          <w:szCs w:val="20"/>
          <w:color w:val="auto"/>
        </w:rPr>
      </w:pPr>
    </w:p>
    <w:p>
      <w:pPr>
        <w:ind w:left="820" w:right="380" w:hanging="764"/>
        <w:spacing w:after="0" w:line="342" w:lineRule="auto"/>
        <w:tabs>
          <w:tab w:leader="none" w:pos="800" w:val="left"/>
        </w:tabs>
        <w:rPr>
          <w:rFonts w:ascii="Arial" w:cs="Arial" w:eastAsia="Arial" w:hAnsi="Arial"/>
          <w:sz w:val="18"/>
          <w:szCs w:val="18"/>
          <w:b w:val="1"/>
          <w:bCs w:val="1"/>
          <w:color w:val="0000FF"/>
        </w:rPr>
      </w:pPr>
      <w:hyperlink r:id="rId48">
        <w:r>
          <w:rPr>
            <w:rFonts w:ascii="Arial" w:cs="Arial" w:eastAsia="Arial" w:hAnsi="Arial"/>
            <w:sz w:val="18"/>
            <w:szCs w:val="18"/>
            <w:b w:val="1"/>
            <w:bCs w:val="1"/>
            <w:u w:val="single" w:color="auto"/>
            <w:color w:val="0000FF"/>
          </w:rPr>
          <w:t>10.4</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Executive Officer Restricted Stock Unit Grant Agreement for grants made prior to January 1, 2017 (Incorporated by reference to Exhibit 10.8 in the Current Report on Form 8-K of Pentair plc filed with the Commission on June 3, 2014 (File No. 001-11625)).*</w:t>
      </w:r>
    </w:p>
    <w:p>
      <w:pPr>
        <w:spacing w:after="0" w:line="83" w:lineRule="exact"/>
        <w:rPr>
          <w:sz w:val="20"/>
          <w:szCs w:val="20"/>
          <w:color w:val="auto"/>
        </w:rPr>
      </w:pPr>
    </w:p>
    <w:p>
      <w:pPr>
        <w:ind w:left="820" w:hanging="764"/>
        <w:spacing w:after="0" w:line="277" w:lineRule="auto"/>
        <w:tabs>
          <w:tab w:leader="none" w:pos="800" w:val="left"/>
        </w:tabs>
        <w:rPr>
          <w:rFonts w:ascii="Arial" w:cs="Arial" w:eastAsia="Arial" w:hAnsi="Arial"/>
          <w:sz w:val="18"/>
          <w:szCs w:val="18"/>
          <w:b w:val="1"/>
          <w:bCs w:val="1"/>
          <w:color w:val="0000FF"/>
        </w:rPr>
      </w:pPr>
      <w:hyperlink r:id="rId49">
        <w:r>
          <w:rPr>
            <w:rFonts w:ascii="Arial" w:cs="Arial" w:eastAsia="Arial" w:hAnsi="Arial"/>
            <w:sz w:val="18"/>
            <w:szCs w:val="18"/>
            <w:b w:val="1"/>
            <w:bCs w:val="1"/>
            <w:u w:val="single" w:color="auto"/>
            <w:color w:val="0000FF"/>
          </w:rPr>
          <w:t>10.5</w:t>
        </w:r>
      </w:hyperlink>
      <w:r>
        <w:rPr>
          <w:rFonts w:ascii="Arial" w:cs="Arial" w:eastAsia="Arial" w:hAnsi="Arial"/>
          <w:sz w:val="18"/>
          <w:szCs w:val="18"/>
          <w:b w:val="1"/>
          <w:bCs w:val="1"/>
          <w:color w:val="0000FF"/>
        </w:rPr>
        <w:tab/>
        <w:t>Form of Non-Employee Director Stock Option Grant Agreement (Incorporated by reference to Exhibit 10.10 in the Current Report on Form 8-K of Pentair plc filed with the Commission on June 3, 2014 (File No. 001-11625)).*</w:t>
      </w:r>
    </w:p>
    <w:p>
      <w:pPr>
        <w:spacing w:after="0" w:line="130" w:lineRule="exact"/>
        <w:rPr>
          <w:sz w:val="20"/>
          <w:szCs w:val="20"/>
          <w:color w:val="auto"/>
        </w:rPr>
      </w:pPr>
    </w:p>
    <w:p>
      <w:pPr>
        <w:ind w:left="820" w:right="40" w:hanging="764"/>
        <w:spacing w:after="0" w:line="277" w:lineRule="auto"/>
        <w:tabs>
          <w:tab w:leader="none" w:pos="800" w:val="left"/>
        </w:tabs>
        <w:rPr>
          <w:rFonts w:ascii="Arial" w:cs="Arial" w:eastAsia="Arial" w:hAnsi="Arial"/>
          <w:sz w:val="18"/>
          <w:szCs w:val="18"/>
          <w:b w:val="1"/>
          <w:bCs w:val="1"/>
          <w:color w:val="0000FF"/>
        </w:rPr>
      </w:pPr>
      <w:hyperlink r:id="rId50">
        <w:r>
          <w:rPr>
            <w:rFonts w:ascii="Arial" w:cs="Arial" w:eastAsia="Arial" w:hAnsi="Arial"/>
            <w:sz w:val="18"/>
            <w:szCs w:val="18"/>
            <w:b w:val="1"/>
            <w:bCs w:val="1"/>
            <w:u w:val="single" w:color="auto"/>
            <w:color w:val="0000FF"/>
          </w:rPr>
          <w:t>10.6</w:t>
        </w:r>
      </w:hyperlink>
      <w:r>
        <w:rPr>
          <w:rFonts w:ascii="Arial" w:cs="Arial" w:eastAsia="Arial" w:hAnsi="Arial"/>
          <w:sz w:val="18"/>
          <w:szCs w:val="18"/>
          <w:b w:val="1"/>
          <w:bCs w:val="1"/>
          <w:color w:val="0000FF"/>
        </w:rPr>
        <w:tab/>
        <w:t>Form of Non-Employee Director Restricted Stock Unit Grant Agreement (Incorporated by reference to Exhibit 10.11 in the Current Report on Form 8-K of Pentair plc filed with the Commission on June 3, 2014 (File No. 001-11625)).*</w:t>
      </w:r>
    </w:p>
    <w:p>
      <w:pPr>
        <w:spacing w:after="0" w:line="130" w:lineRule="exact"/>
        <w:rPr>
          <w:sz w:val="20"/>
          <w:szCs w:val="20"/>
          <w:color w:val="auto"/>
        </w:rPr>
      </w:pPr>
    </w:p>
    <w:p>
      <w:pPr>
        <w:ind w:left="820" w:right="340" w:hanging="764"/>
        <w:spacing w:after="0" w:line="277" w:lineRule="auto"/>
        <w:tabs>
          <w:tab w:leader="none" w:pos="800" w:val="left"/>
        </w:tabs>
        <w:rPr>
          <w:rFonts w:ascii="Arial" w:cs="Arial" w:eastAsia="Arial" w:hAnsi="Arial"/>
          <w:sz w:val="18"/>
          <w:szCs w:val="18"/>
          <w:b w:val="1"/>
          <w:bCs w:val="1"/>
          <w:color w:val="0000FF"/>
        </w:rPr>
      </w:pPr>
      <w:hyperlink r:id="rId51">
        <w:r>
          <w:rPr>
            <w:rFonts w:ascii="Arial" w:cs="Arial" w:eastAsia="Arial" w:hAnsi="Arial"/>
            <w:sz w:val="18"/>
            <w:szCs w:val="18"/>
            <w:b w:val="1"/>
            <w:bCs w:val="1"/>
            <w:u w:val="single" w:color="auto"/>
            <w:color w:val="0000FF"/>
          </w:rPr>
          <w:t>10.7</w:t>
        </w:r>
      </w:hyperlink>
      <w:r>
        <w:rPr>
          <w:rFonts w:ascii="Arial" w:cs="Arial" w:eastAsia="Arial" w:hAnsi="Arial"/>
          <w:sz w:val="18"/>
          <w:szCs w:val="18"/>
          <w:b w:val="1"/>
          <w:bCs w:val="1"/>
          <w:color w:val="0000FF"/>
        </w:rPr>
        <w:tab/>
        <w:t>Form of Performance Share Units Grant Agreement for grants made during 2016 (Incorporated by reference to Exhibit 10.8 in the Annual Report on Form 10-K of Pentair plc filed with the Commission on February 26, 2016 (File No. 001-11625)).*</w:t>
      </w:r>
    </w:p>
    <w:p>
      <w:pPr>
        <w:spacing w:after="0" w:line="130" w:lineRule="exact"/>
        <w:rPr>
          <w:sz w:val="20"/>
          <w:szCs w:val="20"/>
          <w:color w:val="auto"/>
        </w:rPr>
      </w:pPr>
    </w:p>
    <w:p>
      <w:pPr>
        <w:ind w:left="40"/>
        <w:spacing w:after="0"/>
        <w:tabs>
          <w:tab w:leader="none" w:pos="800" w:val="left"/>
        </w:tabs>
        <w:rPr>
          <w:rFonts w:ascii="Arial" w:cs="Arial" w:eastAsia="Arial" w:hAnsi="Arial"/>
          <w:sz w:val="18"/>
          <w:szCs w:val="18"/>
          <w:b w:val="1"/>
          <w:bCs w:val="1"/>
          <w:color w:val="0000FF"/>
        </w:rPr>
      </w:pPr>
      <w:hyperlink r:id="rId52">
        <w:r>
          <w:rPr>
            <w:rFonts w:ascii="Arial" w:cs="Arial" w:eastAsia="Arial" w:hAnsi="Arial"/>
            <w:sz w:val="18"/>
            <w:szCs w:val="18"/>
            <w:b w:val="1"/>
            <w:bCs w:val="1"/>
            <w:u w:val="single" w:color="auto"/>
            <w:color w:val="0000FF"/>
          </w:rPr>
          <w:t>10.8</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Pentair plc 2008 Omnibus Stock Incentive Plan, as amended and restated effective as of January 1, 2017 (Incorporated by reference to Exhibit</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10.9 to the Annual Report on Form 10-K of Pentair plc for the year ended December 31, 2016 (File No. 001-11625)).*</w:t>
      </w:r>
    </w:p>
    <w:p>
      <w:pPr>
        <w:spacing w:after="0" w:line="166" w:lineRule="exact"/>
        <w:rPr>
          <w:sz w:val="20"/>
          <w:szCs w:val="20"/>
          <w:color w:val="auto"/>
        </w:rPr>
      </w:pPr>
    </w:p>
    <w:p>
      <w:pPr>
        <w:ind w:left="40"/>
        <w:spacing w:after="0"/>
        <w:tabs>
          <w:tab w:leader="none" w:pos="800" w:val="left"/>
        </w:tabs>
        <w:rPr>
          <w:rFonts w:ascii="Arial" w:cs="Arial" w:eastAsia="Arial" w:hAnsi="Arial"/>
          <w:sz w:val="18"/>
          <w:szCs w:val="18"/>
          <w:b w:val="1"/>
          <w:bCs w:val="1"/>
          <w:color w:val="0000FF"/>
        </w:rPr>
      </w:pPr>
      <w:hyperlink r:id="rId53">
        <w:r>
          <w:rPr>
            <w:rFonts w:ascii="Arial" w:cs="Arial" w:eastAsia="Arial" w:hAnsi="Arial"/>
            <w:sz w:val="18"/>
            <w:szCs w:val="18"/>
            <w:b w:val="1"/>
            <w:bCs w:val="1"/>
            <w:u w:val="single" w:color="auto"/>
            <w:color w:val="0000FF"/>
          </w:rPr>
          <w:t>10.9</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Pentair plc Omnibus Stock Incentive Plan, as amended and restated (Incorporated by reference to Exhibit 10.3 in the Current Report on Form</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8-K of Pentair plc filed with the Commission on June 3, 2014 (File No. 001-11625)).*</w:t>
      </w:r>
    </w:p>
    <w:p>
      <w:pPr>
        <w:spacing w:after="0" w:line="166" w:lineRule="exact"/>
        <w:rPr>
          <w:sz w:val="20"/>
          <w:szCs w:val="20"/>
          <w:color w:val="auto"/>
        </w:rPr>
      </w:pPr>
    </w:p>
    <w:p>
      <w:pPr>
        <w:ind w:left="820" w:right="460" w:hanging="809"/>
        <w:spacing w:after="0" w:line="308" w:lineRule="auto"/>
        <w:tabs>
          <w:tab w:leader="none" w:pos="800" w:val="left"/>
        </w:tabs>
        <w:rPr>
          <w:rFonts w:ascii="Arial" w:cs="Arial" w:eastAsia="Arial" w:hAnsi="Arial"/>
          <w:sz w:val="18"/>
          <w:szCs w:val="18"/>
          <w:b w:val="1"/>
          <w:bCs w:val="1"/>
          <w:color w:val="0000FF"/>
        </w:rPr>
      </w:pPr>
      <w:hyperlink r:id="rId54">
        <w:r>
          <w:rPr>
            <w:rFonts w:ascii="Arial" w:cs="Arial" w:eastAsia="Arial" w:hAnsi="Arial"/>
            <w:sz w:val="18"/>
            <w:szCs w:val="18"/>
            <w:b w:val="1"/>
            <w:bCs w:val="1"/>
            <w:u w:val="single" w:color="auto"/>
            <w:color w:val="0000FF"/>
          </w:rPr>
          <w:t>10.10</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Pentair plc Outside Directors Nonqualified Stock Option Plan, as amended and restated (Incorporated by reference to Exhibit 10.4 in the Current Report on Form 8-K of Pentair plc filed with the Commission on June 3, 2014 (File No. 001-11625)).*</w:t>
      </w:r>
    </w:p>
    <w:p>
      <w:pPr>
        <w:spacing w:after="0" w:line="106" w:lineRule="exact"/>
        <w:rPr>
          <w:sz w:val="20"/>
          <w:szCs w:val="20"/>
          <w:color w:val="auto"/>
        </w:rPr>
      </w:pPr>
    </w:p>
    <w:p>
      <w:pPr>
        <w:jc w:val="both"/>
        <w:ind w:left="820" w:right="160" w:hanging="804"/>
        <w:spacing w:after="0" w:line="264" w:lineRule="auto"/>
        <w:tabs>
          <w:tab w:leader="none" w:pos="800" w:val="left"/>
        </w:tabs>
        <w:rPr>
          <w:rFonts w:ascii="Arial" w:cs="Arial" w:eastAsia="Arial" w:hAnsi="Arial"/>
          <w:sz w:val="18"/>
          <w:szCs w:val="18"/>
          <w:b w:val="1"/>
          <w:bCs w:val="1"/>
          <w:color w:val="0000FF"/>
        </w:rPr>
      </w:pPr>
      <w:hyperlink r:id="rId55">
        <w:r>
          <w:rPr>
            <w:rFonts w:ascii="Arial" w:cs="Arial" w:eastAsia="Arial" w:hAnsi="Arial"/>
            <w:sz w:val="18"/>
            <w:szCs w:val="18"/>
            <w:b w:val="1"/>
            <w:bCs w:val="1"/>
            <w:u w:val="single" w:color="auto"/>
            <w:color w:val="0000FF"/>
          </w:rPr>
          <w:t>10.11</w:t>
        </w:r>
      </w:hyperlink>
      <w:r>
        <w:rPr>
          <w:rFonts w:ascii="Arial" w:cs="Arial" w:eastAsia="Arial" w:hAnsi="Arial"/>
          <w:sz w:val="18"/>
          <w:szCs w:val="18"/>
          <w:b w:val="1"/>
          <w:bCs w:val="1"/>
          <w:color w:val="0000FF"/>
        </w:rPr>
        <w:tab/>
        <w:t>Form of Assignment and Assumption Agreement, among Pentair, Inc., Pentair Ltd. and the executive officers of Pentair Ltd. relating to Key Executive Employment and Severance Agreement (Incorporated by reference to Exhibit 10.12 in the Current Report on Form 8-K of Pentair Ltd. filed with the Commission on October 1, 2012 (File No. 001-11625)).*</w:t>
      </w:r>
    </w:p>
    <w:p>
      <w:pPr>
        <w:spacing w:after="0" w:line="141" w:lineRule="exact"/>
        <w:rPr>
          <w:sz w:val="20"/>
          <w:szCs w:val="20"/>
          <w:color w:val="auto"/>
        </w:rPr>
      </w:pPr>
    </w:p>
    <w:p>
      <w:pPr>
        <w:ind w:left="820" w:right="760" w:hanging="809"/>
        <w:spacing w:after="0" w:line="342" w:lineRule="auto"/>
        <w:tabs>
          <w:tab w:leader="none" w:pos="800" w:val="left"/>
        </w:tabs>
        <w:rPr>
          <w:rFonts w:ascii="Arial" w:cs="Arial" w:eastAsia="Arial" w:hAnsi="Arial"/>
          <w:sz w:val="18"/>
          <w:szCs w:val="18"/>
          <w:b w:val="1"/>
          <w:bCs w:val="1"/>
          <w:color w:val="0000FF"/>
        </w:rPr>
      </w:pPr>
      <w:hyperlink r:id="rId56">
        <w:r>
          <w:rPr>
            <w:rFonts w:ascii="Arial" w:cs="Arial" w:eastAsia="Arial" w:hAnsi="Arial"/>
            <w:sz w:val="18"/>
            <w:szCs w:val="18"/>
            <w:b w:val="1"/>
            <w:bCs w:val="1"/>
            <w:u w:val="single" w:color="auto"/>
            <w:color w:val="0000FF"/>
          </w:rPr>
          <w:t>10.12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John L. Stauch and Mark C. Borin (Incorporated by reference to Exhibit 10.1 in the Quarterly Report on Form 10-Q of Pentair plc for the quarter ended June 30, 2018 (File No. 001-11625)).*</w:t>
      </w:r>
    </w:p>
    <w:p>
      <w:pPr>
        <w:spacing w:after="0" w:line="83" w:lineRule="exact"/>
        <w:rPr>
          <w:sz w:val="20"/>
          <w:szCs w:val="20"/>
          <w:color w:val="auto"/>
        </w:rPr>
      </w:pPr>
    </w:p>
    <w:p>
      <w:pPr>
        <w:ind w:left="820" w:right="640" w:hanging="809"/>
        <w:spacing w:after="0" w:line="342" w:lineRule="auto"/>
        <w:tabs>
          <w:tab w:leader="none" w:pos="800" w:val="left"/>
        </w:tabs>
        <w:rPr>
          <w:rFonts w:ascii="Arial" w:cs="Arial" w:eastAsia="Arial" w:hAnsi="Arial"/>
          <w:sz w:val="18"/>
          <w:szCs w:val="18"/>
          <w:b w:val="1"/>
          <w:bCs w:val="1"/>
          <w:color w:val="0000FF"/>
        </w:rPr>
      </w:pPr>
      <w:hyperlink r:id="rId57">
        <w:r>
          <w:rPr>
            <w:rFonts w:ascii="Arial" w:cs="Arial" w:eastAsia="Arial" w:hAnsi="Arial"/>
            <w:sz w:val="18"/>
            <w:szCs w:val="18"/>
            <w:b w:val="1"/>
            <w:bCs w:val="1"/>
            <w:u w:val="single" w:color="auto"/>
            <w:color w:val="0000FF"/>
          </w:rPr>
          <w:t>10.13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Karl R. Frykman and John H. Jacko (Incorporated by reference to Exhibit 10.2 in the Quarterly Report on Form 10-Q of Pentair plc for the quarter ended June 30, 2018 (File No. 001-11625)).*</w:t>
      </w:r>
    </w:p>
    <w:p>
      <w:pPr>
        <w:spacing w:after="0" w:line="15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500" w:top="715" w:right="2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620" w:type="dxa"/>
            <w:vAlign w:val="bottom"/>
            <w:gridSpan w:val="3"/>
          </w:tcPr>
          <w:p>
            <w:pPr>
              <w:spacing w:after="0"/>
              <w:rPr>
                <w:rFonts w:ascii="Arial" w:cs="Arial" w:eastAsia="Arial" w:hAnsi="Arial"/>
                <w:sz w:val="18"/>
                <w:szCs w:val="18"/>
                <w:b w:val="1"/>
                <w:bCs w:val="1"/>
                <w:color w:val="0000FF"/>
              </w:rPr>
            </w:pPr>
            <w:hyperlink r:id="rId58">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14</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5"/>
              </w:rPr>
              <w:t>Form of Key Executive Employment and Severance Agreement for Karla C. Robertson, Kelly A. Baker, Philip M. Rolchigo and James P.</w:t>
            </w:r>
          </w:p>
        </w:tc>
      </w:tr>
      <w:tr>
        <w:trPr>
          <w:trHeight w:val="222"/>
        </w:trPr>
        <w:tc>
          <w:tcPr>
            <w:tcW w:w="2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Wamsley (Incorporated by reference to Exhibit 10.3 in the Quarterly Report on Form 10-Q of Pentair plc for the quarter ended June 30, 2018</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59">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15</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0"/>
              </w:rPr>
              <w:t>Pentair plc Compensation Plan for Non-Employee Directors, as amended and restated (Incorporated by reference to Exhibit 10.6 in the Current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Report on Form 8-K of Pentair plc filed with the Commission on June 3, 2014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0">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16</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Pentair plc Employee Stock Purchase and Bonus Plan, as amended and restated (Incorporated by reference to Exhibit 10.16 to the Annual</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Report on Form 10-K of Pentair plc for the year ended December 31, 2019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1">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17</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Pentair, Inc. Non-Qualified Deferred Compensation Plan, as amended and restated (Incorporated by reference to Exhibit 10.17 to the Annual</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Report on Form 10-K of Pentair plc for the year ended December 31, 2019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2">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18</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Trust Agreement for Pentair, Inc. Non-Qualified Deferred Compensation Plan between Pentair, Inc. and Fidelity Management Trust Company</w:t>
            </w:r>
          </w:p>
        </w:tc>
      </w:tr>
      <w:tr>
        <w:trPr>
          <w:trHeight w:val="222"/>
        </w:trPr>
        <w:tc>
          <w:tcPr>
            <w:tcW w:w="2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(Incorporated by reference to Exhibit 10.18 contained in the Annual Report on Form 10-K of Pentair, Inc. for the year ended December 31,</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1995 (File No. 000-04689)).*</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3">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19</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0"/>
              </w:rPr>
              <w:t>Pentair, Inc. 1999 Supplemental Executive Retirement Plan as Amended and Restated effective August 23, 2000 (Incorporated by reference to</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4"/>
              </w:rPr>
              <w:t>Exhibit 10.2 in the Current Report on Form 8-K of Pentair, Inc. filed with the Commission on September 21, 2000 (File No. 000-04689)).*</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4">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20</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89"/>
              </w:rPr>
              <w:t>Pentair, Inc. Supplemental Executive Retirement Plan effective January 1, 2009, as amended and restated (Incorporated by reference to Exhibit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10.13 in the Current Report on Form 8-K of Pentair plc filed with the Commission on June 3, 2014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5">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21</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Pentair, Inc. Restoration Plan as Amended and Restated effective August 23, 2000 (Incorporated by reference to Exhibit 10.3 in the Current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Report on Form 8-K of Pentair, Inc. filed with the Commission on September 21, 2000 (File No. 000-04689)).*</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6">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22</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Pentair, Inc. Restoration Plan effective January 1, 2009, as amended and restated (Incorporated by reference to Exhibit 10.14 in the Current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Report on Form 8-K of Pentair plc filed with the Commission on June 3, 2014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7">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23</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Form of Deed of Indemnification for directors and executive officers of Pentair plc (Incorporated by reference to Exhibit 10.15 in the Current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Report on Form 8-K of Pentair plc filed with the Commission on June 3, 2014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8">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24</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6"/>
              </w:rPr>
              <w:t>Form of Indemnification Agreement for directors and executive officers of Pentair plc (Incorporated by reference to Exhibit 10.16 in the</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Current Report on Form 8-K of Pentair plc filed with the Commission on June 3, 2014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69">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25</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Form of Executive Officer Key Talent Award Agreement (Incorporated by reference to Exhibit 10.2 to the Quarterly Report on Form 10-Q of</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Pentair plc for the quarter ended March 31, 2018 (File No. 001-11625)).*</w:t>
            </w:r>
          </w:p>
        </w:tc>
      </w:tr>
      <w:tr>
        <w:trPr>
          <w:trHeight w:val="351"/>
        </w:trPr>
        <w:tc>
          <w:tcPr>
            <w:tcW w:w="20" w:type="dxa"/>
            <w:vAlign w:val="bottom"/>
          </w:tcPr>
          <w:p>
            <w:pPr>
              <w:spacing w:after="0"/>
              <w:rPr>
                <w:sz w:val="24"/>
                <w:szCs w:val="24"/>
                <w:color w:val="auto"/>
              </w:rPr>
            </w:pPr>
          </w:p>
        </w:tc>
        <w:tc>
          <w:tcPr>
            <w:tcW w:w="380" w:type="dxa"/>
            <w:vAlign w:val="bottom"/>
            <w:tcBorders>
              <w:bottom w:val="single" w:sz="8" w:color="0000FF"/>
            </w:tcBorders>
          </w:tcPr>
          <w:p>
            <w:pPr>
              <w:spacing w:after="0"/>
              <w:rPr>
                <w:rFonts w:ascii="Arial" w:cs="Arial" w:eastAsia="Arial" w:hAnsi="Arial"/>
                <w:sz w:val="18"/>
                <w:szCs w:val="18"/>
                <w:b w:val="1"/>
                <w:bCs w:val="1"/>
                <w:color w:val="0000FF"/>
                <w:w w:val="79"/>
              </w:rPr>
            </w:pPr>
            <w:hyperlink r:id="rId70">
              <w:r>
                <w:rPr>
                  <w:rFonts w:ascii="Arial" w:cs="Arial" w:eastAsia="Arial" w:hAnsi="Arial"/>
                  <w:sz w:val="18"/>
                  <w:szCs w:val="18"/>
                  <w:b w:val="1"/>
                  <w:bCs w:val="1"/>
                  <w:color w:val="0000FF"/>
                  <w:w w:val="79"/>
                </w:rPr>
                <w:t>10.</w:t>
              </w:r>
              <w:r>
                <w:rPr>
                  <w:rFonts w:ascii="Arial" w:cs="Arial" w:eastAsia="Arial" w:hAnsi="Arial"/>
                  <w:sz w:val="18"/>
                  <w:szCs w:val="18"/>
                  <w:b w:val="1"/>
                  <w:bCs w:val="1"/>
                  <w:u w:val="single" w:color="auto"/>
                  <w:color w:val="0000FF"/>
                  <w:w w:val="79"/>
                </w:rPr>
                <w:t>26</w:t>
              </w:r>
            </w:hyperlink>
          </w:p>
        </w:tc>
        <w:tc>
          <w:tcPr>
            <w:tcW w:w="220" w:type="dxa"/>
            <w:vAlign w:val="bottom"/>
          </w:tcPr>
          <w:p>
            <w:pPr>
              <w:spacing w:after="0"/>
              <w:rPr>
                <w:sz w:val="24"/>
                <w:szCs w:val="24"/>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7"/>
              </w:rPr>
              <w:t>Form of Executive Officer Stock Option Grant Agreement for grants made on or after January 1, 2017 and prior to February 26, 2018</w:t>
            </w:r>
          </w:p>
        </w:tc>
      </w:tr>
      <w:tr>
        <w:trPr>
          <w:trHeight w:val="249"/>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(Incorporated by reference to Exhibit 10.31 to the Annual Report on Form 10-K of Pentair plc for the year ended December 31, 2016 (File No.</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001-11625)).*</w:t>
            </w:r>
          </w:p>
        </w:tc>
      </w:tr>
      <w:tr>
        <w:trPr>
          <w:trHeight w:val="378"/>
        </w:trPr>
        <w:tc>
          <w:tcPr>
            <w:tcW w:w="620" w:type="dxa"/>
            <w:vAlign w:val="bottom"/>
            <w:gridSpan w:val="3"/>
          </w:tcPr>
          <w:p>
            <w:pPr>
              <w:spacing w:after="0"/>
              <w:rPr>
                <w:rFonts w:ascii="Arial" w:cs="Arial" w:eastAsia="Arial" w:hAnsi="Arial"/>
                <w:sz w:val="18"/>
                <w:szCs w:val="18"/>
                <w:b w:val="1"/>
                <w:bCs w:val="1"/>
                <w:color w:val="0000FF"/>
              </w:rPr>
            </w:pPr>
            <w:hyperlink r:id="rId71">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27</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Form of Executive Officer Restricted Stock Unit Grant Agreement for grants made on or after January 2, 2017 and prior to February 26, 2018</w:t>
            </w:r>
          </w:p>
        </w:tc>
      </w:tr>
      <w:tr>
        <w:trPr>
          <w:trHeight w:val="222"/>
        </w:trPr>
        <w:tc>
          <w:tcPr>
            <w:tcW w:w="2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(Incorporated by reference to Exhibit 10.32 to the Annual Report on Form 10-K of Pentair plc for the year ended December 31, 2016 (File No.</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001-11625)).*</w:t>
            </w:r>
          </w:p>
        </w:tc>
      </w:tr>
      <w:tr>
        <w:trPr>
          <w:trHeight w:val="351"/>
        </w:trPr>
        <w:tc>
          <w:tcPr>
            <w:tcW w:w="20" w:type="dxa"/>
            <w:vAlign w:val="bottom"/>
          </w:tcPr>
          <w:p>
            <w:pPr>
              <w:spacing w:after="0"/>
              <w:rPr>
                <w:sz w:val="24"/>
                <w:szCs w:val="24"/>
                <w:color w:val="auto"/>
              </w:rPr>
            </w:pPr>
          </w:p>
        </w:tc>
        <w:tc>
          <w:tcPr>
            <w:tcW w:w="380" w:type="dxa"/>
            <w:vAlign w:val="bottom"/>
            <w:tcBorders>
              <w:bottom w:val="single" w:sz="8" w:color="0000FF"/>
            </w:tcBorders>
          </w:tcPr>
          <w:p>
            <w:pPr>
              <w:spacing w:after="0"/>
              <w:rPr>
                <w:rFonts w:ascii="Arial" w:cs="Arial" w:eastAsia="Arial" w:hAnsi="Arial"/>
                <w:sz w:val="18"/>
                <w:szCs w:val="18"/>
                <w:b w:val="1"/>
                <w:bCs w:val="1"/>
                <w:color w:val="0000FF"/>
                <w:w w:val="79"/>
              </w:rPr>
            </w:pPr>
            <w:hyperlink r:id="rId72">
              <w:r>
                <w:rPr>
                  <w:rFonts w:ascii="Arial" w:cs="Arial" w:eastAsia="Arial" w:hAnsi="Arial"/>
                  <w:sz w:val="18"/>
                  <w:szCs w:val="18"/>
                  <w:b w:val="1"/>
                  <w:bCs w:val="1"/>
                  <w:color w:val="0000FF"/>
                  <w:w w:val="79"/>
                </w:rPr>
                <w:t>10.</w:t>
              </w:r>
              <w:r>
                <w:rPr>
                  <w:rFonts w:ascii="Arial" w:cs="Arial" w:eastAsia="Arial" w:hAnsi="Arial"/>
                  <w:sz w:val="18"/>
                  <w:szCs w:val="18"/>
                  <w:b w:val="1"/>
                  <w:bCs w:val="1"/>
                  <w:u w:val="single" w:color="auto"/>
                  <w:color w:val="0000FF"/>
                  <w:w w:val="79"/>
                </w:rPr>
                <w:t>28</w:t>
              </w:r>
            </w:hyperlink>
          </w:p>
        </w:tc>
        <w:tc>
          <w:tcPr>
            <w:tcW w:w="220" w:type="dxa"/>
            <w:vAlign w:val="bottom"/>
          </w:tcPr>
          <w:p>
            <w:pPr>
              <w:spacing w:after="0"/>
              <w:rPr>
                <w:sz w:val="24"/>
                <w:szCs w:val="24"/>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4"/>
              </w:rPr>
              <w:t>Form of Executive Officer Performance Unit Grant Agreement for grants made on or after January 1, 2017 and prior to February 26, 2018</w:t>
            </w:r>
          </w:p>
        </w:tc>
      </w:tr>
      <w:tr>
        <w:trPr>
          <w:trHeight w:val="249"/>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(Incorporated by reference to Exhibit 10.33 to the Annual Report on Form 10-K of Pentair plc for the year ended December 31, 2016 (File No.</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001-11625)).*</w:t>
            </w:r>
          </w:p>
        </w:tc>
      </w:tr>
      <w:tr>
        <w:trPr>
          <w:trHeight w:val="378"/>
        </w:trPr>
        <w:tc>
          <w:tcPr>
            <w:tcW w:w="620" w:type="dxa"/>
            <w:vAlign w:val="bottom"/>
            <w:gridSpan w:val="3"/>
          </w:tcPr>
          <w:p>
            <w:pPr>
              <w:spacing w:after="0"/>
              <w:rPr>
                <w:rFonts w:ascii="Arial" w:cs="Arial" w:eastAsia="Arial" w:hAnsi="Arial"/>
                <w:sz w:val="18"/>
                <w:szCs w:val="18"/>
                <w:b w:val="1"/>
                <w:bCs w:val="1"/>
                <w:color w:val="0000FF"/>
              </w:rPr>
            </w:pPr>
            <w:hyperlink r:id="rId73">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29</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Form of Executive Officer Restricted Stock Unit Award Agreement for grants made on or after February 26, 2018 (Incorporated by reference</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to Exhibit 10.3 to the Quarterly Report on Form 10-Q of Pentair plc for the quarter ended March 31, 2018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74">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30</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6"/>
              </w:rPr>
              <w:t>Form of Executive Officer Stock Option Award Agreement for grants made on or after February 26, 2018 (Incorporated by reference to</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Exhibit 10.4 to the Quarterly Report on Form 10-Q of Pentair plc for the quarter ended March 31, 2018 (File No. 001-11625)).*</w:t>
            </w:r>
          </w:p>
        </w:tc>
      </w:tr>
      <w:tr>
        <w:trPr>
          <w:trHeight w:val="351"/>
        </w:trPr>
        <w:tc>
          <w:tcPr>
            <w:tcW w:w="620" w:type="dxa"/>
            <w:vAlign w:val="bottom"/>
            <w:gridSpan w:val="3"/>
          </w:tcPr>
          <w:p>
            <w:pPr>
              <w:spacing w:after="0"/>
              <w:rPr>
                <w:rFonts w:ascii="Arial" w:cs="Arial" w:eastAsia="Arial" w:hAnsi="Arial"/>
                <w:sz w:val="18"/>
                <w:szCs w:val="18"/>
                <w:b w:val="1"/>
                <w:bCs w:val="1"/>
                <w:color w:val="0000FF"/>
              </w:rPr>
            </w:pPr>
            <w:hyperlink r:id="rId75">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31</w:t>
              </w:r>
            </w:hyperlink>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Form of Executive Officer Performance Stock Unit Award Agreement for grants made on or after February 26, 2018 and prior to January 1,</w:t>
            </w:r>
          </w:p>
        </w:tc>
      </w:tr>
      <w:tr>
        <w:trPr>
          <w:trHeight w:val="222"/>
        </w:trPr>
        <w:tc>
          <w:tcPr>
            <w:tcW w:w="2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2019 (Incorporated by reference to Exhibit 10.5 to the Quarterly Report on Form 10-Q of Pentair plc for the quarter ended March 31, 2018</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(File No. 001-11625)).*</w:t>
            </w:r>
          </w:p>
        </w:tc>
      </w:tr>
    </w:tbl>
    <w:p>
      <w:pPr>
        <w:spacing w:after="0" w:line="200" w:lineRule="exact"/>
        <w:rPr>
          <w:sz w:val="20"/>
          <w:szCs w:val="20"/>
          <w:color w:val="auto"/>
        </w:rPr>
      </w:pPr>
    </w:p>
    <w:p>
      <w:pPr>
        <w:sectPr>
          <w:pgSz w:w="11900" w:h="16838" w:orient="portrait"/>
          <w:cols w:equalWidth="0" w:num="1">
            <w:col w:w="11120"/>
          </w:cols>
          <w:pgMar w:left="500" w:top="824" w:right="279" w:bottom="1440" w:gutter="0" w:footer="0" w:header="0"/>
        </w:sectPr>
      </w:pPr>
    </w:p>
    <w:p>
      <w:pPr>
        <w:spacing w:after="0" w:line="15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500" w:top="824" w:right="279" w:bottom="1440" w:gutter="0" w:footer="0" w:header="0"/>
          <w:type w:val="continuous"/>
        </w:sectPr>
      </w:pPr>
    </w:p>
    <w:bookmarkStart w:id="98" w:name="page99"/>
    <w:bookmarkEnd w:id="98"/>
    <w:p>
      <w:pPr>
        <w:ind w:left="260"/>
        <w:spacing w:after="0"/>
        <w:tabs>
          <w:tab w:leader="none" w:pos="1060" w:val="left"/>
        </w:tabs>
        <w:rPr>
          <w:rFonts w:ascii="Arial" w:cs="Arial" w:eastAsia="Arial" w:hAnsi="Arial"/>
          <w:sz w:val="18"/>
          <w:szCs w:val="18"/>
          <w:b w:val="1"/>
          <w:bCs w:val="1"/>
          <w:color w:val="0000FF"/>
        </w:rPr>
      </w:pPr>
      <w:hyperlink r:id="rId76">
        <w:r>
          <w:rPr>
            <w:rFonts w:ascii="Arial" w:cs="Arial" w:eastAsia="Arial" w:hAnsi="Arial"/>
            <w:sz w:val="18"/>
            <w:szCs w:val="18"/>
            <w:b w:val="1"/>
            <w:bCs w:val="1"/>
            <w:u w:val="single" w:color="auto"/>
            <w:color w:val="0000FF"/>
          </w:rPr>
          <w:t>10.32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Executive Officer Performance Stock Unit Award Agreement for grants made on or after January 1, 2019 (Incorporated by reference</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Exhibit 10.32 to the Annual Report on Form 10-K of Pentair plc for the year ended December 31, 2019 (File No. 001-11625)).*</w:t>
      </w:r>
    </w:p>
    <w:p>
      <w:pPr>
        <w:spacing w:after="0" w:line="170" w:lineRule="exact"/>
        <w:rPr>
          <w:sz w:val="20"/>
          <w:szCs w:val="20"/>
          <w:color w:val="auto"/>
        </w:rPr>
      </w:pPr>
    </w:p>
    <w:p>
      <w:pPr>
        <w:ind w:left="1080" w:hanging="703"/>
        <w:spacing w:after="0"/>
        <w:tabs>
          <w:tab w:leader="none" w:pos="1080" w:val="left"/>
        </w:tabs>
        <w:numPr>
          <w:ilvl w:val="0"/>
          <w:numId w:val="77"/>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Pentair plc subsidiaries.</w:t>
      </w:r>
    </w:p>
    <w:p>
      <w:pPr>
        <w:spacing w:after="0" w:line="185" w:lineRule="exact"/>
        <w:rPr>
          <w:sz w:val="20"/>
          <w:szCs w:val="20"/>
          <w:color w:val="auto"/>
        </w:rPr>
      </w:pPr>
    </w:p>
    <w:p>
      <w:pPr>
        <w:ind w:left="1080" w:hanging="703"/>
        <w:spacing w:after="0"/>
        <w:tabs>
          <w:tab w:leader="none" w:pos="1080" w:val="left"/>
        </w:tabs>
        <w:numPr>
          <w:ilvl w:val="0"/>
          <w:numId w:val="78"/>
        </w:numPr>
        <w:rPr>
          <w:rFonts w:ascii="Arial" w:cs="Arial" w:eastAsia="Arial" w:hAnsi="Arial"/>
          <w:sz w:val="18"/>
          <w:szCs w:val="18"/>
          <w:b w:val="1"/>
          <w:bCs w:val="1"/>
          <w:u w:val="single" w:color="auto"/>
          <w:color w:val="0000FF"/>
        </w:rPr>
      </w:pPr>
      <w:r>
        <w:rPr>
          <w:rFonts w:ascii="Arial" w:cs="Arial" w:eastAsia="Arial" w:hAnsi="Arial"/>
          <w:sz w:val="18"/>
          <w:szCs w:val="18"/>
          <w:color w:val="auto"/>
        </w:rPr>
        <w:t>Consent of Independent Registered Public Accounting Firm — Deloitte &amp; Touche LLP.</w:t>
      </w:r>
    </w:p>
    <w:p>
      <w:pPr>
        <w:spacing w:after="0" w:line="184" w:lineRule="exact"/>
        <w:rPr>
          <w:rFonts w:ascii="Arial" w:cs="Arial" w:eastAsia="Arial" w:hAnsi="Arial"/>
          <w:sz w:val="18"/>
          <w:szCs w:val="18"/>
          <w:b w:val="1"/>
          <w:bCs w:val="1"/>
          <w:u w:val="single" w:color="auto"/>
          <w:color w:val="0000FF"/>
        </w:rPr>
      </w:pPr>
    </w:p>
    <w:p>
      <w:pPr>
        <w:ind w:left="1080" w:hanging="703"/>
        <w:spacing w:after="0"/>
        <w:tabs>
          <w:tab w:leader="none" w:pos="1080" w:val="left"/>
        </w:tabs>
        <w:numPr>
          <w:ilvl w:val="0"/>
          <w:numId w:val="78"/>
        </w:numPr>
        <w:rPr>
          <w:rFonts w:ascii="Arial" w:cs="Arial" w:eastAsia="Arial" w:hAnsi="Arial"/>
          <w:sz w:val="18"/>
          <w:szCs w:val="18"/>
          <w:b w:val="1"/>
          <w:bCs w:val="1"/>
          <w:u w:val="single" w:color="auto"/>
          <w:color w:val="0000FF"/>
        </w:rPr>
      </w:pPr>
      <w:r>
        <w:rPr>
          <w:rFonts w:ascii="Arial" w:cs="Arial" w:eastAsia="Arial" w:hAnsi="Arial"/>
          <w:sz w:val="18"/>
          <w:szCs w:val="18"/>
          <w:color w:val="auto"/>
        </w:rPr>
        <w:t>Power of attorney.</w:t>
      </w:r>
    </w:p>
    <w:p>
      <w:pPr>
        <w:spacing w:after="0" w:line="181" w:lineRule="exact"/>
        <w:rPr>
          <w:sz w:val="20"/>
          <w:szCs w:val="20"/>
          <w:color w:val="auto"/>
        </w:rPr>
      </w:pPr>
    </w:p>
    <w:p>
      <w:pPr>
        <w:ind w:left="300"/>
        <w:spacing w:after="0"/>
        <w:tabs>
          <w:tab w:leader="none" w:pos="1060" w:val="left"/>
        </w:tabs>
        <w:rPr>
          <w:rFonts w:ascii="Arial" w:cs="Arial" w:eastAsia="Arial" w:hAnsi="Arial"/>
          <w:sz w:val="18"/>
          <w:szCs w:val="18"/>
          <w:b w:val="1"/>
          <w:bCs w:val="1"/>
          <w:color w:val="0000FF"/>
        </w:rPr>
      </w:pPr>
      <w:hyperlink w:anchor="page115">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185" w:lineRule="exact"/>
        <w:rPr>
          <w:sz w:val="20"/>
          <w:szCs w:val="20"/>
          <w:color w:val="auto"/>
        </w:rPr>
      </w:pPr>
    </w:p>
    <w:p>
      <w:pPr>
        <w:ind w:left="300"/>
        <w:spacing w:after="0"/>
        <w:tabs>
          <w:tab w:leader="none" w:pos="1060" w:val="left"/>
        </w:tabs>
        <w:rPr>
          <w:rFonts w:ascii="Arial" w:cs="Arial" w:eastAsia="Arial" w:hAnsi="Arial"/>
          <w:sz w:val="18"/>
          <w:szCs w:val="18"/>
          <w:b w:val="1"/>
          <w:bCs w:val="1"/>
          <w:color w:val="0000FF"/>
        </w:rPr>
      </w:pPr>
      <w:hyperlink w:anchor="page116">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185" w:lineRule="exact"/>
        <w:rPr>
          <w:sz w:val="20"/>
          <w:szCs w:val="20"/>
          <w:color w:val="auto"/>
        </w:rPr>
      </w:pPr>
    </w:p>
    <w:p>
      <w:pPr>
        <w:ind w:left="1080" w:right="140" w:hanging="764"/>
        <w:spacing w:after="0" w:line="277" w:lineRule="auto"/>
        <w:tabs>
          <w:tab w:leader="none" w:pos="1060" w:val="left"/>
        </w:tabs>
        <w:rPr>
          <w:rFonts w:ascii="Arial" w:cs="Arial" w:eastAsia="Arial" w:hAnsi="Arial"/>
          <w:sz w:val="18"/>
          <w:szCs w:val="18"/>
          <w:b w:val="1"/>
          <w:bCs w:val="1"/>
          <w:color w:val="0000FF"/>
        </w:rPr>
      </w:pPr>
      <w:hyperlink w:anchor="page117">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spacing w:after="0" w:line="130" w:lineRule="exact"/>
        <w:rPr>
          <w:sz w:val="20"/>
          <w:szCs w:val="20"/>
          <w:color w:val="auto"/>
        </w:rPr>
      </w:pPr>
    </w:p>
    <w:p>
      <w:pPr>
        <w:ind w:left="300"/>
        <w:spacing w:after="0"/>
        <w:tabs>
          <w:tab w:leader="none" w:pos="1060" w:val="left"/>
        </w:tabs>
        <w:rPr>
          <w:rFonts w:ascii="Arial" w:cs="Arial" w:eastAsia="Arial" w:hAnsi="Arial"/>
          <w:sz w:val="18"/>
          <w:szCs w:val="18"/>
          <w:b w:val="1"/>
          <w:bCs w:val="1"/>
          <w:color w:val="0000FF"/>
        </w:rPr>
      </w:pPr>
      <w:hyperlink w:anchor="page118">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1080" w:hanging="748"/>
        <w:spacing w:after="0" w:line="293" w:lineRule="auto"/>
        <w:tabs>
          <w:tab w:leader="none" w:pos="1080" w:val="left"/>
        </w:tabs>
        <w:numPr>
          <w:ilvl w:val="0"/>
          <w:numId w:val="79"/>
        </w:numPr>
        <w:rPr>
          <w:rFonts w:ascii="Arial" w:cs="Arial" w:eastAsia="Arial" w:hAnsi="Arial"/>
          <w:sz w:val="16"/>
          <w:szCs w:val="16"/>
          <w:b w:val="1"/>
          <w:bCs w:val="1"/>
          <w:color w:val="auto"/>
        </w:rPr>
      </w:pPr>
      <w:r>
        <w:rPr>
          <w:rFonts w:ascii="Arial" w:cs="Arial" w:eastAsia="Arial" w:hAnsi="Arial"/>
          <w:sz w:val="16"/>
          <w:szCs w:val="16"/>
          <w:color w:val="auto"/>
        </w:rPr>
        <w:t>The following materials from Pentair plc’s Annual Report on Form 10-K for the year ended December 31, 2019 are filed herewith, formatted in iXBRL (Inline Extensible Business Reporting Language): (i) the Consolidated Statements of Operations and Comprehensive Income for the years ended December 31, 2019, 2018 and 2017, (ii) the Consolidated Balance Sheets as of December 31, 2019 and 2018, (iii) the Consolidated Statements of Cash Flows for the years ended December 31, 2019, 2018 and 2017, (iv) the Consolidated Statements of Changes in Equity for the years ended December 31, 2019, 2018 and 2017 and (v) the Notes to the Consolidated Financial Statements. The instance document does not appear in the interactive data file because its XBRL tags are embedded within the Inline XBRL document.</w:t>
      </w:r>
    </w:p>
    <w:p>
      <w:pPr>
        <w:spacing w:after="0" w:line="124" w:lineRule="exact"/>
        <w:rPr>
          <w:sz w:val="20"/>
          <w:szCs w:val="20"/>
          <w:color w:val="auto"/>
        </w:rPr>
      </w:pPr>
    </w:p>
    <w:p>
      <w:pPr>
        <w:ind w:left="40" w:right="3700" w:firstLine="292"/>
        <w:spacing w:after="0" w:line="506" w:lineRule="auto"/>
        <w:tabs>
          <w:tab w:leader="none" w:pos="108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715" w:right="299" w:bottom="1440" w:gutter="0" w:footer="0" w:header="0"/>
        </w:sectPr>
      </w:pPr>
    </w:p>
    <w:bookmarkStart w:id="99" w:name="page100"/>
    <w:bookmarkEnd w:id="99"/>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2020.</w:t>
      </w:r>
    </w:p>
    <w:p>
      <w:pPr>
        <w:spacing w:after="0" w:line="11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PENTAIR PLC</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Chief Financial Officer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25,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3520" w:type="dxa"/>
            <w:vAlign w:val="bottom"/>
          </w:tcPr>
          <w:p>
            <w:pPr>
              <w:spacing w:after="0"/>
              <w:rPr>
                <w:sz w:val="17"/>
                <w:szCs w:val="17"/>
                <w:color w:val="auto"/>
              </w:rPr>
            </w:pPr>
          </w:p>
        </w:tc>
      </w:tr>
      <w:tr>
        <w:trPr>
          <w:trHeight w:val="291"/>
        </w:trPr>
        <w:tc>
          <w:tcPr>
            <w:tcW w:w="580" w:type="dxa"/>
            <w:vAlign w:val="bottom"/>
          </w:tcPr>
          <w:p>
            <w:pPr>
              <w:spacing w:after="0"/>
              <w:rPr>
                <w:sz w:val="24"/>
                <w:szCs w:val="24"/>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/s/ John L. Stauch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John L. Stauch</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Financial Officer and</w:t>
            </w:r>
          </w:p>
        </w:tc>
      </w:tr>
      <w:tr>
        <w:trPr>
          <w:trHeight w:val="230"/>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8"/>
              </w:rPr>
              <w:t>/s/ Mark C. Borin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4"/>
              </w:rPr>
              <w:t>Mark C. Borin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Mona Abutaleb Stephenson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6"/>
              </w:rPr>
              <w:t>Glynis A. Bryan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Jacques Esculier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T. Michael Glenn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Theodore L. Harris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David A. Jones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Michael T. Speetzen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Billie I. Williamson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621"/>
        </w:trPr>
        <w:tc>
          <w:tcPr>
            <w:tcW w:w="580" w:type="dxa"/>
            <w:vAlign w:val="bottom"/>
          </w:tcPr>
          <w:p>
            <w:pPr>
              <w:ind w:left="40"/>
              <w:spacing w:after="0"/>
              <w:rPr>
                <w:sz w:val="20"/>
                <w:szCs w:val="20"/>
                <w:color w:val="auto"/>
              </w:rPr>
            </w:pPr>
            <w:r>
              <w:rPr>
                <w:rFonts w:ascii="Arial" w:cs="Arial" w:eastAsia="Arial" w:hAnsi="Arial"/>
                <w:sz w:val="18"/>
                <w:szCs w:val="18"/>
                <w:color w:val="auto"/>
              </w:rPr>
              <w:t>*By</w:t>
            </w:r>
          </w:p>
        </w:tc>
        <w:tc>
          <w:tcPr>
            <w:tcW w:w="4780" w:type="dxa"/>
            <w:vAlign w:val="bottom"/>
            <w:gridSpan w:val="3"/>
          </w:tcPr>
          <w:p>
            <w:pPr>
              <w:jc w:val="center"/>
              <w:spacing w:after="0"/>
              <w:rPr>
                <w:sz w:val="20"/>
                <w:szCs w:val="20"/>
                <w:color w:val="auto"/>
              </w:rPr>
            </w:pPr>
            <w:r>
              <w:rPr>
                <w:rFonts w:ascii="Arial" w:cs="Arial" w:eastAsia="Arial" w:hAnsi="Arial"/>
                <w:sz w:val="18"/>
                <w:szCs w:val="18"/>
                <w:color w:val="auto"/>
                <w:w w:val="91"/>
              </w:rPr>
              <w:t>/s/ Karla C. Robertson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5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spacing w:after="0"/>
              <w:rPr>
                <w:sz w:val="20"/>
                <w:szCs w:val="20"/>
                <w:color w:val="auto"/>
              </w:rPr>
            </w:pPr>
            <w:r>
              <w:rPr>
                <w:rFonts w:ascii="Arial" w:cs="Arial" w:eastAsia="Arial" w:hAnsi="Arial"/>
                <w:sz w:val="18"/>
                <w:szCs w:val="18"/>
                <w:color w:val="auto"/>
                <w:w w:val="91"/>
              </w:rPr>
              <w:t>Karla C. Robertson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70"/>
        </w:trPr>
        <w:tc>
          <w:tcPr>
            <w:tcW w:w="5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060" w:type="dxa"/>
            <w:vAlign w:val="bottom"/>
            <w:gridSpan w:val="2"/>
          </w:tcPr>
          <w:p>
            <w:pPr>
              <w:jc w:val="center"/>
              <w:ind w:right="1680"/>
              <w:spacing w:after="0"/>
              <w:rPr>
                <w:sz w:val="20"/>
                <w:szCs w:val="20"/>
                <w:color w:val="auto"/>
              </w:rPr>
            </w:pPr>
            <w:r>
              <w:rPr>
                <w:rFonts w:ascii="Arial" w:cs="Arial" w:eastAsia="Arial" w:hAnsi="Arial"/>
                <w:sz w:val="18"/>
                <w:szCs w:val="18"/>
                <w:color w:val="auto"/>
                <w:w w:val="96"/>
              </w:rPr>
              <w:t>Attorney-in-fact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675"/>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3520" w:type="dxa"/>
            <w:vAlign w:val="bottom"/>
          </w:tcPr>
          <w:p>
            <w:pPr>
              <w:spacing w:after="0"/>
              <w:rPr>
                <w:sz w:val="24"/>
                <w:szCs w:val="24"/>
                <w:color w:val="auto"/>
              </w:rPr>
            </w:pPr>
          </w:p>
        </w:tc>
      </w:tr>
    </w:tbl>
    <w:p>
      <w:pPr>
        <w:sectPr>
          <w:pgSz w:w="11900" w:h="16838" w:orient="portrait"/>
          <w:cols w:equalWidth="0" w:num="1">
            <w:col w:w="11240"/>
          </w:cols>
          <w:pgMar w:left="240" w:top="553" w:right="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5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description of the material terms of ordinary shares of Pentair plc (“Pentair”) is based on the provisions of the Pentair articles of association (the “Pentair Articles”). This description is not complete and is subject to the applicable provisions of Irish law and the Pentair Articles, which are filed as an exhibit to this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7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current authorized share capital of Pentair is €40,000 and $4,260,000 divided into 40,000 ordinary shares with a nominal value of €1.00 per share and 426,000,000 ordinary shares with a nominal value of $0.01 per share. The authorized share capital includes 40,000 shares with a nominal value of €1 per share, which was required on incorporation in order to satisfy statutory requirements for all Irish public limited companies commencing operations.</w:t>
      </w:r>
    </w:p>
    <w:p>
      <w:pPr>
        <w:spacing w:after="0" w:line="9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Pentair may issue shares subject to the maximum authorized share capital contained in the Pentair Articles. The authorized share capital may be increased by a resolution approved by a two-thirds majority of the votes of Pentair’s shareholders cast at a general meeting (referred to as a “variation resolution”) or reduced by a resolution approved by a simple majority of the votes of Pentair’s shareholders cast at a general meeting (referred to under Irish law as an “ordinary resolution”). The shares comprising the authorized share capital of Pentair may be divided into shares of such nominal value as the resolution shall prescribe. As a matter of Irish company law, the directors of a company may issue new ordinary shares without shareholder approval once authorized to do so by the articles of association or by an ordinary resolution adopted by the shareholders at a general meeting. In accordance with current customary practice in Ireland, Pentair sought, and received, shareholder approval at Pentair’s 2019 annual general meeting of shareholders to authorize the board of directors to issue up to a maximum of 33% of Pentair’s issued ordinary share capital as of March 4, 2019 (an aggregate nominal amount of $566,515 or 56,651,535 shares), for a period to expire 18 months from the approval, or November 7, 2020.</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and restrictions to which the ordinary shares are subject are prescribed in the Pentair Articles.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w:t>
      </w:r>
    </w:p>
    <w:p>
      <w:pPr>
        <w:spacing w:after="0" w:line="17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Irish law certain statutory preemption rights apply automatically in favor of shareholders where shares are to be issued for cash. However, Pentair initially opted out of these preemption rights in the Pentair Articles as permitted under Irish company law. Because Irish law requires this opt-out to be renewed at least every five years by a resolution approved by not less than 75% of the votes of the shareholders of Pentair cast at a general meeting (referred to under Irish law as a “special resolution”), the Pentair Articles provide that this opt-out must be so renewed. If the opt-out is not renewed, shares issued for cash must be offered to existing shareholders of Pentair on a pro rata basis to their existing shareholding before the shares can be issued to any new shareholders.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option or similar equity plan. In accordance with current customary practice in Ireland, Pentair sought, and received, shareholder approval at Pentair’s 2019 annual general meeting of shareholders to authorize Pentair to opt out of preemption rights with respect to the allotment of equity securities up to a maximum of 10% of Pentair’s issued ordinary share capital as of March 4, 2019 (an aggregate nominal amount of $171,671 or 17,167,132 shares), provided that any amount above 5% of Pentair’s issued ordinary share capital as of March 4, 2019 (an aggregate nominal amount of $85,835 or 8,583,566 shares) is to be used only for the purpose of an acquisition or a specific capital investment. This approval will expire 18 months from the date of the approval, or November 7,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net assets of Pentair are equal to, or in excess of, the aggregate of Pentair’s called up share capital plus undistributable reserves and the distribution does not reduce Pentair’s net assets below such aggregate. Undistributable reserves include undenominated capital and the amount by which Pentair’s accumulated unrealized profits, so far as not previously utilized by any capitalization, exceed Pentair’s accumulated unrealized losses, so far as not previously written off in a reduction or reorganization of capital.</w:t>
      </w:r>
    </w:p>
    <w:p>
      <w:pPr>
        <w:spacing w:after="0" w:line="13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determination as to whether or not Pentair has sufficient distributable reserves to fund a dividend must be made by reference to “relevant financial statements” of Pentair. The “relevant financial statements” will be either the last set of unconsolidated annual audited financial statements or other financial statements properly prepared in accordance with the Companies Act, which give a “true and fair view” of Pentair’s unconsolidated financial position and accord with accepted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4815-7160-7475.2</w:t>
      </w:r>
    </w:p>
    <w:p>
      <w:pPr>
        <w:sectPr>
          <w:pgSz w:w="11900" w:h="16838" w:orient="portrait"/>
          <w:cols w:equalWidth="0" w:num="1">
            <w:col w:w="11420"/>
          </w:cols>
          <w:pgMar w:left="240" w:top="553" w:right="239" w:bottom="1440" w:gutter="0" w:footer="0" w:header="0"/>
        </w:sectPr>
      </w:pPr>
    </w:p>
    <w:bookmarkStart w:id="101" w:name="page102"/>
    <w:bookmarkEnd w:id="101"/>
    <w:p>
      <w:pPr>
        <w:ind w:right="540"/>
        <w:spacing w:after="0" w:line="277" w:lineRule="auto"/>
        <w:rPr>
          <w:sz w:val="20"/>
          <w:szCs w:val="20"/>
          <w:color w:val="auto"/>
        </w:rPr>
      </w:pPr>
      <w:r>
        <w:rPr>
          <w:rFonts w:ascii="Arial" w:cs="Arial" w:eastAsia="Arial" w:hAnsi="Arial"/>
          <w:sz w:val="18"/>
          <w:szCs w:val="18"/>
          <w:color w:val="auto"/>
        </w:rPr>
        <w:t>accounting practice. The relevant financial statements must be filed in the Companies Registration Office (the official public registry for companies in Ireland).</w:t>
      </w:r>
    </w:p>
    <w:p>
      <w:pPr>
        <w:spacing w:after="0" w:line="11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Pentair Articles authorize the directors to declare dividends to the extent they appear justified by profits without shareholder approval. The Pentair board of directors may also recommend a dividend to be approved and declared by the Pentair shareholders at a general meeting. The Pentair board of directors may direct that the payment be made by distribution of assets, shares or cash and no dividend issued may exceed the amount recommended by the directors. Dividends may be declared and paid in the form of cash or non-cash assets and may be paid in U.S. dollars or any other currency. All holders of ordinary shares of Pentair will participate pro rata in respect of any dividend which may be declared in respect of ordinary shares by Pentair.</w:t>
      </w:r>
    </w:p>
    <w:p>
      <w:pPr>
        <w:spacing w:after="0" w:line="10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directors of Pentair may deduct from any dividend payable to any shareholder any amounts payable by such shareholder to Pentair in relation to the ordinary shares of Pentair.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Shares</w:t>
      </w:r>
    </w:p>
    <w:p>
      <w:pPr>
        <w:spacing w:after="0" w:line="17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Pentair Articles authorize the Pentair board of directors to capitalize any amount credited to any reserve, including undenominated capital, or credited to the profit and loss account, and use such amount for the issuance to shareholders of shares as fully paid bonus shares on the same basis of entitlement as would apply in respect of a dividend distribution.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Pentair Articles provide that unless the Board specifically elects to treat such acquisition as a purchase for the purposes of the Irish Companies Act 2014 (as amended) (the “Companies Act”), any ordinary shares which Pentair has agreed to acquire shall be deemed to be a redeemable share on, and from the time of, existence or creation of an agreement, transaction, or trade between Pentair and any third party pursuant to which Pentair acquires, or will acquire, ordinary shares, or an interest in ordinary shares, from such third party. Accordingly, for Irish company law purposes, the repurchase of ordinary shares by Pentair will technically be effected as a redemption of those shares as described below under “Repurchases and Redemptions by Pentair”. If the Pentair Articles did not contain such provision, all repurchases by Pentair would be subject to many of the same rules that apply to purchases of Pentair ordinary shares by subsidiaries described below under “Purchases by Subsidiaries of Pentair” including the shareholder approval requirements described below and the requirement that any on-market purchases be effected on a “recognized stock exchange”. Neither Irish law nor any constituent document of Pentair places limitations on the right of nonresident or foreign owners to vote or hold Pentair ordinary shares. Except where otherwise noted, references elsewhere in this document to repurchasing or buying back ordinary shares of Pentair refer to the redemption of ordinary shares by Pentair or the purchase of ordinary shares of Pentair by a subsidiary of Pentair, in each case in accordance with the Pentair Articles and Irish company law as described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and Redemptions by Pentair</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Under Irish law, a company may issue redeemable shares and redeem them out of distributable reserves or the proceeds of a new issue of shares for that purpose. Pentair may only issue redeemable shares if the nominal value of the issued share capital that is not redeemable is not less than 10% of the nominal value of the total issued share capital of Pentair. All redeemable shares must also be fully-paid and the terms of redemption of the shares must provide for payment on redemption. Redeemable shares may, upon redemption, be canceled or held in treasury. Based on the provision of the Pentair Articles described above, shareholder approval will not be required to redeem Pentair ordinary shares.</w:t>
      </w:r>
    </w:p>
    <w:p>
      <w:pPr>
        <w:spacing w:after="0" w:line="11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Pentair may also be given an additional general authority by its shareholders to purchase its own shares on-market which would take effect on the same terms and be subject to the same conditions as applicable to purchases by Pentair’s subsidiaries as described below.</w:t>
      </w:r>
    </w:p>
    <w:p>
      <w:pPr>
        <w:spacing w:after="0" w:line="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Repurchased and redeemed shares may be canceled or held as treasury shares. The nominal value of treasury shares held by Pentair at any time must not exceed 10% of the nominal value of the issued share capital of Pentair. Pentair may not exercise any voting rights in respect of any shares held as treasury shares. Treasury shares may be cancelled by Pentair or re-issued subject to certain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by Subsidiaries of Pentair</w:t>
      </w:r>
    </w:p>
    <w:p>
      <w:pPr>
        <w:spacing w:after="0" w:line="17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Under Irish law, an Irish or non-Irish subsidiary may purchase Pentair ordinary shares either as overseas market purchases or off-market purchases. For a subsidiary of Pentair to make overseas market purchases of Pentair ordinary shares, the shareholders of Pentair must provide general authorization for such purchase by way of ordinary resolution. However, as</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57" w:right="279" w:bottom="1440" w:gutter="0" w:footer="0" w:header="0"/>
        </w:sectPr>
      </w:pPr>
    </w:p>
    <w:bookmarkStart w:id="102" w:name="page103"/>
    <w:bookmarkEnd w:id="102"/>
    <w:p>
      <w:pPr>
        <w:ind w:right="60"/>
        <w:spacing w:after="0" w:line="257" w:lineRule="auto"/>
        <w:rPr>
          <w:sz w:val="20"/>
          <w:szCs w:val="20"/>
          <w:color w:val="auto"/>
        </w:rPr>
      </w:pPr>
      <w:r>
        <w:rPr>
          <w:rFonts w:ascii="Arial" w:cs="Arial" w:eastAsia="Arial" w:hAnsi="Arial"/>
          <w:sz w:val="18"/>
          <w:szCs w:val="18"/>
          <w:color w:val="auto"/>
        </w:rPr>
        <w:t>long as this general authority has been granted, no specific shareholder authority for a particular overseas market purchase by a subsidiary of Pentair ordinary shares is required. For an off-market purchase by a subsidiary of Pentair, the proposed purchase contract must be authorized by special resolution of the shareholders before the contract is entered into. The person whose Pentair ordinary shares are to be bought back cannot vote in favor of the special resolution and, for at least 21 days prior to the special resolution being passed, the purchase contract must be on display or must be available for inspection by shareholders at the registered office of Pentair.</w:t>
      </w:r>
    </w:p>
    <w:p>
      <w:pPr>
        <w:spacing w:after="0" w:line="13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order for a subsidiary of Pentair to make an overseas market purchase of Pentair ordinary shares, such shares must be purchased on a “recognized stock exchange”. The New York Stock Exchange, on which the shares of Pentair are listed, is specified as a recognized stock exchange for this purpose by Irish company law.</w:t>
      </w:r>
    </w:p>
    <w:p>
      <w:pPr>
        <w:spacing w:after="0" w:line="12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number of Pentair ordinary shares acquired and held by the subsidiaries of Pentair at any time will count as treasury shares and will be included in any calculation of the permitted treasury share threshold of 10% of the nominal value of the issued share capital of Pentair. While a subsidiary holds Pentair ordinary shares, it cannot exercise any voting rights in respect of those shares. The acquisition of Pentair ordinary shares by a subsidiary must be funded out of distributable reserves of the subsidiary.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17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Pentair Articles provide that Pentair will have a first and paramount lien on every share that is not a fully paid up share for all moneys payable at a fixed time or called in respect of that share, whether presently due or not in respect of such Pentair ordinary shares. Subject to the terms of their allotment, directors may call for any unpaid amounts in respect of any Pentair ordinary shares to be paid, and if payment is not made, the shares may be forfeited. These provisions are standard inclusions in the articles of association of an Irish public company limited by shares such as Pentair and will only be applicable to Pentair ordinary shares that have not been fully paid up.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17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Under the Pentair Articles, Pentair may, by ordinary resolution, consolidate and divide all or any of its share capital into shares of larger nominal value than its existing shares or subdivide its shares into smaller amounts than is fixed by the Pentair Articles.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17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Pentair may, by special resolution, reduce its authorized share capital in any way. Pentair also may, by special resolution and subject to confirmation by the Irish High Court, reduce or cancel its issued share capital in any manner permitted by the Companies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17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Extraordinary general meetings of Pentair may be convened (i) by the Pentair board of directors, (ii) on requisition of the shareholders holding not less than 10% of the paid up share capital of Pentair carrying voting rights, or (iii) on requisition of Pentair’s auditors.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7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Each ordinary share is entitled to one vote on each matter properly brought before the shareholders. At any meeting of Pentair, all resolutions will be decided on a poll.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Treasury shares or Pentair ordinary shares that are held by subsidiaries of Pentair are not entitled to be voted at general meetings of shareholders.</w:t>
      </w:r>
    </w:p>
    <w:p>
      <w:pPr>
        <w:spacing w:after="0" w:line="19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Irish company law requires special resolutions of the shareholders at a general meeting to approve certain matters. Examples of matters requiring special resolutions include:</w:t>
      </w:r>
    </w:p>
    <w:p>
      <w:pPr>
        <w:spacing w:after="0" w:line="116"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amending the Pentair Articles;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approving a change of name of Pentair;</w:t>
      </w:r>
    </w:p>
    <w:p>
      <w:pPr>
        <w:spacing w:after="0" w:line="9" w:lineRule="exact"/>
        <w:rPr>
          <w:rFonts w:ascii="Arial" w:cs="Arial" w:eastAsia="Arial" w:hAnsi="Arial"/>
          <w:sz w:val="18"/>
          <w:szCs w:val="18"/>
          <w:color w:val="auto"/>
        </w:rPr>
      </w:pPr>
    </w:p>
    <w:p>
      <w:pPr>
        <w:ind w:left="1300" w:right="180" w:hanging="644"/>
        <w:spacing w:after="0" w:line="250"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103" w:name="page104"/>
    <w:bookmarkEnd w:id="103"/>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re-registration of Pentair from a public limited company to a private company;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Pentair Articles do not provide otherwise);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 of Pentair shares off-market;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reduction of issued share capital;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resolving that Pentair be wound up by the Irish courts;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re-designation of shares into different share classes;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setting the re-issue price of treasury shares;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cross-border merger pursuant to Directive (EU) 2017/1132 of 14 June 2017 relating to certain aspects of company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17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Under the Pentair Articles and the Companies Act, any variation of class rights attaching to the issued shares of Pentair must be approved in writing by holders of three-quarters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Irish public limited company may be acquired in a number of ways, including:</w:t>
      </w:r>
    </w:p>
    <w:p>
      <w:pPr>
        <w:spacing w:after="0" w:line="171" w:lineRule="exact"/>
        <w:rPr>
          <w:sz w:val="20"/>
          <w:szCs w:val="20"/>
          <w:color w:val="auto"/>
        </w:rPr>
      </w:pPr>
    </w:p>
    <w:p>
      <w:pPr>
        <w:jc w:val="both"/>
        <w:ind w:left="1300" w:right="40" w:hanging="644"/>
        <w:spacing w:after="0" w:line="256"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ind w:left="1300" w:hanging="644"/>
        <w:spacing w:after="0" w:line="265" w:lineRule="auto"/>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through a tender or takeover offer by a third party for all of the shares of Pentair. Where the holders of 80% or more of Pentair’s ordinary shares have accepted an offer for their shares in Pentair, the remaining shareholders may also be statutorily required to transfer their shares. If the bidder does not exercise its “squeeze out” right, then the non-accepting shareholders also have a statutory right to require the bidder to acquire their shares on the same terms. If shares of Pentair were to be listed on the Irish Stock Exchange or another regulated stock exchange in the European Union, this threshold would be increased to 90%; and</w:t>
      </w:r>
    </w:p>
    <w:p>
      <w:pPr>
        <w:spacing w:after="0" w:line="1" w:lineRule="exact"/>
        <w:rPr>
          <w:rFonts w:ascii="Arial" w:cs="Arial" w:eastAsia="Arial" w:hAnsi="Arial"/>
          <w:sz w:val="17"/>
          <w:szCs w:val="17"/>
          <w:color w:val="auto"/>
        </w:rPr>
      </w:pPr>
    </w:p>
    <w:p>
      <w:pPr>
        <w:ind w:left="1300" w:right="160" w:hanging="644"/>
        <w:spacing w:after="0" w:line="295" w:lineRule="auto"/>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it is also possible for Pentair to be acquired by way of a transaction with an EU-incorporated company under Directive (EU) 2017/1132 of 14 June 2017 relating to certain aspects of company law. Such a transaction must be approved by a special resolution. If Pentair is being merged with another EU company under Directive (EU) 2017/1132 and the consideration payable to Pentair shareholders is not all in the form of cash, Pentair shareholders may be entitled to require their shares to be acquired at fair value.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the Companies Act, Pentair shareholders must notify Pentair if, as a result of a transaction, the shareholder will become interested in 3% or more of the shares of Pentair; or if as a result of a transaction a shareholder who was interested in more than 3% of the shares of Pentair ceases to be so interested. Where a shareholder is interested in more than 3% of the shares of Pentair, the shareholder must notify Pentair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Pentair (or any such class of share capital in issue). Where the percentage level of the shareholder’s interest does not amount to a whole percentage this figure may be rounded down to the next whole number. Pentair must be notified within five business days of the transaction or alteration of the shareholder’s interests that gave rise to the notification requirement. If a shareholder fails to comply with these notification requirements, the shareholder’s rights in respect of any Pentair ordinary shares it holds will not be enforceable, either directly or indirectly. However, such person may apply to the court to have the rights attaching to such shares reinstated.</w:t>
      </w:r>
    </w:p>
    <w:p>
      <w:pPr>
        <w:spacing w:after="0" w:line="1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to these disclosure requirements, Pentair, under the Companies Act, may, by notice in writing, require a person whom Pentair knows or has reasonable cause to believe to be, or at any time during the three years immediately preceding the date on which such notice is issued to have been, interested in shares comprised in Pentair’s relevant share capital to: (i) indicate whether or not it is the case and (ii) where such person holds or has during that time held an interest in the shares of Pentair, to provide additional information, including the person’s own past or present interests in shares of Pentair. If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104" w:name="page105"/>
    <w:bookmarkEnd w:id="104"/>
    <w:p>
      <w:pPr>
        <w:ind w:right="440"/>
        <w:spacing w:after="0" w:line="277" w:lineRule="auto"/>
        <w:rPr>
          <w:sz w:val="20"/>
          <w:szCs w:val="20"/>
          <w:color w:val="auto"/>
        </w:rPr>
      </w:pPr>
      <w:r>
        <w:rPr>
          <w:rFonts w:ascii="Arial" w:cs="Arial" w:eastAsia="Arial" w:hAnsi="Arial"/>
          <w:sz w:val="18"/>
          <w:szCs w:val="18"/>
          <w:color w:val="auto"/>
        </w:rPr>
        <w:t>recipient of the notice fails to respond within the reasonable time period specified in the notice, Pentair may apply to court for an order directing that the affected shares be subject to certain restrictions, as prescribed by the Companies Act, as follows:</w:t>
      </w:r>
    </w:p>
    <w:p>
      <w:pPr>
        <w:spacing w:after="0" w:line="116" w:lineRule="exact"/>
        <w:rPr>
          <w:sz w:val="20"/>
          <w:szCs w:val="20"/>
          <w:color w:val="auto"/>
        </w:rPr>
      </w:pPr>
    </w:p>
    <w:p>
      <w:pPr>
        <w:ind w:left="1300" w:right="100" w:hanging="644"/>
        <w:spacing w:after="0" w:line="258"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payment shall be made of any sums due from Pentair on those shares, whether in respect of capital or otherwise.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court may also order that shares subject to any of these restrictions be sold with the restrictions terminating upon the completion of the sale.</w:t>
      </w:r>
    </w:p>
    <w:p>
      <w:pPr>
        <w:spacing w:after="0" w:line="19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the event Pentair is in an offer period pursuant to the Irish Takeover Rules (as defined below), accelerated disclosure provisions apply for persons holding an interest in Pentair securities of 1% or more.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Takeover Rules and Substantial Acquisition Rules</w:t>
      </w:r>
    </w:p>
    <w:p>
      <w:pPr>
        <w:spacing w:after="0" w:line="171"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A transaction in which a third party seeks to acquire 30% or more of the voting rights of Pentair will be governed by the Irish Takeover Panel Act 1997 and the Irish Takeover Rules 2007 (as amended) (the “Irish Takeover Rules”) made thereunder and will be regulated by the Irish Takeover Panel (the “Panel”). The “General Principles” of the Irish Takeover Rules and certain important aspects of the Irish Takeover Rules are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Principles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Irish Takeover Rules are built on the following General Principles which will apply to any transaction regulated by the Panel:</w:t>
      </w:r>
    </w:p>
    <w:p>
      <w:pPr>
        <w:spacing w:after="0" w:line="171" w:lineRule="exact"/>
        <w:rPr>
          <w:sz w:val="20"/>
          <w:szCs w:val="20"/>
          <w:color w:val="auto"/>
        </w:rPr>
      </w:pPr>
    </w:p>
    <w:p>
      <w:pPr>
        <w:ind w:left="1300" w:right="500" w:hanging="644"/>
        <w:spacing w:after="0" w:line="258"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of an offer, all holders of security of the target company should be afforded equivalent treatment and, if a person acquires control of a company, the other holders of securities must be protected;</w:t>
      </w:r>
    </w:p>
    <w:p>
      <w:pPr>
        <w:spacing w:after="0" w:line="1" w:lineRule="exact"/>
        <w:rPr>
          <w:rFonts w:ascii="Arial" w:cs="Arial" w:eastAsia="Arial" w:hAnsi="Arial"/>
          <w:sz w:val="18"/>
          <w:szCs w:val="18"/>
          <w:color w:val="auto"/>
        </w:rPr>
      </w:pPr>
    </w:p>
    <w:p>
      <w:pPr>
        <w:ind w:left="1300" w:right="260" w:hanging="644"/>
        <w:spacing w:after="0" w:line="281" w:lineRule="auto"/>
        <w:tabs>
          <w:tab w:leader="none" w:pos="1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2" w:lineRule="exact"/>
        <w:rPr>
          <w:rFonts w:ascii="Arial" w:cs="Arial" w:eastAsia="Arial" w:hAnsi="Arial"/>
          <w:sz w:val="16"/>
          <w:szCs w:val="16"/>
          <w:color w:val="auto"/>
        </w:rPr>
      </w:pPr>
    </w:p>
    <w:p>
      <w:pPr>
        <w:ind w:left="1300" w:right="720" w:hanging="644"/>
        <w:spacing w:after="0" w:line="250"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board of the target company must act in the interests of the company as a whole and must not deny the holders of securities the opportunity to decide on the merits of the offer;</w:t>
      </w:r>
    </w:p>
    <w:p>
      <w:pPr>
        <w:ind w:left="1300" w:right="80" w:hanging="644"/>
        <w:spacing w:after="0" w:line="281" w:lineRule="auto"/>
        <w:tabs>
          <w:tab w:leader="none" w:pos="1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 w:lineRule="exact"/>
        <w:rPr>
          <w:rFonts w:ascii="Arial" w:cs="Arial" w:eastAsia="Arial" w:hAnsi="Arial"/>
          <w:sz w:val="16"/>
          <w:szCs w:val="16"/>
          <w:color w:val="auto"/>
        </w:rPr>
      </w:pPr>
    </w:p>
    <w:p>
      <w:pPr>
        <w:ind w:left="1300" w:right="400" w:hanging="644"/>
        <w:spacing w:after="0" w:line="250"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ind w:left="1300" w:hanging="644"/>
        <w:spacing w:after="0"/>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target company must not be hindered in the conduct of its affairs for longer than is reasonable by an offer for its securities; and</w:t>
      </w:r>
    </w:p>
    <w:p>
      <w:pPr>
        <w:spacing w:after="0" w:line="20" w:lineRule="exact"/>
        <w:rPr>
          <w:rFonts w:ascii="Arial" w:cs="Arial" w:eastAsia="Arial" w:hAnsi="Arial"/>
          <w:sz w:val="17"/>
          <w:szCs w:val="17"/>
          <w:color w:val="auto"/>
        </w:rPr>
      </w:pPr>
    </w:p>
    <w:p>
      <w:pPr>
        <w:ind w:left="1300" w:right="200" w:hanging="644"/>
        <w:spacing w:after="0" w:line="261"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Bid</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certain circumstances, a person who acquires shares or other voting rights in Pentair may be required under the Takeover Rules to make a mandatory cash offer for the remaining outstanding shares in Pentair at a price not less than the highest price paid for the shares by the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the voting rights in Pentair, unless the Panel otherwise consents. An acquisition of shares by a person holding (together with its concert parties) shares representing between 30% and 50% of the voting rights in Pentair would also trigger the mandatory bid requirement if, after giving effect to the acquisition, the percentage of the voting rights held by that person (together with its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105" w:name="page106"/>
    <w:bookmarkEnd w:id="105"/>
    <w:p>
      <w:pPr>
        <w:ind w:right="460"/>
        <w:spacing w:after="0" w:line="342" w:lineRule="auto"/>
        <w:rPr>
          <w:sz w:val="20"/>
          <w:szCs w:val="20"/>
          <w:color w:val="auto"/>
        </w:rPr>
      </w:pPr>
      <w:r>
        <w:rPr>
          <w:rFonts w:ascii="Arial" w:cs="Arial" w:eastAsia="Arial" w:hAnsi="Arial"/>
          <w:sz w:val="16"/>
          <w:szCs w:val="16"/>
          <w:color w:val="auto"/>
        </w:rPr>
        <w:t>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Bid; Requirements to Make a Cash Offer and Minimum Price Requirements</w:t>
      </w:r>
    </w:p>
    <w:p>
      <w:pPr>
        <w:spacing w:after="0" w:line="17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If a person makes a voluntary offer to acquire outstanding Pentair ordinary shares, the offer price must be no less than the highest price paid for Pentair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spacing w:after="0" w:line="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bidder or any of its concert parties has acquired Pentair ordinary shares (i) during the period of 12 months prior to the commencement of the offer period which represent more than 10% of the total Pentair ordinary shares or (ii) at any time after the commencement of the offer period, the offer must be in cash (or accompanied by a full cash alternative) and the price per Pentair ordinary shares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the total Pentair ordinary shares in the 12-month period prior to the commencement of the offer period if the Panel, taking into account the General Principles, considers it just and proper to do so.</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offer period will generally commence from the date of the first announcement of the offer or proposed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Acquisition Rules</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the voting rights of Pentair. Except in certain circumstances, an acquisition or series of acquisitions of shares or rights over shares representing 10% or more of the voting rights of Pentair is prohibited, if such acquisition(s), when aggregated with shares or rights already held, would result in the acquirer holding 15% or more but less than 30% of the voting rights of Pentair and such acquisitions are made within a period of seven days. These rules also require accelerated disclosure of acquisitions of shares or rights over shares relating to such holdings.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Frustrating Action</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Irish Takeover Rules, the Pentair board of directors is not permitted to take any action which might frustrate an offer for the shares of Pentair once the Pentair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Pentair board of directors has reason to believe an offer is imminent. Exceptions to this prohibition are available where:</w:t>
      </w:r>
    </w:p>
    <w:p>
      <w:pPr>
        <w:spacing w:after="0" w:line="139"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action is approved by Pentair’s shareholders at a general meeting; or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Panel has given its consent, where: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is satisfied the action would not constitute frustrating action;</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Pentair shareholders that hold 50% of the voting rights state in writing that they approve the proposed action and would vote in favor of it at a general meeting;</w:t>
      </w: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action is taken in accordance with a contract entered into prior to the announcement of the offer; or</w:t>
      </w:r>
    </w:p>
    <w:p>
      <w:pPr>
        <w:spacing w:after="0" w:line="9" w:lineRule="exact"/>
        <w:rPr>
          <w:rFonts w:ascii="Arial" w:cs="Arial" w:eastAsia="Arial" w:hAnsi="Arial"/>
          <w:sz w:val="18"/>
          <w:szCs w:val="18"/>
          <w:color w:val="auto"/>
        </w:rPr>
      </w:pPr>
    </w:p>
    <w:p>
      <w:pPr>
        <w:ind w:left="1300" w:right="240" w:hanging="644"/>
        <w:spacing w:after="0" w:line="261"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decision to take such action was made before the announcement of the offer and either has been at least partially implemented or is in the ordinary course of business.</w:t>
      </w:r>
    </w:p>
    <w:p>
      <w:pPr>
        <w:spacing w:after="0" w:line="13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Certain other provisions of Irish law or the Pentair Articles may be considered to have anti-takeover effects, including those described under the following captions in this “Description of Ordinary Shares”: “Capital Structure”, “Preemption Rights”, and “Disclosure of Interests in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17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Pentair’s duration will be unlimited. Pentair may be dissolved and wound up at any time by way of a shareholders’ voluntary winding up or a creditors’ winding up. In the case of a shareholders’ voluntary winding-up, a special resolution of shareholders is required. Pentair may also be dissolved by way of court order on the application of a creditor, or by the Companies Registration Office as an enforcement measure where Pentair has failed to file certain returns.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106" w:name="page107"/>
    <w:bookmarkEnd w:id="106"/>
    <w:p>
      <w:pPr>
        <w:jc w:val="both"/>
        <w:ind w:right="60" w:firstLine="648"/>
        <w:spacing w:after="0" w:line="259" w:lineRule="auto"/>
        <w:rPr>
          <w:sz w:val="20"/>
          <w:szCs w:val="20"/>
          <w:color w:val="auto"/>
        </w:rPr>
      </w:pPr>
      <w:r>
        <w:rPr>
          <w:rFonts w:ascii="Arial" w:cs="Arial" w:eastAsia="Arial" w:hAnsi="Arial"/>
          <w:sz w:val="18"/>
          <w:szCs w:val="18"/>
          <w:color w:val="auto"/>
        </w:rPr>
        <w:t>The rights of the shareholders to a return of Pentair’s assets on dissolution or winding up, following the settlement of all claims of creditors, may be prescribed in the Pentair Articles. If the Pentair Articles contain no specific provisions in respect of dissolution or winding up then, subject to the priorities of any creditors, the assets will be distributed to shareholders in proportion to the paid-up nominal value of the shares held. The Pentair Articles provide that the ordinary shareholders of Pentair are entitled to participate pro rata in a winding up.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Pentair ordinary shares have no sinking fund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the ordinary shares offered hereby are issued, they will be duly and validly issued,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17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transfer agent for Pentair maintains the share register, registration in which is determinative of membership in Pentair. A shareholder of Pentair who holds shares beneficially is not the holder of record of such shares. Instead, the depository or other nominee is the holder of record of those shares. Accordingly, a transfer of shares from a person who holds such shares beneficially to a person who also holds such shares beneficially through a depository or other nominee is not registered in Pentair’s official share register, as the depository or other nominee remains the record holder of any such shares.</w:t>
      </w:r>
    </w:p>
    <w:p>
      <w:pPr>
        <w:spacing w:after="0" w:line="10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 written instrument of transfer is required under Irish law to register on Pentair’s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Pentair’s official Irish share register. However, a shareholder who directly holds shares may transfer those shares into his or her own broker account (or vice versa) without giving rise to Irish stamp duty, provided that the shareholder has confirmed to Pentair’s transfer agent that there is no change in the ultimate beneficial ownership of the shares as a result of the transfer and the transfer is not made in contemplation of a sale of the shares.</w:t>
      </w:r>
    </w:p>
    <w:p>
      <w:pPr>
        <w:spacing w:after="0" w:line="14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transfer of Pentair ordinary shares that is subject to Irish stamp duty is not registered in the name of the buyer unless an instrument of transfer was duly stamped and provided to the transfer agent. The Pentair Articles allow Pentair, in its absolute discretion, to create an instrument of transfer and pay (or procure the payment of) any stamp duty, which is the legal obligation of a buyer. In the event of any such payment, Pentair is (on behalf of itself or its affiliates) entitled to (i) seek reimbursement from the buyer or seller (at its discretion), (ii) set-off the amount of the stamp duty against future dividends payable to the buyer or seller (at its discretion) and (iii) claim a lien against the Pentair ordinary shares on which it has paid stamp duty. Parties to a share transfer may assume that any stamp duty arising in respect of a transaction in Pentair ordinary shares has been paid unless one or both of such parties is otherwise notified by Pentair.</w:t>
      </w:r>
    </w:p>
    <w:p>
      <w:pPr>
        <w:spacing w:after="0" w:line="13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Pentair Articles delegate to Pentair’s secretary or assistant secretary (or their nominees) the authority to execute an instrument of transfer on behalf of a transferring party.</w:t>
      </w:r>
    </w:p>
    <w:p>
      <w:pPr>
        <w:spacing w:after="0" w:line="11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order to help ensure that the official share register is regularly updated to reflect trading of Pentair ordinary shares occurring through normal electronic systems, Pentair intends to regularly produce any required instruments of transfer in connection with any transactions for which it pays stamp duty (subject to the reimbursement and set-off rights described above). In the event that Pentair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Pentair for this purpose) or request that Pentair execute an instrument of transfer on behalf of the transferring party in a form determined by Pentair. In either event, if the parties to the share transfer have the instrument of transfer duly stamped (to the extent required) and then provide it to Pentair’s transfer agent, the buyer will be registered as the legal owner of the relevant shares on Pentair’s official Irish share register (subject to the matters described below).</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may suspend registration of transfers from time to time, not exceeding 30 days in aggregate each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7"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20" w:type="dxa"/>
            <w:vAlign w:val="bottom"/>
            <w:gridSpan w:val="3"/>
          </w:tcPr>
          <w:p>
            <w:pPr>
              <w:ind w:left="3700"/>
              <w:spacing w:after="0"/>
              <w:rPr>
                <w:sz w:val="20"/>
                <w:szCs w:val="20"/>
                <w:color w:val="auto"/>
              </w:rPr>
            </w:pPr>
            <w:r>
              <w:rPr>
                <w:rFonts w:ascii="Arial" w:cs="Arial" w:eastAsia="Arial" w:hAnsi="Arial"/>
                <w:sz w:val="18"/>
                <w:szCs w:val="18"/>
                <w:b w:val="1"/>
                <w:bCs w:val="1"/>
                <w:color w:val="auto"/>
              </w:rPr>
              <w:t>Pentair plc and subsidiaries as of December 31, 2019</w:t>
            </w:r>
          </w:p>
        </w:tc>
      </w:tr>
      <w:tr>
        <w:trPr>
          <w:trHeight w:val="372"/>
        </w:trPr>
        <w:tc>
          <w:tcPr>
            <w:tcW w:w="70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 of Company</w:t>
            </w:r>
          </w:p>
        </w:tc>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Jurisdiction of Incorporation</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Aplex Industries,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34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Aqua Membranes, Inc. </w:t>
            </w:r>
            <w:r>
              <w:rPr>
                <w:rFonts w:ascii="Arial" w:cs="Arial" w:eastAsia="Arial" w:hAnsi="Arial"/>
                <w:sz w:val="21"/>
                <w:szCs w:val="21"/>
                <w:color w:val="auto"/>
                <w:vertAlign w:val="superscript"/>
              </w:rPr>
              <w:t>(1)</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3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Aquion (Xi'an) Water Treatment Equipment Co., Ltd.</w:t>
            </w:r>
          </w:p>
        </w:tc>
        <w:tc>
          <w:tcPr>
            <w:tcW w:w="4340" w:type="dxa"/>
            <w:vAlign w:val="bottom"/>
          </w:tcPr>
          <w:p>
            <w:pPr>
              <w:ind w:left="40"/>
              <w:spacing w:after="0"/>
              <w:rPr>
                <w:sz w:val="20"/>
                <w:szCs w:val="20"/>
                <w:color w:val="auto"/>
              </w:rPr>
            </w:pPr>
            <w:r>
              <w:rPr>
                <w:rFonts w:ascii="Arial" w:cs="Arial" w:eastAsia="Arial" w:hAnsi="Arial"/>
                <w:sz w:val="16"/>
                <w:szCs w:val="16"/>
                <w:color w:val="auto"/>
              </w:rPr>
              <w:t>China</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Aquion Hong Kong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Hong Kong</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Aquion,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Century Mfg. Co.</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385"/>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Chansuba Pumps Private Limited </w:t>
            </w:r>
            <w:r>
              <w:rPr>
                <w:rFonts w:ascii="Arial" w:cs="Arial" w:eastAsia="Arial" w:hAnsi="Arial"/>
                <w:sz w:val="21"/>
                <w:szCs w:val="21"/>
                <w:color w:val="auto"/>
                <w:vertAlign w:val="superscript"/>
              </w:rPr>
              <w:t>(2)</w:t>
            </w:r>
          </w:p>
        </w:tc>
        <w:tc>
          <w:tcPr>
            <w:tcW w:w="4340" w:type="dxa"/>
            <w:vAlign w:val="bottom"/>
          </w:tcPr>
          <w:p>
            <w:pPr>
              <w:ind w:left="40"/>
              <w:spacing w:after="0"/>
              <w:rPr>
                <w:sz w:val="20"/>
                <w:szCs w:val="20"/>
                <w:color w:val="auto"/>
              </w:rPr>
            </w:pPr>
            <w:r>
              <w:rPr>
                <w:rFonts w:ascii="Arial" w:cs="Arial" w:eastAsia="Arial" w:hAnsi="Arial"/>
                <w:sz w:val="16"/>
                <w:szCs w:val="16"/>
                <w:color w:val="auto"/>
              </w:rPr>
              <w:t>India</w:t>
            </w:r>
          </w:p>
        </w:tc>
      </w:tr>
      <w:tr>
        <w:trPr>
          <w:trHeight w:val="23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ClearWater Tech,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Enviro Water Solutions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Epps, Ltd.</w:t>
            </w:r>
          </w:p>
        </w:tc>
        <w:tc>
          <w:tcPr>
            <w:tcW w:w="4340" w:type="dxa"/>
            <w:vAlign w:val="bottom"/>
          </w:tcPr>
          <w:p>
            <w:pPr>
              <w:ind w:left="40"/>
              <w:spacing w:after="0"/>
              <w:rPr>
                <w:sz w:val="20"/>
                <w:szCs w:val="20"/>
                <w:color w:val="auto"/>
              </w:rPr>
            </w:pPr>
            <w:r>
              <w:rPr>
                <w:rFonts w:ascii="Arial" w:cs="Arial" w:eastAsia="Arial" w:hAnsi="Arial"/>
                <w:sz w:val="16"/>
                <w:szCs w:val="16"/>
                <w:color w:val="auto"/>
              </w:rPr>
              <w:t>Mauritius</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ETE Coliban Pty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Everpure Japan Kabushiki Kaisha</w:t>
            </w:r>
          </w:p>
        </w:tc>
        <w:tc>
          <w:tcPr>
            <w:tcW w:w="4340" w:type="dxa"/>
            <w:vAlign w:val="bottom"/>
          </w:tcPr>
          <w:p>
            <w:pPr>
              <w:ind w:left="40"/>
              <w:spacing w:after="0"/>
              <w:rPr>
                <w:sz w:val="20"/>
                <w:szCs w:val="20"/>
                <w:color w:val="auto"/>
              </w:rPr>
            </w:pPr>
            <w:r>
              <w:rPr>
                <w:rFonts w:ascii="Arial" w:cs="Arial" w:eastAsia="Arial" w:hAnsi="Arial"/>
                <w:sz w:val="16"/>
                <w:szCs w:val="16"/>
                <w:color w:val="auto"/>
              </w:rPr>
              <w:t>Japan</w:t>
            </w:r>
          </w:p>
        </w:tc>
      </w:tr>
      <w:tr>
        <w:trPr>
          <w:trHeight w:val="33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FARADYNE Motors (Suzhou) Co., Ltd </w:t>
            </w:r>
            <w:r>
              <w:rPr>
                <w:rFonts w:ascii="Arial" w:cs="Arial" w:eastAsia="Arial" w:hAnsi="Arial"/>
                <w:sz w:val="21"/>
                <w:szCs w:val="21"/>
                <w:color w:val="auto"/>
                <w:vertAlign w:val="superscript"/>
              </w:rPr>
              <w:t>(3)</w:t>
            </w:r>
          </w:p>
        </w:tc>
        <w:tc>
          <w:tcPr>
            <w:tcW w:w="4340" w:type="dxa"/>
            <w:vAlign w:val="bottom"/>
          </w:tcPr>
          <w:p>
            <w:pPr>
              <w:ind w:left="40"/>
              <w:spacing w:after="0"/>
              <w:rPr>
                <w:sz w:val="20"/>
                <w:szCs w:val="20"/>
                <w:color w:val="auto"/>
              </w:rPr>
            </w:pPr>
            <w:r>
              <w:rPr>
                <w:rFonts w:ascii="Arial" w:cs="Arial" w:eastAsia="Arial" w:hAnsi="Arial"/>
                <w:sz w:val="16"/>
                <w:szCs w:val="16"/>
                <w:color w:val="auto"/>
              </w:rPr>
              <w:t>China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Faradyne Motors LLC </w:t>
            </w:r>
            <w:r>
              <w:rPr>
                <w:rFonts w:ascii="Arial" w:cs="Arial" w:eastAsia="Arial" w:hAnsi="Arial"/>
                <w:sz w:val="21"/>
                <w:szCs w:val="21"/>
                <w:color w:val="auto"/>
                <w:vertAlign w:val="superscript"/>
              </w:rPr>
              <w:t>(3)</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0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FilterSoft,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Fleck Controls,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Goyen Controls Co. Pty.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Goyen Valve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Greenspan Environmental Technology Pty Ltd</w:t>
            </w: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Haffmans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Haffmans North America,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Hawley Group Canada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Canada</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Holding Nijhuis Pompen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Hypro EU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Kingdom</w:t>
            </w:r>
          </w:p>
        </w:tc>
      </w:tr>
      <w:tr>
        <w:trPr>
          <w:trHeight w:val="37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Infinite Water Solutions Private Limited </w:t>
            </w:r>
            <w:r>
              <w:rPr>
                <w:rFonts w:ascii="Arial" w:cs="Arial" w:eastAsia="Arial" w:hAnsi="Arial"/>
                <w:sz w:val="21"/>
                <w:szCs w:val="21"/>
                <w:color w:val="auto"/>
                <w:vertAlign w:val="superscript"/>
              </w:rPr>
              <w:t>(3)</w:t>
            </w:r>
          </w:p>
        </w:tc>
        <w:tc>
          <w:tcPr>
            <w:tcW w:w="4340" w:type="dxa"/>
            <w:vAlign w:val="bottom"/>
          </w:tcPr>
          <w:p>
            <w:pPr>
              <w:ind w:left="40"/>
              <w:spacing w:after="0"/>
              <w:rPr>
                <w:sz w:val="20"/>
                <w:szCs w:val="20"/>
                <w:color w:val="auto"/>
              </w:rPr>
            </w:pPr>
            <w:r>
              <w:rPr>
                <w:rFonts w:ascii="Arial" w:cs="Arial" w:eastAsia="Arial" w:hAnsi="Arial"/>
                <w:sz w:val="16"/>
                <w:szCs w:val="16"/>
                <w:color w:val="auto"/>
              </w:rPr>
              <w:t>India</w:t>
            </w:r>
          </w:p>
        </w:tc>
      </w:tr>
      <w:tr>
        <w:trPr>
          <w:trHeight w:val="20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Jung Pumpen GmbH</w:t>
            </w:r>
          </w:p>
        </w:tc>
        <w:tc>
          <w:tcPr>
            <w:tcW w:w="4340" w:type="dxa"/>
            <w:vAlign w:val="bottom"/>
          </w:tcPr>
          <w:p>
            <w:pPr>
              <w:ind w:left="40"/>
              <w:spacing w:after="0"/>
              <w:rPr>
                <w:sz w:val="20"/>
                <w:szCs w:val="20"/>
                <w:color w:val="auto"/>
              </w:rPr>
            </w:pPr>
            <w:r>
              <w:rPr>
                <w:rFonts w:ascii="Arial" w:cs="Arial" w:eastAsia="Arial" w:hAnsi="Arial"/>
                <w:sz w:val="16"/>
                <w:szCs w:val="16"/>
                <w:color w:val="auto"/>
              </w:rPr>
              <w:t>Germany</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Lincoln Automotive Company</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McNeil (Ohio) Corporation</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MECAIR S.r.L.</w:t>
            </w:r>
          </w:p>
        </w:tc>
        <w:tc>
          <w:tcPr>
            <w:tcW w:w="4340" w:type="dxa"/>
            <w:vAlign w:val="bottom"/>
          </w:tcPr>
          <w:p>
            <w:pPr>
              <w:ind w:left="40"/>
              <w:spacing w:after="0"/>
              <w:rPr>
                <w:sz w:val="20"/>
                <w:szCs w:val="20"/>
                <w:color w:val="auto"/>
              </w:rPr>
            </w:pPr>
            <w:r>
              <w:rPr>
                <w:rFonts w:ascii="Arial" w:cs="Arial" w:eastAsia="Arial" w:hAnsi="Arial"/>
                <w:sz w:val="16"/>
                <w:szCs w:val="16"/>
                <w:color w:val="auto"/>
              </w:rPr>
              <w:t>Italy</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Milperra Developments Pty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Mobile Pool Builder,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Moraine Properties,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33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Nano Terra, Inc. </w:t>
            </w:r>
            <w:r>
              <w:rPr>
                <w:rFonts w:ascii="Arial" w:cs="Arial" w:eastAsia="Arial" w:hAnsi="Arial"/>
                <w:sz w:val="21"/>
                <w:szCs w:val="21"/>
                <w:color w:val="auto"/>
                <w:vertAlign w:val="superscript"/>
              </w:rPr>
              <w:t>(4)</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0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Nijhuis International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Nijhuis Pompen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Nijhuis Pompen BVBA</w:t>
            </w:r>
          </w:p>
        </w:tc>
        <w:tc>
          <w:tcPr>
            <w:tcW w:w="4340" w:type="dxa"/>
            <w:vAlign w:val="bottom"/>
          </w:tcPr>
          <w:p>
            <w:pPr>
              <w:ind w:left="40"/>
              <w:spacing w:after="0"/>
              <w:rPr>
                <w:sz w:val="20"/>
                <w:szCs w:val="20"/>
                <w:color w:val="auto"/>
              </w:rPr>
            </w:pPr>
            <w:r>
              <w:rPr>
                <w:rFonts w:ascii="Arial" w:cs="Arial" w:eastAsia="Arial" w:hAnsi="Arial"/>
                <w:sz w:val="16"/>
                <w:szCs w:val="16"/>
                <w:color w:val="auto"/>
              </w:rPr>
              <w:t>Belgium</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Nijhuis Pompen Exploitatiemaatschappij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Panthro Acquisition Co.</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Pelican Holding Corporation</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33"/>
        </w:trPr>
        <w:tc>
          <w:tcPr>
            <w:tcW w:w="6980" w:type="dxa"/>
            <w:vAlign w:val="bottom"/>
            <w:tcBorders>
              <w:bottom w:val="single" w:sz="8" w:color="C0C0C0"/>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17"/>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(NZ)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New Zealand</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Aquatic Eco-Systems (Canada), Inc.</w:t>
            </w:r>
          </w:p>
        </w:tc>
        <w:tc>
          <w:tcPr>
            <w:tcW w:w="4340" w:type="dxa"/>
            <w:vAlign w:val="bottom"/>
          </w:tcPr>
          <w:p>
            <w:pPr>
              <w:ind w:left="40"/>
              <w:spacing w:after="0"/>
              <w:rPr>
                <w:sz w:val="20"/>
                <w:szCs w:val="20"/>
                <w:color w:val="auto"/>
              </w:rPr>
            </w:pPr>
            <w:r>
              <w:rPr>
                <w:rFonts w:ascii="Arial" w:cs="Arial" w:eastAsia="Arial" w:hAnsi="Arial"/>
                <w:sz w:val="16"/>
                <w:szCs w:val="16"/>
                <w:color w:val="auto"/>
              </w:rPr>
              <w:t>Canada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Aquatic Eco-Systems,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Australia Holdings Pty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Canada, Inc.</w:t>
            </w:r>
          </w:p>
        </w:tc>
        <w:tc>
          <w:tcPr>
            <w:tcW w:w="4340" w:type="dxa"/>
            <w:vAlign w:val="bottom"/>
          </w:tcPr>
          <w:p>
            <w:pPr>
              <w:ind w:left="40"/>
              <w:spacing w:after="0"/>
              <w:rPr>
                <w:sz w:val="20"/>
                <w:szCs w:val="20"/>
                <w:color w:val="auto"/>
              </w:rPr>
            </w:pPr>
            <w:r>
              <w:rPr>
                <w:rFonts w:ascii="Arial" w:cs="Arial" w:eastAsia="Arial" w:hAnsi="Arial"/>
                <w:sz w:val="16"/>
                <w:szCs w:val="16"/>
                <w:color w:val="auto"/>
              </w:rPr>
              <w:t>Canada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Clean Process Technologies India Private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India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Denmark Holding ApS</w:t>
            </w:r>
          </w:p>
        </w:tc>
        <w:tc>
          <w:tcPr>
            <w:tcW w:w="4340" w:type="dxa"/>
            <w:vAlign w:val="bottom"/>
          </w:tcPr>
          <w:p>
            <w:pPr>
              <w:ind w:left="40"/>
              <w:spacing w:after="0"/>
              <w:rPr>
                <w:sz w:val="20"/>
                <w:szCs w:val="20"/>
                <w:color w:val="auto"/>
              </w:rPr>
            </w:pPr>
            <w:r>
              <w:rPr>
                <w:rFonts w:ascii="Arial" w:cs="Arial" w:eastAsia="Arial" w:hAnsi="Arial"/>
                <w:sz w:val="16"/>
                <w:szCs w:val="16"/>
                <w:color w:val="auto"/>
              </w:rPr>
              <w:t>Denmark</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Environmental Systems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Kingdom</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Epsilon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Bermuda</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Federal Pump,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33"/>
        </w:trPr>
        <w:tc>
          <w:tcPr>
            <w:tcW w:w="6980" w:type="dxa"/>
            <w:vAlign w:val="bottom"/>
            <w:tcBorders>
              <w:bottom w:val="single" w:sz="8" w:color="C0C0C0"/>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C0C0C0"/>
            </w:tcBorders>
          </w:tcPr>
          <w:p>
            <w:pPr>
              <w:spacing w:after="0"/>
              <w:rPr>
                <w:sz w:val="2"/>
                <w:szCs w:val="2"/>
                <w:color w:val="auto"/>
              </w:rPr>
            </w:pPr>
          </w:p>
        </w:tc>
      </w:tr>
    </w:tbl>
    <w:p>
      <w:pPr>
        <w:sectPr>
          <w:pgSz w:w="11900" w:h="16838" w:orient="portrait"/>
          <w:cols w:equalWidth="0" w:num="1">
            <w:col w:w="11420"/>
          </w:cols>
          <w:pgMar w:left="240" w:top="553" w:right="239" w:bottom="873" w:gutter="0" w:footer="0" w:header="0"/>
        </w:sectPr>
      </w:pPr>
    </w:p>
    <w:bookmarkStart w:id="108" w:name="page109"/>
    <w:bookmarkEnd w:id="1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Filtration Sales &amp; Service Company,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311"/>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Filtration Solutions,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Finance Group GmbH</w:t>
            </w:r>
          </w:p>
        </w:tc>
        <w:tc>
          <w:tcPr>
            <w:tcW w:w="4340" w:type="dxa"/>
            <w:vAlign w:val="bottom"/>
          </w:tcPr>
          <w:p>
            <w:pPr>
              <w:ind w:left="40"/>
              <w:spacing w:after="0"/>
              <w:rPr>
                <w:sz w:val="20"/>
                <w:szCs w:val="20"/>
                <w:color w:val="auto"/>
              </w:rPr>
            </w:pPr>
            <w:r>
              <w:rPr>
                <w:rFonts w:ascii="Arial" w:cs="Arial" w:eastAsia="Arial" w:hAnsi="Arial"/>
                <w:sz w:val="16"/>
                <w:szCs w:val="16"/>
                <w:color w:val="auto"/>
              </w:rPr>
              <w:t>Switzerland</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Finance Holding GmbH</w:t>
            </w:r>
          </w:p>
        </w:tc>
        <w:tc>
          <w:tcPr>
            <w:tcW w:w="4340" w:type="dxa"/>
            <w:vAlign w:val="bottom"/>
          </w:tcPr>
          <w:p>
            <w:pPr>
              <w:ind w:left="40"/>
              <w:spacing w:after="0"/>
              <w:rPr>
                <w:sz w:val="20"/>
                <w:szCs w:val="20"/>
                <w:color w:val="auto"/>
              </w:rPr>
            </w:pPr>
            <w:r>
              <w:rPr>
                <w:rFonts w:ascii="Arial" w:cs="Arial" w:eastAsia="Arial" w:hAnsi="Arial"/>
                <w:sz w:val="16"/>
                <w:szCs w:val="16"/>
                <w:color w:val="auto"/>
              </w:rPr>
              <w:t>Switzerland</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Finance S.a.r.l.</w:t>
            </w:r>
          </w:p>
        </w:tc>
        <w:tc>
          <w:tcPr>
            <w:tcW w:w="4340" w:type="dxa"/>
            <w:vAlign w:val="bottom"/>
          </w:tcPr>
          <w:p>
            <w:pPr>
              <w:ind w:left="40"/>
              <w:spacing w:after="0"/>
              <w:rPr>
                <w:sz w:val="20"/>
                <w:szCs w:val="20"/>
                <w:color w:val="auto"/>
              </w:rPr>
            </w:pPr>
            <w:r>
              <w:rPr>
                <w:rFonts w:ascii="Arial" w:cs="Arial" w:eastAsia="Arial" w:hAnsi="Arial"/>
                <w:sz w:val="16"/>
                <w:szCs w:val="16"/>
                <w:color w:val="auto"/>
              </w:rPr>
              <w:t>Luxembourg</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Flow Control International Pty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Flow Services AG</w:t>
            </w:r>
          </w:p>
        </w:tc>
        <w:tc>
          <w:tcPr>
            <w:tcW w:w="4340" w:type="dxa"/>
            <w:vAlign w:val="bottom"/>
          </w:tcPr>
          <w:p>
            <w:pPr>
              <w:ind w:left="40"/>
              <w:spacing w:after="0"/>
              <w:rPr>
                <w:sz w:val="20"/>
                <w:szCs w:val="20"/>
                <w:color w:val="auto"/>
              </w:rPr>
            </w:pPr>
            <w:r>
              <w:rPr>
                <w:rFonts w:ascii="Arial" w:cs="Arial" w:eastAsia="Arial" w:hAnsi="Arial"/>
                <w:sz w:val="16"/>
                <w:szCs w:val="16"/>
                <w:color w:val="auto"/>
              </w:rPr>
              <w:t>Switzerland</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Flow Technologies de Mexico, S. de R.L. de C.V.</w:t>
            </w:r>
          </w:p>
        </w:tc>
        <w:tc>
          <w:tcPr>
            <w:tcW w:w="4340" w:type="dxa"/>
            <w:vAlign w:val="bottom"/>
          </w:tcPr>
          <w:p>
            <w:pPr>
              <w:ind w:left="40"/>
              <w:spacing w:after="0"/>
              <w:rPr>
                <w:sz w:val="20"/>
                <w:szCs w:val="20"/>
                <w:color w:val="auto"/>
              </w:rPr>
            </w:pPr>
            <w:r>
              <w:rPr>
                <w:rFonts w:ascii="Arial" w:cs="Arial" w:eastAsia="Arial" w:hAnsi="Arial"/>
                <w:sz w:val="16"/>
                <w:szCs w:val="16"/>
                <w:color w:val="auto"/>
              </w:rPr>
              <w:t>Mexico</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Flow Technologies Pacific Pty Ltd</w:t>
            </w: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Flow Technologies,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France SARL</w:t>
            </w:r>
          </w:p>
        </w:tc>
        <w:tc>
          <w:tcPr>
            <w:tcW w:w="4340" w:type="dxa"/>
            <w:vAlign w:val="bottom"/>
          </w:tcPr>
          <w:p>
            <w:pPr>
              <w:ind w:left="40"/>
              <w:spacing w:after="0"/>
              <w:rPr>
                <w:sz w:val="20"/>
                <w:szCs w:val="20"/>
                <w:color w:val="auto"/>
              </w:rPr>
            </w:pPr>
            <w:r>
              <w:rPr>
                <w:rFonts w:ascii="Arial" w:cs="Arial" w:eastAsia="Arial" w:hAnsi="Arial"/>
                <w:sz w:val="16"/>
                <w:szCs w:val="16"/>
                <w:color w:val="auto"/>
              </w:rPr>
              <w:t>France</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Germany GmbH</w:t>
            </w:r>
          </w:p>
        </w:tc>
        <w:tc>
          <w:tcPr>
            <w:tcW w:w="4340" w:type="dxa"/>
            <w:vAlign w:val="bottom"/>
          </w:tcPr>
          <w:p>
            <w:pPr>
              <w:ind w:left="40"/>
              <w:spacing w:after="0"/>
              <w:rPr>
                <w:sz w:val="20"/>
                <w:szCs w:val="20"/>
                <w:color w:val="auto"/>
              </w:rPr>
            </w:pPr>
            <w:r>
              <w:rPr>
                <w:rFonts w:ascii="Arial" w:cs="Arial" w:eastAsia="Arial" w:hAnsi="Arial"/>
                <w:sz w:val="16"/>
                <w:szCs w:val="16"/>
                <w:color w:val="auto"/>
              </w:rPr>
              <w:t>Germany</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Global Holdings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Global S.a.r.l.</w:t>
            </w:r>
          </w:p>
        </w:tc>
        <w:tc>
          <w:tcPr>
            <w:tcW w:w="4340" w:type="dxa"/>
            <w:vAlign w:val="bottom"/>
          </w:tcPr>
          <w:p>
            <w:pPr>
              <w:ind w:left="40"/>
              <w:spacing w:after="0"/>
              <w:rPr>
                <w:sz w:val="20"/>
                <w:szCs w:val="20"/>
                <w:color w:val="auto"/>
              </w:rPr>
            </w:pPr>
            <w:r>
              <w:rPr>
                <w:rFonts w:ascii="Arial" w:cs="Arial" w:eastAsia="Arial" w:hAnsi="Arial"/>
                <w:sz w:val="16"/>
                <w:szCs w:val="16"/>
                <w:color w:val="auto"/>
              </w:rPr>
              <w:t>Luxembourg</w:t>
            </w:r>
          </w:p>
        </w:tc>
      </w:tr>
      <w:tr>
        <w:trPr>
          <w:trHeight w:val="33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Pentair Group (Thailand) Limited </w:t>
            </w:r>
            <w:r>
              <w:rPr>
                <w:rFonts w:ascii="Arial" w:cs="Arial" w:eastAsia="Arial" w:hAnsi="Arial"/>
                <w:sz w:val="21"/>
                <w:szCs w:val="21"/>
                <w:color w:val="auto"/>
                <w:vertAlign w:val="superscript"/>
              </w:rPr>
              <w:t>(5)</w:t>
            </w:r>
          </w:p>
        </w:tc>
        <w:tc>
          <w:tcPr>
            <w:tcW w:w="4340" w:type="dxa"/>
            <w:vAlign w:val="bottom"/>
          </w:tcPr>
          <w:p>
            <w:pPr>
              <w:ind w:left="40"/>
              <w:spacing w:after="0"/>
              <w:rPr>
                <w:sz w:val="20"/>
                <w:szCs w:val="20"/>
                <w:color w:val="auto"/>
              </w:rPr>
            </w:pPr>
            <w:r>
              <w:rPr>
                <w:rFonts w:ascii="Arial" w:cs="Arial" w:eastAsia="Arial" w:hAnsi="Arial"/>
                <w:sz w:val="16"/>
                <w:szCs w:val="16"/>
                <w:color w:val="auto"/>
              </w:rPr>
              <w:t>Thailand</w:t>
            </w:r>
          </w:p>
        </w:tc>
      </w:tr>
      <w:tr>
        <w:trPr>
          <w:trHeight w:val="20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Holdings S.a.r.l.</w:t>
            </w:r>
          </w:p>
        </w:tc>
        <w:tc>
          <w:tcPr>
            <w:tcW w:w="4340" w:type="dxa"/>
            <w:vAlign w:val="bottom"/>
          </w:tcPr>
          <w:p>
            <w:pPr>
              <w:ind w:left="40"/>
              <w:spacing w:after="0"/>
              <w:rPr>
                <w:sz w:val="20"/>
                <w:szCs w:val="20"/>
                <w:color w:val="auto"/>
              </w:rPr>
            </w:pPr>
            <w:r>
              <w:rPr>
                <w:rFonts w:ascii="Arial" w:cs="Arial" w:eastAsia="Arial" w:hAnsi="Arial"/>
                <w:sz w:val="16"/>
                <w:szCs w:val="16"/>
                <w:color w:val="auto"/>
              </w:rPr>
              <w:t>Luxembourg</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Holdings,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Housing,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Housing, LP</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International (UK) Ltd</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Kingdom</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International Holding S.a.r.l.</w:t>
            </w:r>
          </w:p>
        </w:tc>
        <w:tc>
          <w:tcPr>
            <w:tcW w:w="4340" w:type="dxa"/>
            <w:vAlign w:val="bottom"/>
          </w:tcPr>
          <w:p>
            <w:pPr>
              <w:ind w:left="40"/>
              <w:spacing w:after="0"/>
              <w:rPr>
                <w:sz w:val="20"/>
                <w:szCs w:val="20"/>
                <w:color w:val="auto"/>
              </w:rPr>
            </w:pPr>
            <w:r>
              <w:rPr>
                <w:rFonts w:ascii="Arial" w:cs="Arial" w:eastAsia="Arial" w:hAnsi="Arial"/>
                <w:sz w:val="16"/>
                <w:szCs w:val="16"/>
                <w:color w:val="auto"/>
              </w:rPr>
              <w:t>Luxembourg</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International Sarl</w:t>
            </w:r>
          </w:p>
        </w:tc>
        <w:tc>
          <w:tcPr>
            <w:tcW w:w="4340" w:type="dxa"/>
            <w:vAlign w:val="bottom"/>
          </w:tcPr>
          <w:p>
            <w:pPr>
              <w:ind w:left="40"/>
              <w:spacing w:after="0"/>
              <w:rPr>
                <w:sz w:val="20"/>
                <w:szCs w:val="20"/>
                <w:color w:val="auto"/>
              </w:rPr>
            </w:pPr>
            <w:r>
              <w:rPr>
                <w:rFonts w:ascii="Arial" w:cs="Arial" w:eastAsia="Arial" w:hAnsi="Arial"/>
                <w:sz w:val="16"/>
                <w:szCs w:val="16"/>
                <w:color w:val="auto"/>
              </w:rPr>
              <w:t>Switzerland</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Investments Switzerland GmbH</w:t>
            </w:r>
          </w:p>
        </w:tc>
        <w:tc>
          <w:tcPr>
            <w:tcW w:w="4340" w:type="dxa"/>
            <w:vAlign w:val="bottom"/>
          </w:tcPr>
          <w:p>
            <w:pPr>
              <w:ind w:left="40"/>
              <w:spacing w:after="0"/>
              <w:rPr>
                <w:sz w:val="20"/>
                <w:szCs w:val="20"/>
                <w:color w:val="auto"/>
              </w:rPr>
            </w:pPr>
            <w:r>
              <w:rPr>
                <w:rFonts w:ascii="Arial" w:cs="Arial" w:eastAsia="Arial" w:hAnsi="Arial"/>
                <w:sz w:val="16"/>
                <w:szCs w:val="16"/>
                <w:color w:val="auto"/>
              </w:rPr>
              <w:t>Switzerland</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Ireland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Ireland</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Janus Holding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Janus Holdings</w:t>
            </w:r>
          </w:p>
        </w:tc>
        <w:tc>
          <w:tcPr>
            <w:tcW w:w="4340" w:type="dxa"/>
            <w:vAlign w:val="bottom"/>
          </w:tcPr>
          <w:p>
            <w:pPr>
              <w:ind w:left="40"/>
              <w:spacing w:after="0"/>
              <w:rPr>
                <w:sz w:val="20"/>
                <w:szCs w:val="20"/>
                <w:color w:val="auto"/>
              </w:rPr>
            </w:pPr>
            <w:r>
              <w:rPr>
                <w:rFonts w:ascii="Arial" w:cs="Arial" w:eastAsia="Arial" w:hAnsi="Arial"/>
                <w:sz w:val="16"/>
                <w:szCs w:val="16"/>
                <w:color w:val="auto"/>
              </w:rPr>
              <w:t>Bermuda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Kenya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Kenya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Luxembourg S.a.r.l.</w:t>
            </w:r>
          </w:p>
        </w:tc>
        <w:tc>
          <w:tcPr>
            <w:tcW w:w="4340" w:type="dxa"/>
            <w:vAlign w:val="bottom"/>
          </w:tcPr>
          <w:p>
            <w:pPr>
              <w:ind w:left="40"/>
              <w:spacing w:after="0"/>
              <w:rPr>
                <w:sz w:val="20"/>
                <w:szCs w:val="20"/>
                <w:color w:val="auto"/>
              </w:rPr>
            </w:pPr>
            <w:r>
              <w:rPr>
                <w:rFonts w:ascii="Arial" w:cs="Arial" w:eastAsia="Arial" w:hAnsi="Arial"/>
                <w:sz w:val="16"/>
                <w:szCs w:val="16"/>
                <w:color w:val="auto"/>
              </w:rPr>
              <w:t>Luxembourg</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Management Company</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Manufacturing Belgium BVBA</w:t>
            </w:r>
          </w:p>
        </w:tc>
        <w:tc>
          <w:tcPr>
            <w:tcW w:w="4340" w:type="dxa"/>
            <w:vAlign w:val="bottom"/>
          </w:tcPr>
          <w:p>
            <w:pPr>
              <w:ind w:left="40"/>
              <w:spacing w:after="0"/>
              <w:rPr>
                <w:sz w:val="20"/>
                <w:szCs w:val="20"/>
                <w:color w:val="auto"/>
              </w:rPr>
            </w:pPr>
            <w:r>
              <w:rPr>
                <w:rFonts w:ascii="Arial" w:cs="Arial" w:eastAsia="Arial" w:hAnsi="Arial"/>
                <w:sz w:val="16"/>
                <w:szCs w:val="16"/>
                <w:color w:val="auto"/>
              </w:rPr>
              <w:t>Belgium</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Manufacturing France S.A.S.</w:t>
            </w:r>
          </w:p>
        </w:tc>
        <w:tc>
          <w:tcPr>
            <w:tcW w:w="4340" w:type="dxa"/>
            <w:vAlign w:val="bottom"/>
          </w:tcPr>
          <w:p>
            <w:pPr>
              <w:ind w:left="40"/>
              <w:spacing w:after="0"/>
              <w:rPr>
                <w:sz w:val="20"/>
                <w:szCs w:val="20"/>
                <w:color w:val="auto"/>
              </w:rPr>
            </w:pPr>
            <w:r>
              <w:rPr>
                <w:rFonts w:ascii="Arial" w:cs="Arial" w:eastAsia="Arial" w:hAnsi="Arial"/>
                <w:sz w:val="16"/>
                <w:szCs w:val="16"/>
                <w:color w:val="auto"/>
              </w:rPr>
              <w:t>France</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Manufacturing Italy S.r.L.</w:t>
            </w:r>
          </w:p>
        </w:tc>
        <w:tc>
          <w:tcPr>
            <w:tcW w:w="4340" w:type="dxa"/>
            <w:vAlign w:val="bottom"/>
          </w:tcPr>
          <w:p>
            <w:pPr>
              <w:ind w:left="40"/>
              <w:spacing w:after="0"/>
              <w:rPr>
                <w:sz w:val="20"/>
                <w:szCs w:val="20"/>
                <w:color w:val="auto"/>
              </w:rPr>
            </w:pPr>
            <w:r>
              <w:rPr>
                <w:rFonts w:ascii="Arial" w:cs="Arial" w:eastAsia="Arial" w:hAnsi="Arial"/>
                <w:sz w:val="16"/>
                <w:szCs w:val="16"/>
                <w:color w:val="auto"/>
              </w:rPr>
              <w:t>Italy</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Middle East FZE</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Arab Emirates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Nanosoft US Holdings,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Netherlands Euro Finance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33"/>
        </w:trPr>
        <w:tc>
          <w:tcPr>
            <w:tcW w:w="6980" w:type="dxa"/>
            <w:vAlign w:val="bottom"/>
            <w:tcBorders>
              <w:bottom w:val="single" w:sz="8" w:color="C0C0C0"/>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C0C0C0"/>
            </w:tcBorders>
          </w:tcPr>
          <w:p>
            <w:pPr>
              <w:spacing w:after="0"/>
              <w:rPr>
                <w:sz w:val="2"/>
                <w:szCs w:val="2"/>
                <w:color w:val="auto"/>
              </w:rPr>
            </w:pPr>
          </w:p>
        </w:tc>
      </w:tr>
      <w:tr>
        <w:trPr>
          <w:trHeight w:val="217"/>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Netherlands Finance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Netherlands Holding B.V.</w:t>
            </w: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Pacific Rim (Water)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Hong Kong</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Pacific Rim,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Hong Kong</w:t>
            </w:r>
          </w:p>
        </w:tc>
      </w:tr>
      <w:tr>
        <w:trPr>
          <w:trHeight w:val="33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Pentair Philippines, Inc. </w:t>
            </w:r>
            <w:r>
              <w:rPr>
                <w:rFonts w:ascii="Arial" w:cs="Arial" w:eastAsia="Arial" w:hAnsi="Arial"/>
                <w:sz w:val="21"/>
                <w:szCs w:val="21"/>
                <w:color w:val="auto"/>
                <w:vertAlign w:val="superscript"/>
              </w:rPr>
              <w:t>(5)</w:t>
            </w:r>
          </w:p>
        </w:tc>
        <w:tc>
          <w:tcPr>
            <w:tcW w:w="4340" w:type="dxa"/>
            <w:vAlign w:val="bottom"/>
          </w:tcPr>
          <w:p>
            <w:pPr>
              <w:ind w:left="40"/>
              <w:spacing w:after="0"/>
              <w:rPr>
                <w:sz w:val="20"/>
                <w:szCs w:val="20"/>
                <w:color w:val="auto"/>
              </w:rPr>
            </w:pPr>
            <w:r>
              <w:rPr>
                <w:rFonts w:ascii="Arial" w:cs="Arial" w:eastAsia="Arial" w:hAnsi="Arial"/>
                <w:sz w:val="16"/>
                <w:szCs w:val="16"/>
                <w:color w:val="auto"/>
              </w:rPr>
              <w:t>Philippines</w:t>
            </w:r>
          </w:p>
        </w:tc>
      </w:tr>
      <w:tr>
        <w:trPr>
          <w:trHeight w:val="20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Residential Filtration, LLC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Services France S.A.S.</w:t>
            </w:r>
          </w:p>
        </w:tc>
        <w:tc>
          <w:tcPr>
            <w:tcW w:w="4340" w:type="dxa"/>
            <w:vAlign w:val="bottom"/>
          </w:tcPr>
          <w:p>
            <w:pPr>
              <w:ind w:left="40"/>
              <w:spacing w:after="0"/>
              <w:rPr>
                <w:sz w:val="20"/>
                <w:szCs w:val="20"/>
                <w:color w:val="auto"/>
              </w:rPr>
            </w:pPr>
            <w:r>
              <w:rPr>
                <w:rFonts w:ascii="Arial" w:cs="Arial" w:eastAsia="Arial" w:hAnsi="Arial"/>
                <w:sz w:val="16"/>
                <w:szCs w:val="16"/>
                <w:color w:val="auto"/>
              </w:rPr>
              <w:t>France</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Shenzhen Enclosure Company, Ltd.</w:t>
            </w:r>
          </w:p>
        </w:tc>
        <w:tc>
          <w:tcPr>
            <w:tcW w:w="4340" w:type="dxa"/>
            <w:vAlign w:val="bottom"/>
          </w:tcPr>
          <w:p>
            <w:pPr>
              <w:ind w:left="40"/>
              <w:spacing w:after="0"/>
              <w:rPr>
                <w:sz w:val="20"/>
                <w:szCs w:val="20"/>
                <w:color w:val="auto"/>
              </w:rPr>
            </w:pPr>
            <w:r>
              <w:rPr>
                <w:rFonts w:ascii="Arial" w:cs="Arial" w:eastAsia="Arial" w:hAnsi="Arial"/>
                <w:sz w:val="16"/>
                <w:szCs w:val="16"/>
                <w:color w:val="auto"/>
              </w:rPr>
              <w:t>China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Sudmo GmbH</w:t>
            </w:r>
          </w:p>
        </w:tc>
        <w:tc>
          <w:tcPr>
            <w:tcW w:w="4340" w:type="dxa"/>
            <w:vAlign w:val="bottom"/>
          </w:tcPr>
          <w:p>
            <w:pPr>
              <w:ind w:left="40"/>
              <w:spacing w:after="0"/>
              <w:rPr>
                <w:sz w:val="20"/>
                <w:szCs w:val="20"/>
                <w:color w:val="auto"/>
              </w:rPr>
            </w:pPr>
            <w:r>
              <w:rPr>
                <w:rFonts w:ascii="Arial" w:cs="Arial" w:eastAsia="Arial" w:hAnsi="Arial"/>
                <w:sz w:val="16"/>
                <w:szCs w:val="16"/>
                <w:color w:val="auto"/>
              </w:rPr>
              <w:t>Germany</w:t>
            </w:r>
          </w:p>
        </w:tc>
      </w:tr>
      <w:tr>
        <w:trPr>
          <w:trHeight w:val="33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 xml:space="preserve">Pentair Tamimi LLC </w:t>
            </w:r>
            <w:r>
              <w:rPr>
                <w:rFonts w:ascii="Arial" w:cs="Arial" w:eastAsia="Arial" w:hAnsi="Arial"/>
                <w:sz w:val="21"/>
                <w:szCs w:val="21"/>
                <w:color w:val="auto"/>
                <w:vertAlign w:val="superscript"/>
              </w:rPr>
              <w:t>(6)</w:t>
            </w:r>
          </w:p>
        </w:tc>
        <w:tc>
          <w:tcPr>
            <w:tcW w:w="4340" w:type="dxa"/>
            <w:vAlign w:val="bottom"/>
          </w:tcPr>
          <w:p>
            <w:pPr>
              <w:ind w:left="40"/>
              <w:spacing w:after="0"/>
              <w:rPr>
                <w:sz w:val="20"/>
                <w:szCs w:val="20"/>
                <w:color w:val="auto"/>
              </w:rPr>
            </w:pPr>
            <w:r>
              <w:rPr>
                <w:rFonts w:ascii="Arial" w:cs="Arial" w:eastAsia="Arial" w:hAnsi="Arial"/>
                <w:sz w:val="16"/>
                <w:szCs w:val="16"/>
                <w:color w:val="auto"/>
              </w:rPr>
              <w:t>Saudi Arabia</w:t>
            </w:r>
          </w:p>
        </w:tc>
      </w:tr>
      <w:tr>
        <w:trPr>
          <w:trHeight w:val="206"/>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Trading (Shanghai) Co., Ltd.</w:t>
            </w:r>
          </w:p>
        </w:tc>
        <w:tc>
          <w:tcPr>
            <w:tcW w:w="4340" w:type="dxa"/>
            <w:vAlign w:val="bottom"/>
          </w:tcPr>
          <w:p>
            <w:pPr>
              <w:ind w:left="40"/>
              <w:spacing w:after="0"/>
              <w:rPr>
                <w:sz w:val="20"/>
                <w:szCs w:val="20"/>
                <w:color w:val="auto"/>
              </w:rPr>
            </w:pPr>
            <w:r>
              <w:rPr>
                <w:rFonts w:ascii="Arial" w:cs="Arial" w:eastAsia="Arial" w:hAnsi="Arial"/>
                <w:sz w:val="16"/>
                <w:szCs w:val="16"/>
                <w:color w:val="auto"/>
              </w:rPr>
              <w:t>China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Transport, Inc.</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Tubing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Kingdom</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UK Group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Kingdom</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UK Holdings Limited</w:t>
            </w:r>
          </w:p>
        </w:tc>
        <w:tc>
          <w:tcPr>
            <w:tcW w:w="4340" w:type="dxa"/>
            <w:vAlign w:val="bottom"/>
          </w:tcPr>
          <w:p>
            <w:pPr>
              <w:ind w:left="40"/>
              <w:spacing w:after="0"/>
              <w:rPr>
                <w:sz w:val="20"/>
                <w:szCs w:val="20"/>
                <w:color w:val="auto"/>
              </w:rPr>
            </w:pPr>
            <w:r>
              <w:rPr>
                <w:rFonts w:ascii="Arial" w:cs="Arial" w:eastAsia="Arial" w:hAnsi="Arial"/>
                <w:sz w:val="16"/>
                <w:szCs w:val="16"/>
                <w:color w:val="auto"/>
              </w:rPr>
              <w:t>United Kingdom</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Valves &amp; Controls del Uruguay S.A.</w:t>
            </w:r>
          </w:p>
        </w:tc>
        <w:tc>
          <w:tcPr>
            <w:tcW w:w="4340" w:type="dxa"/>
            <w:vAlign w:val="bottom"/>
          </w:tcPr>
          <w:p>
            <w:pPr>
              <w:ind w:left="40"/>
              <w:spacing w:after="0"/>
              <w:rPr>
                <w:sz w:val="20"/>
                <w:szCs w:val="20"/>
                <w:color w:val="auto"/>
              </w:rPr>
            </w:pPr>
            <w:r>
              <w:rPr>
                <w:rFonts w:ascii="Arial" w:cs="Arial" w:eastAsia="Arial" w:hAnsi="Arial"/>
                <w:sz w:val="16"/>
                <w:szCs w:val="16"/>
                <w:color w:val="auto"/>
              </w:rPr>
              <w:t>Uruguay</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Water (Suzhou) Company, Ltd.</w:t>
            </w:r>
          </w:p>
        </w:tc>
        <w:tc>
          <w:tcPr>
            <w:tcW w:w="4340" w:type="dxa"/>
            <w:vAlign w:val="bottom"/>
          </w:tcPr>
          <w:p>
            <w:pPr>
              <w:ind w:left="40"/>
              <w:spacing w:after="0"/>
              <w:rPr>
                <w:sz w:val="20"/>
                <w:szCs w:val="20"/>
                <w:color w:val="auto"/>
              </w:rPr>
            </w:pPr>
            <w:r>
              <w:rPr>
                <w:rFonts w:ascii="Arial" w:cs="Arial" w:eastAsia="Arial" w:hAnsi="Arial"/>
                <w:sz w:val="16"/>
                <w:szCs w:val="16"/>
                <w:color w:val="auto"/>
              </w:rPr>
              <w:t>China</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Pentair Water Asia Pacific Pte. Ltd.</w:t>
            </w:r>
          </w:p>
        </w:tc>
        <w:tc>
          <w:tcPr>
            <w:tcW w:w="4340" w:type="dxa"/>
            <w:vAlign w:val="bottom"/>
          </w:tcPr>
          <w:p>
            <w:pPr>
              <w:ind w:left="40"/>
              <w:spacing w:after="0"/>
              <w:rPr>
                <w:sz w:val="20"/>
                <w:szCs w:val="20"/>
                <w:color w:val="auto"/>
              </w:rPr>
            </w:pPr>
            <w:r>
              <w:rPr>
                <w:rFonts w:ascii="Arial" w:cs="Arial" w:eastAsia="Arial" w:hAnsi="Arial"/>
                <w:sz w:val="16"/>
                <w:szCs w:val="16"/>
                <w:color w:val="auto"/>
              </w:rPr>
              <w:t>Singapore</w:t>
            </w:r>
          </w:p>
        </w:tc>
      </w:tr>
    </w:tbl>
    <w:p>
      <w:pPr>
        <w:sectPr>
          <w:pgSz w:w="11900" w:h="16838" w:orient="portrait"/>
          <w:cols w:equalWidth="0" w:num="1">
            <w:col w:w="11420"/>
          </w:cols>
          <w:pgMar w:left="240" w:top="791" w:right="239" w:bottom="1440" w:gutter="0" w:footer="0" w:header="0"/>
        </w:sectPr>
      </w:pPr>
    </w:p>
    <w:bookmarkStart w:id="109" w:name="page110"/>
    <w:bookmarkEnd w:id="109"/>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Australia Pty Ltd</w:t>
            </w: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Belgium BVBA</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Brazil LLC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do Brasil Ltda.</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France SAS</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Group, Inc.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Holdings, LLC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India Private Limited</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Italy S.r.l.</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Latinamerica S.A.</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Operations Australia Pty Ltd</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Polska Sp.zoo</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Pool and Spa, Inc.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Proces Technologie Holding B.V.</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Process Technology B.V.</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Purification Systems (Shanghai) Co., Ltd.</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Spain, S.L.</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Treatment (OH) Company</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Treatment Company</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33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 xml:space="preserve">Pentair Water Treatment Private Limited </w:t>
            </w:r>
            <w:r>
              <w:rPr>
                <w:rFonts w:ascii="Arial" w:cs="Arial" w:eastAsia="Arial" w:hAnsi="Arial"/>
                <w:sz w:val="21"/>
                <w:szCs w:val="21"/>
                <w:color w:val="auto"/>
                <w:vertAlign w:val="superscript"/>
              </w:rPr>
              <w:t>(7)</w:t>
            </w: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06"/>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 LLC</w:t>
            </w: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Water-Mexico, S. de R.L. de C.V.</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Pentair, Inc.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Penwald Insurance Company</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PES Pty Ltd</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PFAM, Inc.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Plymouth Products, Inc.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Procam Controls, Inc.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0C0C0"/>
            </w:tcBorders>
            <w:gridSpan w:val="2"/>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C0C0C0"/>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PTG Accessories Corp.</w:t>
            </w:r>
          </w:p>
        </w:tc>
        <w:tc>
          <w:tcPr>
            <w:tcW w:w="10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Seneca Enterprises Co.</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Sta-Rite de Mexico, S.A. de C.V.</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Sta-Rite de Puerto Rico, Inc.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Sta-Rite Industries, LLC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Sudmo (UK) Ltd.</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33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 xml:space="preserve">Surface Logix LLC </w:t>
            </w:r>
            <w:r>
              <w:rPr>
                <w:rFonts w:ascii="Arial" w:cs="Arial" w:eastAsia="Arial" w:hAnsi="Arial"/>
                <w:sz w:val="21"/>
                <w:szCs w:val="21"/>
                <w:color w:val="auto"/>
                <w:vertAlign w:val="superscript"/>
              </w:rPr>
              <w:t>(8)</w:t>
            </w: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06"/>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Tupelo Real Estate, LLC</w:t>
            </w: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Union Engineering (NingBo) Co., Ltd.</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Union Engineering A/S</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Union Engineering Holding II A/S</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Union Engineering Holding LLC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34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 xml:space="preserve">Union Engineering Latam Ltda </w:t>
            </w:r>
            <w:r>
              <w:rPr>
                <w:rFonts w:ascii="Arial" w:cs="Arial" w:eastAsia="Arial" w:hAnsi="Arial"/>
                <w:sz w:val="21"/>
                <w:szCs w:val="21"/>
                <w:color w:val="auto"/>
                <w:vertAlign w:val="superscript"/>
              </w:rPr>
              <w:t>(9)</w:t>
            </w: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36"/>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Union Engineering North America LLC</w:t>
            </w:r>
          </w:p>
        </w:tc>
        <w:tc>
          <w:tcPr>
            <w:tcW w:w="10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Urban Organics Pentair Group, LLC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Urban Organics Schmidt Real Estate Group, LLC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Urban Organics St. Paul, LLC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303"/>
        </w:trPr>
        <w:tc>
          <w:tcPr>
            <w:tcW w:w="6980" w:type="dxa"/>
            <w:vAlign w:val="bottom"/>
            <w:tcBorders>
              <w:bottom w:val="single" w:sz="8" w:color="C0C0C0"/>
            </w:tcBorders>
            <w:gridSpan w:val="2"/>
          </w:tcPr>
          <w:p>
            <w:pPr>
              <w:ind w:left="40"/>
              <w:spacing w:after="0"/>
              <w:rPr>
                <w:sz w:val="20"/>
                <w:szCs w:val="20"/>
                <w:color w:val="auto"/>
              </w:rPr>
            </w:pPr>
            <w:r>
              <w:rPr>
                <w:rFonts w:ascii="Arial" w:cs="Arial" w:eastAsia="Arial" w:hAnsi="Arial"/>
                <w:sz w:val="16"/>
                <w:szCs w:val="16"/>
                <w:color w:val="auto"/>
              </w:rPr>
              <w:t xml:space="preserve">Voltea Ltd. </w:t>
            </w:r>
            <w:r>
              <w:rPr>
                <w:rFonts w:ascii="Arial" w:cs="Arial" w:eastAsia="Arial" w:hAnsi="Arial"/>
                <w:sz w:val="21"/>
                <w:szCs w:val="21"/>
                <w:color w:val="auto"/>
                <w:vertAlign w:val="superscript"/>
              </w:rPr>
              <w:t>(10)</w:t>
            </w:r>
          </w:p>
        </w:tc>
        <w:tc>
          <w:tcPr>
            <w:tcW w:w="100" w:type="dxa"/>
            <w:vAlign w:val="bottom"/>
          </w:tcPr>
          <w:p>
            <w:pPr>
              <w:spacing w:after="0"/>
              <w:rPr>
                <w:sz w:val="24"/>
                <w:szCs w:val="24"/>
                <w:color w:val="auto"/>
              </w:rPr>
            </w:pPr>
          </w:p>
        </w:tc>
        <w:tc>
          <w:tcPr>
            <w:tcW w:w="4340" w:type="dxa"/>
            <w:vAlign w:val="bottom"/>
            <w:tcBorders>
              <w:bottom w:val="single" w:sz="8" w:color="C0C0C0"/>
            </w:tcBorders>
          </w:tcPr>
          <w:p>
            <w:pPr>
              <w:ind w:left="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Water Ingenuity Holdings Corp.</w:t>
            </w:r>
          </w:p>
        </w:tc>
        <w:tc>
          <w:tcPr>
            <w:tcW w:w="10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Webster Electric Company, LLC</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WICOR Industries (Australia) Pty. Ltd.</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0C0C0"/>
            </w:tcBorders>
            <w:gridSpan w:val="2"/>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X-Flow B.V.</w:t>
            </w:r>
          </w:p>
        </w:tc>
        <w:tc>
          <w:tcPr>
            <w:tcW w:w="10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322"/>
        </w:trPr>
        <w:tc>
          <w:tcPr>
            <w:tcW w:w="380" w:type="dxa"/>
            <w:vAlign w:val="bottom"/>
          </w:tcPr>
          <w:p>
            <w:pPr>
              <w:ind w:left="160"/>
              <w:spacing w:after="0"/>
              <w:rPr>
                <w:sz w:val="20"/>
                <w:szCs w:val="20"/>
                <w:color w:val="auto"/>
              </w:rPr>
            </w:pPr>
            <w:r>
              <w:rPr>
                <w:rFonts w:ascii="Arial" w:cs="Arial" w:eastAsia="Arial" w:hAnsi="Arial"/>
                <w:sz w:val="11"/>
                <w:szCs w:val="11"/>
                <w:color w:val="auto"/>
              </w:rPr>
              <w:t>(1)</w:t>
            </w:r>
          </w:p>
        </w:tc>
        <w:tc>
          <w:tcPr>
            <w:tcW w:w="6600" w:type="dxa"/>
            <w:vAlign w:val="bottom"/>
            <w:vMerge w:val="restart"/>
          </w:tcPr>
          <w:p>
            <w:pPr>
              <w:ind w:left="120"/>
              <w:spacing w:after="0"/>
              <w:rPr>
                <w:sz w:val="20"/>
                <w:szCs w:val="20"/>
                <w:color w:val="auto"/>
              </w:rPr>
            </w:pPr>
            <w:r>
              <w:rPr>
                <w:rFonts w:ascii="Arial" w:cs="Arial" w:eastAsia="Arial" w:hAnsi="Arial"/>
                <w:sz w:val="16"/>
                <w:szCs w:val="16"/>
                <w:color w:val="auto"/>
              </w:rPr>
              <w:t>10.37% owned</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80" w:type="dxa"/>
            <w:vAlign w:val="bottom"/>
          </w:tcPr>
          <w:p>
            <w:pPr>
              <w:spacing w:after="0"/>
              <w:rPr>
                <w:sz w:val="6"/>
                <w:szCs w:val="6"/>
                <w:color w:val="auto"/>
              </w:rPr>
            </w:pPr>
          </w:p>
        </w:tc>
        <w:tc>
          <w:tcPr>
            <w:tcW w:w="6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(2)</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47%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(3)</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50%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(4)</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w w:val="96"/>
              </w:rPr>
              <w:t>4.81%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(5)</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w w:val="88"/>
              </w:rPr>
              <w:t>99.99%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(6)</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70%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(7)</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76%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(8)</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w w:val="96"/>
              </w:rPr>
              <w:t>0.03%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(9)</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99%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64" w:orient="portrait"/>
          <w:cols w:equalWidth="0" w:num="1">
            <w:col w:w="11420"/>
          </w:cols>
          <w:pgMar w:left="240" w:top="737" w:right="239" w:bottom="0" w:gutter="0" w:footer="0" w:header="0"/>
        </w:sectPr>
      </w:pPr>
    </w:p>
    <w:bookmarkStart w:id="110" w:name="page111"/>
    <w:bookmarkEnd w:id="110"/>
    <w:p>
      <w:pPr>
        <w:ind w:left="373" w:hanging="373"/>
        <w:spacing w:after="0"/>
        <w:tabs>
          <w:tab w:leader="none" w:pos="373"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1.69% owned</w:t>
      </w:r>
    </w:p>
    <w:p>
      <w:pPr>
        <w:sectPr>
          <w:pgSz w:w="11900" w:h="16838" w:orient="portrait"/>
          <w:cols w:equalWidth="0" w:num="1">
            <w:col w:w="10092"/>
          </w:cols>
          <w:pgMar w:left="367" w:top="142" w:right="1440" w:bottom="1440" w:gutter="0" w:footer="0" w:header="0"/>
        </w:sectPr>
      </w:pPr>
    </w:p>
    <w:bookmarkStart w:id="111" w:name="page112"/>
    <w:bookmarkEnd w:id="111"/>
    <w:p>
      <w:pPr>
        <w:spacing w:after="0"/>
        <w:tabs>
          <w:tab w:leader="none" w:pos="373" w:val="left"/>
        </w:tabs>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333-184150, 333-184151 and 333-184152 on Form S-8 and Registration Statement No. 333-231828 on Form S-3 of our reports dated February 25, 2020, relating to the consolidated financial statements of Pentair plc and subsidiaries and the effectiveness of Pentair plc and subsidiaries’ internal control over financial reporting, appearing in the Annual Report on Form 10-K of Pentair plc and subsidiaries for the year ended December 31, 2019.</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55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KNOW ALL MEN BY THESE PRESENTS that the undersigned directors of Pentair plc, an entity organized under the laws of Ireland, hereby constitute and appoint John L. Stauch and Karla C. Robertson,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5"/>
        </w:trPr>
        <w:tc>
          <w:tcPr>
            <w:tcW w:w="2780" w:type="dxa"/>
            <w:vAlign w:val="bottom"/>
          </w:tcPr>
          <w:p>
            <w:pPr>
              <w:ind w:left="40"/>
              <w:spacing w:after="0"/>
              <w:rPr>
                <w:sz w:val="20"/>
                <w:szCs w:val="20"/>
                <w:color w:val="auto"/>
              </w:rPr>
            </w:pPr>
            <w:r>
              <w:rPr>
                <w:rFonts w:ascii="Arial" w:cs="Arial" w:eastAsia="Arial" w:hAnsi="Arial"/>
                <w:sz w:val="18"/>
                <w:szCs w:val="18"/>
                <w:color w:val="auto"/>
              </w:rPr>
              <w:t>/s/ Mona Abutaleb Stephenson</w:t>
            </w:r>
          </w:p>
        </w:tc>
        <w:tc>
          <w:tcPr>
            <w:tcW w:w="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Mona Abutaleb Stephenson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Glynis A. Bryan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Glynis A. Bryan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Jacques Esculier</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Jacques Esculier</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T. Michael Glenn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T. Michael Glenn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Theodore L. Harris</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Theodore L. Harris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David A. Jones</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David A. Jones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Michael T. Speetzen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Michael T. Speetzen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Billie I. Williamson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Billie I. Williamson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ectPr>
          <w:pgSz w:w="11900" w:h="16838" w:orient="portrait"/>
          <w:cols w:equalWidth="0" w:num="1">
            <w:col w:w="11420"/>
          </w:cols>
          <w:pgMar w:left="240" w:top="55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report on Form 10-K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 Borin, certify that:</w:t>
      </w:r>
    </w:p>
    <w:p>
      <w:pPr>
        <w:spacing w:after="0" w:line="225" w:lineRule="exact"/>
        <w:rPr>
          <w:sz w:val="20"/>
          <w:szCs w:val="20"/>
          <w:color w:val="auto"/>
        </w:rPr>
      </w:pPr>
    </w:p>
    <w:p>
      <w:pPr>
        <w:ind w:left="280" w:hanging="258"/>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report on Form 10-K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Chief Accounting</w:t>
      </w:r>
    </w:p>
    <w:p>
      <w:pPr>
        <w:spacing w:after="0" w:line="2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53"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Pentair plc (the “Company”) on Form 10-K for the period ended December 31, 2019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Annual Report of Pentair plc (the “Company”) on Form 10-K for the period ended December 31, 2019 as filed with the Securities and Exchange Commission on the date hereof (the “Report”), I, Mark C. Borin, Executive Vice President, Chief Financial Officer and Chief Accounting Officer of the Company, certify, pursuant to 18 U.S.C. § 1350, as adopted pursuant to Section 906 of the Sarbanes-Oxley Act of 2002, that based on my knowledge:</w:t>
      </w:r>
    </w:p>
    <w:p>
      <w:pPr>
        <w:spacing w:after="0" w:line="147"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Chief Accounting</w:t>
      </w:r>
    </w:p>
    <w:p>
      <w:pPr>
        <w:spacing w:after="0" w:line="2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lowerRoman"/>
      <w:start w:val="2"/>
    </w:lvl>
  </w:abstractNum>
  <w:abstractNum w:abstractNumId="9">
    <w:nsid w:val="3DC240FB"/>
    <w:multiLevelType w:val="hybridMultilevel"/>
    <w:lvl w:ilvl="0">
      <w:lvlJc w:val="left"/>
      <w:lvlText w:val="(%1)"/>
      <w:numFmt w:val="lowerLetter"/>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2"/>
    </w:lvl>
  </w:abstractNum>
  <w:abstractNum w:abstractNumId="56">
    <w:nsid w:val="5DC79EA8"/>
    <w:multiLevelType w:val="hybridMultilevel"/>
    <w:lvl w:ilvl="0">
      <w:lvlJc w:val="left"/>
      <w:lvlText w:val="%1."/>
      <w:numFmt w:val="decimal"/>
      <w:start w:val="5"/>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9"/>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lvl w:ilvl="1">
      <w:lvlJc w:val="left"/>
      <w:lvlText w:val="(%2)"/>
      <w:numFmt w:val="decimal"/>
      <w:start w:val="1"/>
    </w:lvl>
  </w:abstractNum>
  <w:abstractNum w:abstractNumId="61">
    <w:nsid w:val="BF72B14"/>
    <w:multiLevelType w:val="hybridMultilevel"/>
    <w:lvl w:ilvl="0">
      <w:lvlJc w:val="left"/>
      <w:lvlText w:val="%1."/>
      <w:numFmt w:val="decimal"/>
      <w:start w:val="10"/>
    </w:lvl>
    <w:lvl w:ilvl="1">
      <w:lvlJc w:val="left"/>
      <w:lvlText w:val="%2"/>
      <w:numFmt w:val="decimal"/>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decimal"/>
      <w:start w:val="12"/>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15"/>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decimal"/>
      <w:start w:val="21"/>
    </w:lvl>
  </w:abstractNum>
  <w:abstractNum w:abstractNumId="77">
    <w:nsid w:val="7FB7E0AA"/>
    <w:multiLevelType w:val="hybridMultilevel"/>
    <w:lvl w:ilvl="0">
      <w:lvlJc w:val="left"/>
      <w:lvlText w:val="%1"/>
      <w:numFmt w:val="decimal"/>
      <w:start w:val="23"/>
    </w:lvl>
  </w:abstractNum>
  <w:abstractNum w:abstractNumId="78">
    <w:nsid w:val="6EB5BD4"/>
    <w:multiLevelType w:val="hybridMultilevel"/>
    <w:lvl w:ilvl="0">
      <w:lvlJc w:val="left"/>
      <w:lvlText w:val="%1"/>
      <w:numFmt w:val="decimal"/>
      <w:start w:val="101"/>
    </w:lvl>
  </w:abstractNum>
  <w:abstractNum w:abstractNumId="79">
    <w:nsid w:val="6F6DD9AC"/>
    <w:multiLevelType w:val="hybridMultilevel"/>
    <w:lvl w:ilvl="0">
      <w:lvlJc w:val="left"/>
      <w:lvlText w:val="*"/>
      <w:numFmt w:val="bullet"/>
      <w:start w:val="1"/>
    </w:lvl>
    <w:lvl w:ilvl="1">
      <w:lvlJc w:val="left"/>
      <w:lvlText w:val="%2"/>
      <w:numFmt w:val="decimal"/>
      <w:start w:val="104"/>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1)"/>
      <w:numFmt w:val="decimal"/>
      <w:start w:val="10"/>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77" Type="http://schemas.openxmlformats.org/officeDocument/2006/relationships/image" Target="media/image12.png"/><Relationship Id="rId78" Type="http://schemas.openxmlformats.org/officeDocument/2006/relationships/image" Target="media/image13.png"/><Relationship Id="rId79" Type="http://schemas.openxmlformats.org/officeDocument/2006/relationships/image" Target="media/image14.png"/><Relationship Id="rId80" Type="http://schemas.openxmlformats.org/officeDocument/2006/relationships/image" Target="media/image15.png"/><Relationship Id="rId81" Type="http://schemas.openxmlformats.org/officeDocument/2006/relationships/image" Target="media/image16.png"/><Relationship Id="rId82" Type="http://schemas.openxmlformats.org/officeDocument/2006/relationships/image" Target="media/image17.png"/><Relationship Id="rId83" Type="http://schemas.openxmlformats.org/officeDocument/2006/relationships/image" Target="media/image18.png"/><Relationship Id="rId19" Type="http://schemas.openxmlformats.org/officeDocument/2006/relationships/hyperlink" Target="http://www.sec.gov/Archives/edgar/data/77360/000007736016000088/ex21sharepurchaseagreement.htm" TargetMode="External"/><Relationship Id="rId20" Type="http://schemas.openxmlformats.org/officeDocument/2006/relationships/hyperlink" Target="http://www.sec.gov/Archives/edgar/data/77360/000007736018000018/exhibit21.htm" TargetMode="External"/><Relationship Id="rId21" Type="http://schemas.openxmlformats.org/officeDocument/2006/relationships/hyperlink" Target="http://www.sec.gov/Archives/edgar/data/77360/000007736018000018/exhibit22.htm" TargetMode="External"/><Relationship Id="rId22" Type="http://schemas.openxmlformats.org/officeDocument/2006/relationships/hyperlink" Target="http://www.sec.gov/Archives/edgar/data/77360/000007736018000018/exhibit23.htm" TargetMode="External"/><Relationship Id="rId23" Type="http://schemas.openxmlformats.org/officeDocument/2006/relationships/hyperlink" Target="http://www.sec.gov/Archives/edgar/data/77360/000007736018000018/exhibit24.htm" TargetMode="External"/><Relationship Id="rId24" Type="http://schemas.openxmlformats.org/officeDocument/2006/relationships/hyperlink" Target="http://www.sec.gov/Archives/edgar/data/77360/000119312517164403/d365501dex31.htm" TargetMode="External"/><Relationship Id="rId25" Type="http://schemas.openxmlformats.org/officeDocument/2006/relationships/hyperlink" Target="http://www.sec.gov/Archives/edgar/data/77360/000119312512408001/d409131dex41.htm" TargetMode="External"/><Relationship Id="rId26" Type="http://schemas.openxmlformats.org/officeDocument/2006/relationships/hyperlink" Target="http://www.sec.gov/Archives/edgar/data/77360/000119312512408001/d409131dex43.htm" TargetMode="External"/><Relationship Id="rId27" Type="http://schemas.openxmlformats.org/officeDocument/2006/relationships/hyperlink" Target="http://www.sec.gov/Archives/edgar/data/77360/000119312512483347/d445454dex42.htm" TargetMode="External"/><Relationship Id="rId28" Type="http://schemas.openxmlformats.org/officeDocument/2006/relationships/hyperlink" Target="http://www.sec.gov/Archives/edgar/data/77360/000119312512506767/d456536dex41.htm" TargetMode="External"/><Relationship Id="rId29" Type="http://schemas.openxmlformats.org/officeDocument/2006/relationships/hyperlink" Target="http://www.sec.gov/Archives/edgar/data/77360/000119312514206241/d728966dex43.htm" TargetMode="External"/><Relationship Id="rId30" Type="http://schemas.openxmlformats.org/officeDocument/2006/relationships/hyperlink" Target="http://www.sec.gov/Archives/edgar/data/77360/000007736017000025/exhibit41seventhsupplement.htm" TargetMode="External"/><Relationship Id="rId31" Type="http://schemas.openxmlformats.org/officeDocument/2006/relationships/hyperlink" Target="http://www.sec.gov/Archives/edgar/data/77360/000104746911004332/a2203678zex-4_5.htm" TargetMode="External"/><Relationship Id="rId32" Type="http://schemas.openxmlformats.org/officeDocument/2006/relationships/hyperlink" Target="http://www.sec.gov/Archives/edgar/data/77360/000110465911027276/a11-10890_9ex4d2.htm" TargetMode="External"/><Relationship Id="rId33" Type="http://schemas.openxmlformats.org/officeDocument/2006/relationships/hyperlink" Target="http://www.sec.gov/Archives/edgar/data/77360/000119312512411468/d417892dex41.htm" TargetMode="External"/><Relationship Id="rId34" Type="http://schemas.openxmlformats.org/officeDocument/2006/relationships/hyperlink" Target="http://www.sec.gov/Archives/edgar/data/77360/000119312512506767/d456536dex42.htm" TargetMode="External"/><Relationship Id="rId35" Type="http://schemas.openxmlformats.org/officeDocument/2006/relationships/hyperlink" Target="http://www.sec.gov/Archives/edgar/data/77360/000119312514206241/d728966dex42.htm" TargetMode="External"/><Relationship Id="rId36" Type="http://schemas.openxmlformats.org/officeDocument/2006/relationships/hyperlink" Target="http://www.sec.gov/Archives/edgar/data/77360/000007736017000025/exhibit42sixthsupplemental.htm" TargetMode="External"/><Relationship Id="rId37" Type="http://schemas.openxmlformats.org/officeDocument/2006/relationships/hyperlink" Target="http://www.sec.gov/Archives/edgar/data/77360/000007736018000018/exhibit41.htm" TargetMode="External"/><Relationship Id="rId38" Type="http://schemas.openxmlformats.org/officeDocument/2006/relationships/hyperlink" Target="http://www.sec.gov/Archives/edgar/data/77360/000110465919070581/tm1924589d1_ex4-1.htm" TargetMode="External"/><Relationship Id="rId39" Type="http://schemas.openxmlformats.org/officeDocument/2006/relationships/hyperlink" Target="http://www.sec.gov/Archives/edgar/data/77360/000119312515321236/d19886dex41.htm" TargetMode="External"/><Relationship Id="rId40" Type="http://schemas.openxmlformats.org/officeDocument/2006/relationships/hyperlink" Target="http://www.sec.gov/Archives/edgar/data/77360/000119312515321236/d19886dex43.htm" TargetMode="External"/><Relationship Id="rId41" Type="http://schemas.openxmlformats.org/officeDocument/2006/relationships/hyperlink" Target="http://www.sec.gov/Archives/edgar/data/77360/000119312515321236/d19886dex44.htm" TargetMode="External"/><Relationship Id="rId42" Type="http://schemas.openxmlformats.org/officeDocument/2006/relationships/hyperlink" Target="http://www.sec.gov/Archives/edgar/data/77360/000119312515322105/d97350dex42.htm" TargetMode="External"/><Relationship Id="rId43" Type="http://schemas.openxmlformats.org/officeDocument/2006/relationships/hyperlink" Target="http://www.sec.gov/Archives/edgar/data/77360/000007736017000025/exhibit43fifthsupplemental.htm" TargetMode="External"/><Relationship Id="rId44" Type="http://schemas.openxmlformats.org/officeDocument/2006/relationships/hyperlink" Target="http://www.sec.gov/Archives/edgar/data/77360/000110465919037009/a19-10746_8ex4d2.htm" TargetMode="External"/><Relationship Id="rId45" Type="http://schemas.openxmlformats.org/officeDocument/2006/relationships/hyperlink" Target="http://www.sec.gov/Archives/edgar/data/77360/000119312512408001/d409131dex101.htm" TargetMode="External"/><Relationship Id="rId46" Type="http://schemas.openxmlformats.org/officeDocument/2006/relationships/hyperlink" Target="http://www.sec.gov/Archives/edgar/data/77360/000007736017000008/ex102pentairplc2012stockan.htm" TargetMode="External"/><Relationship Id="rId47" Type="http://schemas.openxmlformats.org/officeDocument/2006/relationships/hyperlink" Target="http://www.sec.gov/Archives/edgar/data/77360/000119312514223285/d738414dex107.htm" TargetMode="External"/><Relationship Id="rId48" Type="http://schemas.openxmlformats.org/officeDocument/2006/relationships/hyperlink" Target="http://www.sec.gov/Archives/edgar/data/77360/000119312514223285/d738414dex108.htm" TargetMode="External"/><Relationship Id="rId49" Type="http://schemas.openxmlformats.org/officeDocument/2006/relationships/hyperlink" Target="http://www.sec.gov/Archives/edgar/data/77360/000119312514223285/d738414dex1010.htm" TargetMode="External"/><Relationship Id="rId50" Type="http://schemas.openxmlformats.org/officeDocument/2006/relationships/hyperlink" Target="http://www.sec.gov/Archives/edgar/data/77360/000119312514223285/d738414dex1011.htm" TargetMode="External"/><Relationship Id="rId51" Type="http://schemas.openxmlformats.org/officeDocument/2006/relationships/hyperlink" Target="http://www.sec.gov/Archives/edgar/data/77360/000007736016000058/ex108formofperformanceshar.htm" TargetMode="External"/><Relationship Id="rId52" Type="http://schemas.openxmlformats.org/officeDocument/2006/relationships/hyperlink" Target="http://www.sec.gov/Archives/edgar/data/77360/000007736017000008/ex1092008omnibusstockincen.htm" TargetMode="External"/><Relationship Id="rId53" Type="http://schemas.openxmlformats.org/officeDocument/2006/relationships/hyperlink" Target="http://www.sec.gov/Archives/edgar/data/77360/000119312514223285/d738414dex103.htm" TargetMode="External"/><Relationship Id="rId54" Type="http://schemas.openxmlformats.org/officeDocument/2006/relationships/hyperlink" Target="http://www.sec.gov/Archives/edgar/data/77360/000119312514223285/d738414dex104.htm" TargetMode="External"/><Relationship Id="rId55" Type="http://schemas.openxmlformats.org/officeDocument/2006/relationships/hyperlink" Target="http://www.sec.gov/Archives/edgar/data/77360/000119312512411468/d417892dex1012.htm" TargetMode="External"/><Relationship Id="rId56" Type="http://schemas.openxmlformats.org/officeDocument/2006/relationships/hyperlink" Target="http://www.sec.gov/Archives/edgar/data/77360/000007736018000027/exhibit10120180630.htm" TargetMode="External"/><Relationship Id="rId57" Type="http://schemas.openxmlformats.org/officeDocument/2006/relationships/hyperlink" Target="http://www.sec.gov/Archives/edgar/data/77360/000007736018000027/exhibit10220180630.htm" TargetMode="External"/><Relationship Id="rId58" Type="http://schemas.openxmlformats.org/officeDocument/2006/relationships/hyperlink" Target="http://www.sec.gov/Archives/edgar/data/77360/000007736018000027/exhibit10320180630.htm" TargetMode="External"/><Relationship Id="rId59" Type="http://schemas.openxmlformats.org/officeDocument/2006/relationships/hyperlink" Target="http://www.sec.gov/Archives/edgar/data/77360/000119312514223285/d738414dex106.htm" TargetMode="External"/><Relationship Id="rId60" Type="http://schemas.openxmlformats.org/officeDocument/2006/relationships/hyperlink" Target="http://www.sec.gov/Archives/edgar/data/77360/000007736019000006/ex1016employeestockpurchas.htm" TargetMode="External"/><Relationship Id="rId61" Type="http://schemas.openxmlformats.org/officeDocument/2006/relationships/hyperlink" Target="http://www.sec.gov/Archives/edgar/data/77360/000007736019000006/ex1017non-qualifieddeferre.htm" TargetMode="External"/><Relationship Id="rId62" Type="http://schemas.openxmlformats.org/officeDocument/2006/relationships/hyperlink" Target="http://www.sec.gov/Archives/edgar/data/77360/0000077360-96-000028.txt" TargetMode="External"/><Relationship Id="rId63" Type="http://schemas.openxmlformats.org/officeDocument/2006/relationships/hyperlink" Target="http://www.sec.gov/Archives/edgar/data/77360/000095012400005725/c57456ex10-2.txt" TargetMode="External"/><Relationship Id="rId64" Type="http://schemas.openxmlformats.org/officeDocument/2006/relationships/hyperlink" Target="http://www.sec.gov/Archives/edgar/data/77360/000119312514223285/d738414dex1013.htm" TargetMode="External"/><Relationship Id="rId65" Type="http://schemas.openxmlformats.org/officeDocument/2006/relationships/hyperlink" Target="http://www.sec.gov/Archives/edgar/data/77360/000095012400005725/c57456ex10-3.txt" TargetMode="External"/><Relationship Id="rId66" Type="http://schemas.openxmlformats.org/officeDocument/2006/relationships/hyperlink" Target="http://www.sec.gov/Archives/edgar/data/77360/000119312514223285/d738414dex1014.htm" TargetMode="External"/><Relationship Id="rId67" Type="http://schemas.openxmlformats.org/officeDocument/2006/relationships/hyperlink" Target="http://www.sec.gov/Archives/edgar/data/77360/000119312514223285/d738414dex1015.htm" TargetMode="External"/><Relationship Id="rId68" Type="http://schemas.openxmlformats.org/officeDocument/2006/relationships/hyperlink" Target="http://www.sec.gov/Archives/edgar/data/77360/000119312514223285/d738414dex1016.htm" TargetMode="External"/><Relationship Id="rId69" Type="http://schemas.openxmlformats.org/officeDocument/2006/relationships/hyperlink" Target="http://www.sec.gov/Archives/edgar/data/77360/000007736018000016/ex102pentairkeytalentaward.htm" TargetMode="External"/><Relationship Id="rId70" Type="http://schemas.openxmlformats.org/officeDocument/2006/relationships/hyperlink" Target="http://www.sec.gov/Archives/edgar/data/77360/000007736017000008/ex1031pentairplc2012stocka.htm" TargetMode="External"/><Relationship Id="rId71" Type="http://schemas.openxmlformats.org/officeDocument/2006/relationships/hyperlink" Target="http://www.sec.gov/Archives/edgar/data/77360/000007736017000008/ex1032pentairplc2012stocka.htm" TargetMode="External"/><Relationship Id="rId72" Type="http://schemas.openxmlformats.org/officeDocument/2006/relationships/hyperlink" Target="http://www.sec.gov/Archives/edgar/data/77360/000007736017000008/ex1033pentairplc2012stocka.htm" TargetMode="External"/><Relationship Id="rId73" Type="http://schemas.openxmlformats.org/officeDocument/2006/relationships/hyperlink" Target="http://www.sec.gov/Archives/edgar/data/77360/000007736018000016/ex103pentairrsuawardagreem.htm" TargetMode="External"/><Relationship Id="rId74" Type="http://schemas.openxmlformats.org/officeDocument/2006/relationships/hyperlink" Target="http://www.sec.gov/Archives/edgar/data/77360/000007736018000016/ex104pentairstockoptionagr.htm" TargetMode="External"/><Relationship Id="rId75" Type="http://schemas.openxmlformats.org/officeDocument/2006/relationships/hyperlink" Target="http://www.sec.gov/Archives/edgar/data/77360/000007736018000016/ex105pentairpsuawardagreem.htm" TargetMode="External"/><Relationship Id="rId76" Type="http://schemas.openxmlformats.org/officeDocument/2006/relationships/hyperlink" Target="http://www.sec.gov/Archives/edgar/data/77360/000007736019000006/ex1032formofexecutiveoff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2020-02-25T17:34:25Z</dcterms:created>
  <dcterms:modified xsi:type="dcterms:W3CDTF">2020-02-25T17:34:25Z</dcterms:modified>
</cp:coreProperties>
</file>