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572135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48"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left="4300" w:right="1420" w:hanging="4274"/>
        <w:spacing w:after="0" w:line="391" w:lineRule="auto"/>
        <w:tabs>
          <w:tab w:leader="none" w:pos="11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-30480</wp:posOffset>
            </wp:positionV>
            <wp:extent cx="197167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auto"/>
            </w:tcBorders>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w w:val="98"/>
              </w:rPr>
              <w:t>98-1141328</w:t>
            </w:r>
          </w:p>
        </w:tc>
      </w:tr>
      <w:tr>
        <w:trPr>
          <w:trHeight w:val="228"/>
        </w:trPr>
        <w:tc>
          <w:tcPr>
            <w:tcW w:w="59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180" w:type="dxa"/>
            <w:vAlign w:val="bottom"/>
          </w:tcPr>
          <w:p>
            <w:pPr>
              <w:spacing w:after="0"/>
              <w:rPr>
                <w:sz w:val="19"/>
                <w:szCs w:val="19"/>
                <w:color w:val="auto"/>
              </w:rPr>
            </w:pPr>
          </w:p>
        </w:tc>
        <w:tc>
          <w:tcPr>
            <w:tcW w:w="4100" w:type="dxa"/>
            <w:vAlign w:val="bottom"/>
            <w:gridSpan w:val="2"/>
          </w:tcPr>
          <w:p>
            <w:pPr>
              <w:jc w:val="center"/>
              <w:ind w:right="12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79"/>
        </w:trPr>
        <w:tc>
          <w:tcPr>
            <w:tcW w:w="41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Regal House, 70 London Road,</w:t>
            </w:r>
          </w:p>
        </w:tc>
        <w:tc>
          <w:tcPr>
            <w:tcW w:w="1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Twickenham,</w:t>
            </w: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London,</w:t>
            </w: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TW13QS</w:t>
            </w:r>
          </w:p>
        </w:tc>
        <w:tc>
          <w:tcPr>
            <w:tcW w:w="31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28"/>
        </w:trPr>
        <w:tc>
          <w:tcPr>
            <w:tcW w:w="4140" w:type="dxa"/>
            <w:vAlign w:val="bottom"/>
          </w:tcPr>
          <w:p>
            <w:pPr>
              <w:spacing w:after="0"/>
              <w:rPr>
                <w:sz w:val="19"/>
                <w:szCs w:val="19"/>
                <w:color w:val="auto"/>
              </w:rPr>
            </w:pP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4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5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580" w:type="dxa"/>
            <w:vAlign w:val="bottom"/>
            <w:vMerge w:val="continue"/>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600" w:type="dxa"/>
            <w:vAlign w:val="bottom"/>
            <w:vMerge w:val="continue"/>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8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March 31, 2026, 161,605,541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8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52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20" w:type="dxa"/>
            <w:vAlign w:val="bottom"/>
          </w:tcPr>
          <w:p>
            <w:pPr>
              <w:spacing w:after="0"/>
              <w:rPr>
                <w:sz w:val="22"/>
                <w:szCs w:val="22"/>
                <w:color w:val="auto"/>
              </w:rPr>
            </w:pPr>
          </w:p>
        </w:tc>
      </w:tr>
      <w:tr>
        <w:trPr>
          <w:trHeight w:val="264"/>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4</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5</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6</w:t>
            </w:r>
          </w:p>
        </w:tc>
        <w:tc>
          <w:tcPr>
            <w:tcW w:w="420" w:type="dxa"/>
            <w:vAlign w:val="bottom"/>
          </w:tcPr>
          <w:p>
            <w:pPr>
              <w:spacing w:after="0"/>
              <w:rPr>
                <w:sz w:val="22"/>
                <w:szCs w:val="22"/>
                <w:color w:val="auto"/>
              </w:rPr>
            </w:pPr>
          </w:p>
        </w:tc>
      </w:tr>
      <w:tr>
        <w:trPr>
          <w:trHeight w:val="263"/>
        </w:trPr>
        <w:tc>
          <w:tcPr>
            <w:tcW w:w="2040" w:type="dxa"/>
            <w:vAlign w:val="bottom"/>
          </w:tcPr>
          <w:p>
            <w:pPr>
              <w:spacing w:after="0"/>
              <w:rPr>
                <w:sz w:val="22"/>
                <w:szCs w:val="22"/>
                <w:color w:val="auto"/>
              </w:rPr>
            </w:pPr>
          </w:p>
        </w:tc>
        <w:tc>
          <w:tcPr>
            <w:tcW w:w="4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60" w:type="dxa"/>
            <w:vAlign w:val="bottom"/>
            <w:gridSpan w:val="4"/>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2"/>
          </w:tcPr>
          <w:p>
            <w:pPr>
              <w:spacing w:after="0"/>
              <w:rPr>
                <w:sz w:val="22"/>
                <w:szCs w:val="22"/>
                <w:color w:val="auto"/>
              </w:rPr>
            </w:pPr>
          </w:p>
        </w:tc>
        <w:tc>
          <w:tcPr>
            <w:tcW w:w="1800" w:type="dxa"/>
            <w:vAlign w:val="bottom"/>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6"/>
          </w:tcPr>
          <w:p>
            <w:pPr>
              <w:spacing w:after="0"/>
              <w:rPr>
                <w:sz w:val="22"/>
                <w:szCs w:val="22"/>
                <w:color w:val="auto"/>
              </w:rPr>
            </w:pP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480" w:type="dxa"/>
            <w:vAlign w:val="bottom"/>
            <w:gridSpan w:val="1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3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760" w:type="dxa"/>
            <w:vAlign w:val="bottom"/>
            <w:gridSpan w:val="3"/>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(Unaudited)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2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172.4</w:t>
            </w: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Changes in market value of derivative financial instruments, net of tax</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740" w:type="dxa"/>
            <w:vAlign w:val="bottom"/>
          </w:tcPr>
          <w:p>
            <w:pPr>
              <w:spacing w:after="0"/>
              <w:rPr>
                <w:sz w:val="17"/>
                <w:szCs w:val="17"/>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$6.0 and $6.8, respectively</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7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4,931.9</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4,950.2</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c>
          <w:tcPr>
            <w:tcW w:w="0" w:type="dxa"/>
            <w:vAlign w:val="bottom"/>
          </w:tcPr>
          <w:p>
            <w:pPr>
              <w:spacing w:after="0"/>
              <w:rPr>
                <w:sz w:val="1"/>
                <w:szCs w:val="1"/>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shd w:val="clear" w:color="auto" w:fill="CCEEFF"/>
          </w:tcPr>
          <w:p>
            <w:pPr>
              <w:ind w:left="47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Ordinary shares $0.01 par value, 426.0 authorized, 161.6 and 163.2 issued at March 31, 2026 and</w:t>
            </w:r>
          </w:p>
        </w:tc>
        <w:tc>
          <w:tcPr>
            <w:tcW w:w="7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7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c>
          <w:tcPr>
            <w:tcW w:w="0" w:type="dxa"/>
            <w:vAlign w:val="bottom"/>
          </w:tcPr>
          <w:p>
            <w:pPr>
              <w:spacing w:after="0"/>
              <w:rPr>
                <w:sz w:val="1"/>
                <w:szCs w:val="1"/>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4"/>
                <w:szCs w:val="14"/>
                <w:color w:val="auto"/>
              </w:rPr>
            </w:pPr>
          </w:p>
        </w:tc>
        <w:tc>
          <w:tcPr>
            <w:tcW w:w="13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from continuing operations to net cash provided by (used for)</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repayments of short-term borrowings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borrowings of revolving long-term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40" w:type="dxa"/>
            <w:vAlign w:val="bottom"/>
          </w:tcPr>
          <w:p>
            <w:pPr>
              <w:spacing w:after="0"/>
              <w:rPr>
                <w:sz w:val="16"/>
                <w:szCs w:val="16"/>
                <w:color w:val="auto"/>
              </w:rPr>
            </w:pPr>
          </w:p>
        </w:tc>
        <w:tc>
          <w:tcPr>
            <w:tcW w:w="10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6"/>
                <w:szCs w:val="16"/>
                <w:color w:val="auto"/>
              </w:rPr>
            </w:pP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40" w:type="dxa"/>
            <w:vAlign w:val="bottom"/>
          </w:tcPr>
          <w:p>
            <w:pPr>
              <w:spacing w:after="0"/>
              <w:rPr>
                <w:sz w:val="16"/>
                <w:szCs w:val="16"/>
                <w:color w:val="auto"/>
              </w:rPr>
            </w:pPr>
          </w:p>
        </w:tc>
        <w:tc>
          <w:tcPr>
            <w:tcW w:w="140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other</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40" w:type="dxa"/>
            <w:vAlign w:val="bottom"/>
            <w:gridSpan w:val="2"/>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4000" w:type="dxa"/>
            <w:vAlign w:val="bottom"/>
            <w:tcBorders>
              <w:bottom w:val="single" w:sz="8" w:color="auto"/>
            </w:tcBorders>
            <w:gridSpan w:val="2"/>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declared, $0.27 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184"/>
        </w:trPr>
        <w:tc>
          <w:tcPr>
            <w:tcW w:w="4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3,810.1</w:t>
            </w:r>
          </w:p>
        </w:tc>
        <w:tc>
          <w:tcPr>
            <w:tcW w:w="0" w:type="dxa"/>
            <w:vAlign w:val="bottom"/>
          </w:tcPr>
          <w:p>
            <w:pPr>
              <w:spacing w:after="0"/>
              <w:rPr>
                <w:sz w:val="1"/>
                <w:szCs w:val="1"/>
                <w:color w:val="auto"/>
              </w:rPr>
            </w:pP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4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110"/>
              <w:spacing w:after="0" w:line="149"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80" w:type="dxa"/>
            <w:vAlign w:val="bottom"/>
          </w:tcPr>
          <w:p>
            <w:pPr>
              <w:spacing w:after="0"/>
              <w:rPr>
                <w:sz w:val="12"/>
                <w:szCs w:val="12"/>
                <w:color w:val="auto"/>
              </w:rPr>
            </w:pPr>
          </w:p>
        </w:tc>
        <w:tc>
          <w:tcPr>
            <w:tcW w:w="1000" w:type="dxa"/>
            <w:vAlign w:val="bottom"/>
          </w:tcPr>
          <w:p>
            <w:pPr>
              <w:jc w:val="right"/>
              <w:ind w:right="110"/>
              <w:spacing w:after="0" w:line="149"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240" w:type="dxa"/>
            <w:vAlign w:val="bottom"/>
          </w:tcPr>
          <w:p>
            <w:pPr>
              <w:spacing w:after="0"/>
              <w:rPr>
                <w:sz w:val="12"/>
                <w:szCs w:val="12"/>
                <w:color w:val="auto"/>
              </w:rPr>
            </w:pPr>
          </w:p>
        </w:tc>
        <w:tc>
          <w:tcPr>
            <w:tcW w:w="1400" w:type="dxa"/>
            <w:vAlign w:val="bottom"/>
          </w:tcPr>
          <w:p>
            <w:pPr>
              <w:jc w:val="center"/>
              <w:ind w:right="3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3,562.9</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$0.25 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75"/>
        </w:trPr>
        <w:tc>
          <w:tcPr>
            <w:tcW w:w="4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0" w:type="dxa"/>
            <w:vAlign w:val="bottom"/>
          </w:tcPr>
          <w:p>
            <w:pPr>
              <w:spacing w:after="0"/>
              <w:rPr>
                <w:sz w:val="1"/>
                <w:szCs w:val="1"/>
                <w:color w:val="auto"/>
              </w:rPr>
            </w:pP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Responsibility for Interim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Pentair plc and its subsidiaries (“we,” “us,” “our,” or “Pentair”)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2025.</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2026, we reorganized the composition of our Flow and Water Solutions reportable segments to reflect how we are managing our business. As a result of this reorganization, our legacy residential and irrigation flow business moved from our Flow segment into our Water Solutions segment. The Pool segment remains unchanged. The applicable prior period amounts related to this change have been retrospectively reclassified to conform to the new composition. These changes have no impact on the Company’s historical consolidated financial performance or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reportable segment, geographic location and vertical market, as we believe these best depict how the nature, amount, timing and uncertainty of our revenue and cash flows are affected by economic factors. Refer to Note 14 for revenue disaggregated by reportable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Geographic net sales information, based on geographic destination of the sale, was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Consolidated net sales</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1,036.7</w:t>
            </w:r>
          </w:p>
        </w:tc>
        <w:tc>
          <w:tcPr>
            <w:tcW w:w="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1,010.4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Pr>
          <w:p>
            <w:pPr>
              <w:ind w:left="20"/>
              <w:spacing w:after="0" w:line="209"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Developing primarily includes China, Latin America, the Middle East and Southeast Asia.</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8180" w:type="dxa"/>
            <w:vAlign w:val="bottom"/>
          </w:tcPr>
          <w:p>
            <w:pPr>
              <w:ind w:left="20"/>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Other Developed primarily includes Australia and Canada.</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Vertical market net sales information was as follows: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0" w:type="dxa"/>
            <w:vAlign w:val="bottom"/>
          </w:tcPr>
          <w:p>
            <w:pPr>
              <w:spacing w:after="0"/>
              <w:rPr>
                <w:sz w:val="1"/>
                <w:szCs w:val="1"/>
                <w:color w:val="auto"/>
              </w:rPr>
            </w:pPr>
          </w:p>
        </w:tc>
      </w:tr>
      <w:tr>
        <w:trPr>
          <w:trHeight w:val="21"/>
        </w:trPr>
        <w:tc>
          <w:tcPr>
            <w:tcW w:w="8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$123.3 million of remaining performance obligations on contracts with an original expected duration of one year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recognize the majority of our remaining performance obligations on these contracts within the next 12 to 18 months.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6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1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(1.4)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$2.5 million decrease in net contract assets from December 31, 2025 to March 31, 2026 was primarily the result of timing of milestone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60% of our contract liabilities at December 31, 2025 were recognized in revenue in the first quarter of 2026.</w:t>
      </w:r>
    </w:p>
    <w:p>
      <w:pPr>
        <w:spacing w:after="0" w:line="23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the three months ended March 31, 2026 and 2025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74"/>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5"/>
                <w:szCs w:val="15"/>
                <w:color w:val="auto"/>
              </w:rPr>
            </w:pPr>
          </w:p>
        </w:tc>
        <w:tc>
          <w:tcPr>
            <w:tcW w:w="1240" w:type="dxa"/>
            <w:vAlign w:val="bottom"/>
          </w:tcPr>
          <w:p>
            <w:pPr>
              <w:jc w:val="right"/>
              <w:ind w:right="25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5"/>
                <w:szCs w:val="15"/>
                <w:color w:val="auto"/>
              </w:rPr>
            </w:pPr>
          </w:p>
        </w:tc>
        <w:tc>
          <w:tcPr>
            <w:tcW w:w="128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2026, we issued our annual share-based compensation grants under the Pentair plc 2020 Share and Incentive Plan to eligible employees. The total number of awards issued was approximately 0.4 million, of which 0.2 million were restricted stock units (“RSUs”), 0.1 million were stock options and 0.1 million were performance share units (“PSUs”). The weighted-average grant date fair value of the RSUs, stock options and PSUs issued was $99.59, $37.31 and $103.78, respectively.</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5220" w:type="dxa"/>
            <w:vAlign w:val="bottom"/>
          </w:tcPr>
          <w:p>
            <w:pPr>
              <w:jc w:val="right"/>
              <w:ind w:right="59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r>
      <w:tr>
        <w:trPr>
          <w:trHeight w:val="241"/>
        </w:trPr>
        <w:tc>
          <w:tcPr>
            <w:tcW w:w="60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Annual Grant</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Restructuring and Transformation Program</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initiated and continued execution of activities associated with our Transformation Program as well as initiated and continued certain business restructuring initiatives aimed at reducing our fixed cost structure and realigning our business. Restructuring and Transformation Program initiatives included a reduction in hourly and salaried headcount of approximately 50 employees during the three months ended March 31, 2026.</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Restructuring and transformation-related costs included within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xml:space="preserve"> expense in the Condensed Consolidated Statements of Operations and Comprehensive Income included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Initiatives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restructuring costs and related adjustments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Transformation Program</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transformation costs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transformation costs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restructuring costs and related adjustments primarily consist of certain accruals and related refinements as well as various contract termination costs.</w:t>
      </w:r>
    </w:p>
    <w:p>
      <w:pPr>
        <w:spacing w:after="0" w:line="38"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transformation costs primarily consist of professional services and project management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transformation costs by reportable segment as well as Corporate and other were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74"/>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5"/>
                <w:szCs w:val="15"/>
                <w:color w:val="auto"/>
              </w:rPr>
            </w:pPr>
          </w:p>
        </w:tc>
        <w:tc>
          <w:tcPr>
            <w:tcW w:w="1240" w:type="dxa"/>
            <w:vAlign w:val="bottom"/>
          </w:tcPr>
          <w:p>
            <w:pPr>
              <w:jc w:val="right"/>
              <w:ind w:right="25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5"/>
                <w:szCs w:val="15"/>
                <w:color w:val="auto"/>
              </w:rPr>
            </w:pPr>
          </w:p>
        </w:tc>
        <w:tc>
          <w:tcPr>
            <w:tcW w:w="126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associated with restructuring and transformation activities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is summarized as follows for the three months ended March 31, 2026: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20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auto"/>
            </w:tcBorders>
            <w:vMerge w:val="continue"/>
          </w:tcPr>
          <w:p>
            <w:pPr>
              <w:spacing w:after="0"/>
              <w:rPr>
                <w:sz w:val="21"/>
                <w:szCs w:val="21"/>
                <w:color w:val="auto"/>
              </w:rPr>
            </w:pPr>
          </w:p>
        </w:tc>
        <w:tc>
          <w:tcPr>
            <w:tcW w:w="6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6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6200" w:type="dxa"/>
            <w:vAlign w:val="bottom"/>
          </w:tcPr>
          <w:p>
            <w:pPr>
              <w:spacing w:after="0"/>
              <w:rPr>
                <w:sz w:val="19"/>
                <w:szCs w:val="19"/>
                <w:color w:val="auto"/>
              </w:rPr>
            </w:pP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w:t>
            </w:r>
          </w:p>
        </w:tc>
        <w:tc>
          <w:tcPr>
            <w:tcW w:w="6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6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
        </w:trPr>
        <w:tc>
          <w:tcPr>
            <w:tcW w:w="3700" w:type="dxa"/>
            <w:vAlign w:val="bottom"/>
            <w:tcBorders>
              <w:bottom w:val="single" w:sz="8" w:color="auto"/>
            </w:tcBorders>
          </w:tcPr>
          <w:p>
            <w:pPr>
              <w:spacing w:after="0" w:line="20" w:lineRule="exact"/>
              <w:rPr>
                <w:sz w:val="1"/>
                <w:szCs w:val="1"/>
                <w:color w:val="auto"/>
              </w:rPr>
            </w:pPr>
          </w:p>
        </w:tc>
        <w:tc>
          <w:tcPr>
            <w:tcW w:w="6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00" w:type="dxa"/>
            <w:vAlign w:val="bottom"/>
          </w:tcPr>
          <w:p>
            <w:pPr>
              <w:spacing w:after="0"/>
              <w:rPr>
                <w:sz w:val="24"/>
                <w:szCs w:val="24"/>
                <w:color w:val="auto"/>
              </w:rPr>
            </w:pPr>
          </w:p>
        </w:tc>
        <w:tc>
          <w:tcPr>
            <w:tcW w:w="620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6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74"/>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40" w:type="dxa"/>
            <w:vAlign w:val="bottom"/>
          </w:tcPr>
          <w:p>
            <w:pPr>
              <w:spacing w:after="0"/>
              <w:rPr>
                <w:sz w:val="15"/>
                <w:szCs w:val="15"/>
                <w:color w:val="auto"/>
              </w:rPr>
            </w:pPr>
          </w:p>
        </w:tc>
        <w:tc>
          <w:tcPr>
            <w:tcW w:w="1240" w:type="dxa"/>
            <w:vAlign w:val="bottom"/>
          </w:tcPr>
          <w:p>
            <w:pPr>
              <w:jc w:val="right"/>
              <w:ind w:right="25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5"/>
                <w:szCs w:val="15"/>
                <w:color w:val="auto"/>
              </w:rPr>
            </w:pPr>
          </w:p>
        </w:tc>
        <w:tc>
          <w:tcPr>
            <w:tcW w:w="1260" w:type="dxa"/>
            <w:vAlign w:val="bottom"/>
          </w:tcPr>
          <w:p>
            <w:pPr>
              <w:jc w:val="right"/>
              <w:ind w:right="270"/>
              <w:spacing w:after="0" w:line="17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Borders>
              <w:bottom w:val="single" w:sz="8" w:color="auto"/>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160.8</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impact of stock options, restricted stock units and performance share units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Borders>
              <w:bottom w:val="single" w:sz="8" w:color="auto"/>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Anti-dilutive stock options excluded from the calculation of diluted earnings per share</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8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spacing w:after="0" w:line="252" w:lineRule="auto"/>
        <w:rPr>
          <w:sz w:val="20"/>
          <w:szCs w:val="20"/>
          <w:color w:val="auto"/>
        </w:rPr>
      </w:pPr>
      <w:r>
        <w:rPr>
          <w:rFonts w:ascii="Times New Roman" w:cs="Times New Roman" w:eastAsia="Times New Roman" w:hAnsi="Times New Roman"/>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We review our allowance for credit losses on a quarterly basis. Write-offs are recorded at the time all collection efforts have been exhausted. We generally do not require collateral.</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our allowance for credit losses is summarized as follows for the three months ended March 31, 2026:</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780" w:type="dxa"/>
            <w:vAlign w:val="bottom"/>
          </w:tcPr>
          <w:p>
            <w:pPr>
              <w:spacing w:after="0"/>
              <w:rPr>
                <w:sz w:val="17"/>
                <w:szCs w:val="17"/>
                <w:color w:val="auto"/>
              </w:rPr>
            </w:pPr>
          </w:p>
        </w:tc>
        <w:tc>
          <w:tcPr>
            <w:tcW w:w="128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918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7"/>
              </w:rPr>
              <w:t>6.8</w:t>
            </w:r>
          </w:p>
        </w:tc>
        <w:tc>
          <w:tcPr>
            <w:tcW w:w="0" w:type="dxa"/>
            <w:vAlign w:val="bottom"/>
          </w:tcPr>
          <w:p>
            <w:pPr>
              <w:spacing w:after="0"/>
              <w:rPr>
                <w:sz w:val="1"/>
                <w:szCs w:val="1"/>
                <w:color w:val="auto"/>
              </w:rPr>
            </w:pP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benefit</w:t>
            </w:r>
          </w:p>
        </w:tc>
        <w:tc>
          <w:tcPr>
            <w:tcW w:w="780" w:type="dxa"/>
            <w:vAlign w:val="bottom"/>
          </w:tcPr>
          <w:p>
            <w:pPr>
              <w:spacing w:after="0"/>
              <w:rPr>
                <w:sz w:val="19"/>
                <w:szCs w:val="19"/>
                <w:color w:val="auto"/>
              </w:rPr>
            </w:pPr>
          </w:p>
        </w:tc>
        <w:tc>
          <w:tcPr>
            <w:tcW w:w="12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9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7"/>
              </w:rPr>
              <w:t>6.0</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Supplemental Balance Sheet Information</w:t>
            </w:r>
          </w:p>
        </w:tc>
        <w:tc>
          <w:tcPr>
            <w:tcW w:w="2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340" w:type="dxa"/>
            <w:vAlign w:val="bottom"/>
          </w:tcPr>
          <w:p>
            <w:pPr>
              <w:spacing w:after="0"/>
              <w:rPr>
                <w:sz w:val="24"/>
                <w:szCs w:val="24"/>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920" w:type="dxa"/>
            <w:vAlign w:val="bottom"/>
            <w:tcBorders>
              <w:bottom w:val="single" w:sz="8" w:color="auto"/>
            </w:tcBorders>
            <w:vMerge w:val="continue"/>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current assets</w:t>
            </w:r>
          </w:p>
        </w:tc>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in excess of billings</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rebates and incentives</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Billings in excess of cost</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liability</w:t>
            </w:r>
          </w:p>
        </w:tc>
        <w:tc>
          <w:tcPr>
            <w:tcW w:w="2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2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and interest rate contract liabilities</w:t>
            </w:r>
          </w:p>
        </w:tc>
        <w:tc>
          <w:tcPr>
            <w:tcW w:w="2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60" w:type="dxa"/>
            <w:vAlign w:val="bottom"/>
          </w:tcPr>
          <w:p>
            <w:pPr>
              <w:spacing w:after="0"/>
              <w:rPr>
                <w:sz w:val="17"/>
                <w:szCs w:val="17"/>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4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 xml:space="preserve">Reallocation </w:t>
            </w:r>
            <w:r>
              <w:rPr>
                <w:rFonts w:ascii="Times New Roman" w:cs="Times New Roman" w:eastAsia="Times New Roman" w:hAnsi="Times New Roman"/>
                <w:sz w:val="23"/>
                <w:szCs w:val="23"/>
                <w:b w:val="1"/>
                <w:bCs w:val="1"/>
                <w:color w:val="auto"/>
                <w:w w:val="99"/>
                <w:vertAlign w:val="superscript"/>
              </w:rPr>
              <w:t>(1)</w:t>
            </w:r>
          </w:p>
        </w:tc>
        <w:tc>
          <w:tcPr>
            <w:tcW w:w="260" w:type="dxa"/>
            <w:vAlign w:val="bottom"/>
          </w:tcPr>
          <w:p>
            <w:pPr>
              <w:spacing w:after="0"/>
              <w:rPr>
                <w:sz w:val="17"/>
                <w:szCs w:val="17"/>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4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280" w:type="dxa"/>
            <w:vAlign w:val="bottom"/>
          </w:tcPr>
          <w:p>
            <w:pPr>
              <w:spacing w:after="0"/>
              <w:rPr>
                <w:sz w:val="17"/>
                <w:szCs w:val="17"/>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20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0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0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180" w:hanging="172"/>
        <w:spacing w:after="0"/>
        <w:tabs>
          <w:tab w:leader="none" w:pos="186"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first quarter of 2026, we reorganized the composition of our reportable segments, as disclosed in Note 1, which resulted in a change to our reporting unit structure. A quantitative assessment was performed for the impacted reporting units, using the income and market approaches. The estimated fair values of the impacted reporting units significantly exceeded the carrying values, and therefore, no impairment charge was recorded. As a result of the assessment, we reallocated $44.2 million of goodwill from the Flow segment to the Water Solutions segment based on the relative fair values of the impacted reporting units. In addition, $282.1 million was reallocated from the Flow segment to the Water Solutions segment prospectively to conform to the new segment composition.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5"/>
                <w:szCs w:val="15"/>
                <w:color w:val="auto"/>
              </w:rPr>
            </w:pPr>
          </w:p>
        </w:tc>
        <w:tc>
          <w:tcPr>
            <w:tcW w:w="124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5"/>
                <w:szCs w:val="15"/>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5"/>
                <w:szCs w:val="15"/>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124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5"/>
                <w:szCs w:val="15"/>
                <w:color w:val="auto"/>
              </w:rPr>
            </w:pPr>
          </w:p>
        </w:tc>
        <w:tc>
          <w:tcPr>
            <w:tcW w:w="9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 and patents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definite-life intangibles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 amortization expense was $15.7 million and $14.2 million for the three months ended March 31, 2026 and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remainder of 2026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Q2 - 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3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2031</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Average interest rate as of</w:t>
            </w:r>
          </w:p>
        </w:tc>
        <w:tc>
          <w:tcPr>
            <w:tcW w:w="11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80" w:type="dxa"/>
            <w:vAlign w:val="bottom"/>
          </w:tcPr>
          <w:p>
            <w:pPr>
              <w:spacing w:after="0"/>
              <w:rPr>
                <w:sz w:val="17"/>
                <w:szCs w:val="17"/>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auto"/>
            </w:tcBorders>
            <w:vMerge w:val="continue"/>
          </w:tcPr>
          <w:p>
            <w:pPr>
              <w:spacing w:after="0"/>
              <w:rPr>
                <w:sz w:val="21"/>
                <w:szCs w:val="21"/>
                <w:color w:val="auto"/>
              </w:rPr>
            </w:pPr>
          </w:p>
        </w:tc>
        <w:tc>
          <w:tcPr>
            <w:tcW w:w="28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(Senior Credit Facility)</w:t>
            </w:r>
          </w:p>
        </w:tc>
        <w:tc>
          <w:tcPr>
            <w:tcW w:w="288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4.800%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5.022%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8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4.500%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5.900%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discounts</w:t>
            </w:r>
          </w:p>
        </w:tc>
        <w:tc>
          <w:tcPr>
            <w:tcW w:w="288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debt</w:t>
            </w:r>
          </w:p>
        </w:tc>
        <w:tc>
          <w:tcPr>
            <w:tcW w:w="2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1,944.3</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1,638.6</w:t>
            </w:r>
          </w:p>
        </w:tc>
        <w:tc>
          <w:tcPr>
            <w:tcW w:w="0" w:type="dxa"/>
            <w:vAlign w:val="bottom"/>
          </w:tcPr>
          <w:p>
            <w:pPr>
              <w:spacing w:after="0"/>
              <w:rPr>
                <w:sz w:val="1"/>
                <w:szCs w:val="1"/>
                <w:color w:val="auto"/>
              </w:rPr>
            </w:pPr>
          </w:p>
        </w:tc>
      </w:tr>
    </w:tbl>
    <w:p>
      <w:pPr>
        <w:ind w:left="200" w:hanging="174"/>
        <w:spacing w:after="0" w:line="237" w:lineRule="auto"/>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May 2025, providing for a $900.0 million senior unsecured revolving credit facility. The Senior Credit Facility has a maturity date of May 5, 2030.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total availability under the Senior Credit Facility was $317.4 million. In addition, PFSA has the option to request to increase the revolving credit facility and/or to enter into one or more additional tranches of term loans in an aggregate amount of up to $450.0 million, subject to customary conditions, including the commitment of the participating lenders.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March 31, 2026, the remaining obligation of $575.0 million matures on July 28, 2027.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$21.1 million, of which there were no outstanding borrowings at March 31, 2026. Borrowings under these credit facilities bear interest at variable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debt obligations maturing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 at March 31, 2026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Q2 - Q4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2031</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w:t>
            </w:r>
          </w:p>
        </w:tc>
      </w:tr>
    </w:tbl>
    <w:p>
      <w:pPr>
        <w:spacing w:after="0" w:line="248" w:lineRule="exact"/>
        <w:rPr>
          <w:sz w:val="20"/>
          <w:szCs w:val="20"/>
          <w:color w:val="auto"/>
        </w:rPr>
      </w:pPr>
    </w:p>
    <w:p>
      <w:pPr>
        <w:ind w:right="7880" w:firstLine="8"/>
        <w:spacing w:after="0" w:line="278" w:lineRule="auto"/>
        <w:tabs>
          <w:tab w:leader="none" w:pos="40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Derivatives and Financial Instruments </w:t>
      </w:r>
      <w:r>
        <w:rPr>
          <w:rFonts w:ascii="Times New Roman" w:cs="Times New Roman" w:eastAsia="Times New Roman" w:hAnsi="Times New Roman"/>
          <w:sz w:val="17"/>
          <w:szCs w:val="17"/>
          <w:b w:val="1"/>
          <w:bCs w:val="1"/>
          <w:i w:val="1"/>
          <w:iCs w:val="1"/>
          <w:color w:val="auto"/>
        </w:rPr>
        <w:t>Derivative financial instruments</w:t>
      </w:r>
    </w:p>
    <w:p>
      <w:pPr>
        <w:spacing w:after="0" w:line="1" w:lineRule="exact"/>
        <w:rPr>
          <w:rFonts w:ascii="Times New Roman" w:cs="Times New Roman" w:eastAsia="Times New Roman" w:hAnsi="Times New Roman"/>
          <w:sz w:val="17"/>
          <w:szCs w:val="17"/>
          <w:b w:val="1"/>
          <w:bCs w:val="1"/>
          <w:color w:val="auto"/>
        </w:rPr>
      </w:pPr>
    </w:p>
    <w:p>
      <w:pPr>
        <w:jc w:val="both"/>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we had outstanding foreign currency derivative contracts with gross notional U.S. dollar equivalent amounts of $55.2 million and $23.2 million, respectively. The impact of these contracts on the Condensed Consolidated Statements of Operations and Comprehensive Income was not material for any period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March 31, 2026 and December 31, 2025, we had outstanding cross currency swap agreements with a combined notional amount of $1.0 billion and $1.1 billion,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$49.6 million and $68.0 million at March 31, 2026 and December 31, 2025, respectively,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of variable interest rates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March 31, 2026, we had an aggregate notional amount of $300.0 million and $200.0 million in interest rate swaps and collars, respectively, that are designated as cash flow hedges. The interest rate swaps expired on April 15, 2026.</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Unrealized gains and losses related to the fair value of the interest rate swaps are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Condensed Consolidated Balance Sheets. At March 31, 2026, there were no unrealized gains or losses associated with our interest rate swap and collar activity. At December 31, 2025, we had an unrealized loss of $0.2 million,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interest rate swap and collar activity. The periodic interest settlements related to our interest rate swaps and collars are classified as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3"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20" w:hanging="741"/>
        <w:spacing w:after="0" w:line="237" w:lineRule="auto"/>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6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w:t>
      </w:r>
    </w:p>
    <w:p>
      <w:pPr>
        <w:spacing w:after="0" w:line="151" w:lineRule="exact"/>
        <w:rPr>
          <w:sz w:val="20"/>
          <w:szCs w:val="20"/>
          <w:color w:val="auto"/>
        </w:rPr>
      </w:pPr>
    </w:p>
    <w:p>
      <w:pPr>
        <w:ind w:left="500" w:hanging="330"/>
        <w:spacing w:after="0" w:line="284" w:lineRule="auto"/>
        <w:tabs>
          <w:tab w:leader="none" w:pos="4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short-term financial instruments (cash and cash equivalents, accounts and notes receivable, accounts payable and variable-rate debt) </w:t>
      </w:r>
      <w:r>
        <w:rPr>
          <w:rFonts w:ascii="Times New Roman" w:cs="Times New Roman" w:eastAsia="Times New Roman" w:hAnsi="Times New Roman"/>
          <w:sz w:val="18"/>
          <w:szCs w:val="18"/>
          <w:color w:val="auto"/>
        </w:rPr>
        <w:t>—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approximates fair value because of the short maturity period;</w:t>
      </w:r>
    </w:p>
    <w:p>
      <w:pPr>
        <w:spacing w:after="0" w:line="104" w:lineRule="exact"/>
        <w:rPr>
          <w:rFonts w:ascii="Times New Roman" w:cs="Times New Roman" w:eastAsia="Times New Roman" w:hAnsi="Times New Roman"/>
          <w:sz w:val="18"/>
          <w:szCs w:val="18"/>
          <w:color w:val="auto"/>
        </w:rPr>
      </w:pPr>
    </w:p>
    <w:p>
      <w:pPr>
        <w:ind w:left="500" w:hanging="330"/>
        <w:spacing w:after="0" w:line="284" w:lineRule="auto"/>
        <w:tabs>
          <w:tab w:leader="none" w:pos="4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fixed-rate debt, including current maturities </w:t>
      </w:r>
      <w:r>
        <w:rPr>
          <w:rFonts w:ascii="Times New Roman" w:cs="Times New Roman" w:eastAsia="Times New Roman" w:hAnsi="Times New Roman"/>
          <w:sz w:val="18"/>
          <w:szCs w:val="18"/>
          <w:color w:val="auto"/>
        </w:rPr>
        <w:t>— fair value is based on market quotes available for issuance of debt with similar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inputs that are classified as Level 2 in the valuation hierarchy defined above;</w:t>
      </w:r>
    </w:p>
    <w:p>
      <w:pPr>
        <w:spacing w:after="0" w:line="104" w:lineRule="exact"/>
        <w:rPr>
          <w:rFonts w:ascii="Times New Roman" w:cs="Times New Roman" w:eastAsia="Times New Roman" w:hAnsi="Times New Roman"/>
          <w:sz w:val="18"/>
          <w:szCs w:val="18"/>
          <w:color w:val="auto"/>
        </w:rPr>
      </w:pPr>
    </w:p>
    <w:p>
      <w:pPr>
        <w:jc w:val="both"/>
        <w:ind w:left="500" w:hanging="330"/>
        <w:spacing w:after="0" w:line="267" w:lineRule="auto"/>
        <w:tabs>
          <w:tab w:leader="none" w:pos="4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currency contracts, interest rate swap and collar agreements </w:t>
      </w:r>
      <w:r>
        <w:rPr>
          <w:rFonts w:ascii="Times New Roman" w:cs="Times New Roman" w:eastAsia="Times New Roman" w:hAnsi="Times New Roman"/>
          <w:sz w:val="18"/>
          <w:szCs w:val="18"/>
          <w:color w:val="auto"/>
        </w:rPr>
        <w:t>— fair values are determined through the use of models that consider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including time value, yield curves, as well as other relevant economic measures, which are inputs that are classified as Level 2 in the valuation hierarchy defined above;</w:t>
      </w:r>
    </w:p>
    <w:p>
      <w:pPr>
        <w:spacing w:after="0" w:line="119" w:lineRule="exact"/>
        <w:rPr>
          <w:rFonts w:ascii="Times New Roman" w:cs="Times New Roman" w:eastAsia="Times New Roman" w:hAnsi="Times New Roman"/>
          <w:sz w:val="18"/>
          <w:szCs w:val="18"/>
          <w:color w:val="auto"/>
        </w:rPr>
      </w:pPr>
    </w:p>
    <w:p>
      <w:pPr>
        <w:jc w:val="both"/>
        <w:ind w:left="460" w:hanging="331"/>
        <w:spacing w:after="0" w:line="267" w:lineRule="auto"/>
        <w:tabs>
          <w:tab w:leader="none" w:pos="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compensation plan assets (mutual funds and cash equivalents for payment of certain non-qualified benefits for retired, terminated and active employees) </w:t>
      </w:r>
      <w:r>
        <w:rPr>
          <w:rFonts w:ascii="Times New Roman" w:cs="Times New Roman" w:eastAsia="Times New Roman" w:hAnsi="Times New Roman"/>
          <w:sz w:val="18"/>
          <w:szCs w:val="18"/>
          <w:color w:val="auto"/>
        </w:rPr>
        <w:t>— fair value of mutual funds and cash equivalents are based on quoted market prices in active markets that are classified as Level 1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valuation hierarchy defined above; and</w:t>
      </w:r>
    </w:p>
    <w:p>
      <w:pPr>
        <w:spacing w:after="0" w:line="119" w:lineRule="exact"/>
        <w:rPr>
          <w:rFonts w:ascii="Times New Roman" w:cs="Times New Roman" w:eastAsia="Times New Roman" w:hAnsi="Times New Roman"/>
          <w:sz w:val="18"/>
          <w:szCs w:val="18"/>
          <w:color w:val="auto"/>
        </w:rPr>
      </w:pPr>
    </w:p>
    <w:p>
      <w:pPr>
        <w:ind w:left="460" w:hanging="331"/>
        <w:spacing w:after="0" w:line="284" w:lineRule="auto"/>
        <w:tabs>
          <w:tab w:leader="none" w:pos="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contingent earn-out liabilities </w:t>
      </w:r>
      <w:r>
        <w:rPr>
          <w:rFonts w:ascii="Times New Roman" w:cs="Times New Roman" w:eastAsia="Times New Roman" w:hAnsi="Times New Roman"/>
          <w:sz w:val="18"/>
          <w:szCs w:val="18"/>
          <w:color w:val="auto"/>
        </w:rPr>
        <w:t>— fair value is generally established using a probability-weighted discounted income approach to convert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cash flows to a single present value amount. The related inputs are classified as Level 3 in the valuation hierarchy defined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420" w:type="dxa"/>
            <w:vAlign w:val="bottom"/>
          </w:tcPr>
          <w:p>
            <w:pPr>
              <w:spacing w:after="0"/>
              <w:rPr>
                <w:sz w:val="14"/>
                <w:szCs w:val="14"/>
                <w:color w:val="auto"/>
              </w:rPr>
            </w:pPr>
          </w:p>
        </w:tc>
        <w:tc>
          <w:tcPr>
            <w:tcW w:w="860" w:type="dxa"/>
            <w:vAlign w:val="bottom"/>
          </w:tcPr>
          <w:p>
            <w:pPr>
              <w:jc w:val="center"/>
              <w:ind w:right="31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vMerge w:val="continue"/>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3420" w:type="dxa"/>
            <w:vAlign w:val="bottom"/>
          </w:tcPr>
          <w:p>
            <w:pPr>
              <w:spacing w:after="0"/>
              <w:rPr>
                <w:sz w:val="24"/>
                <w:szCs w:val="24"/>
                <w:color w:val="auto"/>
              </w:rPr>
            </w:pPr>
          </w:p>
        </w:tc>
        <w:tc>
          <w:tcPr>
            <w:tcW w:w="2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and nonrecurring basis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96"/>
        </w:trPr>
        <w:tc>
          <w:tcPr>
            <w:tcW w:w="55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30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(69.0)</w:t>
            </w:r>
          </w:p>
        </w:tc>
        <w:tc>
          <w:tcPr>
            <w:tcW w:w="1020" w:type="dxa"/>
            <w:vAlign w:val="bottom"/>
            <w:tcBorders>
              <w:bottom w:val="single" w:sz="8" w:color="auto"/>
            </w:tcBorders>
          </w:tcPr>
          <w:p>
            <w:pPr>
              <w:jc w:val="right"/>
              <w:ind w:right="8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5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Nonrecurring fair value measurements </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jc w:val="both"/>
        <w:ind w:left="180" w:hanging="172"/>
        <w:spacing w:after="0" w:line="256" w:lineRule="auto"/>
        <w:tabs>
          <w:tab w:leader="none" w:pos="167"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During the year ended December 31, 2025, we recorded an impairment charge on a definite-lived customer relationship intangible asset of $30.9 million. We determined the value using unobservable inputs and wrote the balance of the definite-lived intangible asset to zero. The impairment charge was recorded in </w:t>
      </w:r>
      <w:r>
        <w:rPr>
          <w:rFonts w:ascii="Times New Roman" w:cs="Times New Roman" w:eastAsia="Times New Roman" w:hAnsi="Times New Roman"/>
          <w:sz w:val="15"/>
          <w:szCs w:val="15"/>
          <w:i w:val="1"/>
          <w:iCs w:val="1"/>
          <w:color w:val="auto"/>
        </w:rPr>
        <w:t>Selling, general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administrative </w:t>
      </w:r>
      <w:r>
        <w:rPr>
          <w:rFonts w:ascii="Times New Roman" w:cs="Times New Roman" w:eastAsia="Times New Roman" w:hAnsi="Times New Roman"/>
          <w:sz w:val="15"/>
          <w:szCs w:val="15"/>
          <w:color w:val="auto"/>
        </w:rPr>
        <w:t>expense in the Condensed Consolidated Statements of Operations and Comprehensive Income.</w:t>
      </w:r>
    </w:p>
    <w:p>
      <w:pPr>
        <w:spacing w:after="0" w:line="13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December 2024, we completed the acquisition of G &amp; F Manufacturing, LLC (“G &amp; F Manufacturing”). In conjunction with the acquisition, we recorded an estimated fair value of $8.0 million of contingent earn-out liabilities, which are considered Level 3 under our fair value hierarchy. The recorded fair value of the associated contingent earn-out liabilities was reviewed as of March 31, 2026, with no change in fair value. The fair value of the contingent earn-out liabilities will be re-measured for each reporting period until resolution of the contingent earn-out payments, and any resulting changes to fair value would be recorded in earnings.</w:t>
      </w:r>
    </w:p>
    <w:p>
      <w:pPr>
        <w:spacing w:after="0" w:line="152"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2026 was 15.1%, compared to 15.3% for the three months ended March 31, 2025.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was $6.5 million and $6.7 million at March 31, 2026 and December 31, 2025, respectively. 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respectively, on the Condensed Consolidated Statements of Operations and Comprehensive Income, which is consistent with our past practices.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have been adopted by a number of jurisdictions in which we operate. For the three months ended March 31, 2026 and March 31, 2025, the impact of Pillar Two on our condensed consolidated financial statements was not material.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three months ended March 31, 2026 and 2025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4"/>
                <w:szCs w:val="14"/>
                <w:color w:val="auto"/>
              </w:rPr>
            </w:pPr>
          </w:p>
        </w:tc>
        <w:tc>
          <w:tcPr>
            <w:tcW w:w="126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0.9</w:t>
            </w:r>
          </w:p>
        </w:tc>
        <w:tc>
          <w:tcPr>
            <w:tcW w:w="24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7"/>
              </w:rPr>
              <w:t>1.1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1"/>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other post-retirement plans for the three months ended March 31, 2026 and 2025 were not material.</w:t>
      </w:r>
    </w:p>
    <w:p>
      <w:pPr>
        <w:spacing w:after="0" w:line="248" w:lineRule="exact"/>
        <w:rPr>
          <w:sz w:val="20"/>
          <w:szCs w:val="20"/>
          <w:color w:val="auto"/>
        </w:rPr>
      </w:pPr>
    </w:p>
    <w:p>
      <w:pPr>
        <w:ind w:right="9200" w:firstLine="8"/>
        <w:spacing w:after="0" w:line="263" w:lineRule="auto"/>
        <w:tabs>
          <w:tab w:leader="none" w:pos="40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Share repurchases</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2025, the Board of Directors authorized the repurchase of our ordinary shares up to a maximum dollar limit of $1.0 billion. The authorization expires on December 31, 2028. During the three months ended March 31, 2026, we repurchased 2.0 million of our ordinary shares for $200.0 million. As of March 31, 2026, we had $800.0 million available for share repurchases under this authorization.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23, 2026, the Board of Directors declared a quarterly cash dividend of $0.27 per share, payable on May 1, 2026 to shareholders of record at the close of business on April 17, 2026.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$43.6 million at March 31, 2026, compared to $44.1 million at December 31, 2025.</w:t>
      </w:r>
    </w:p>
    <w:p>
      <w:pPr>
        <w:spacing w:after="0" w:line="1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operations into three reportable segments:</w:t>
      </w:r>
    </w:p>
    <w:p>
      <w:pPr>
        <w:spacing w:after="0" w:line="149" w:lineRule="exact"/>
        <w:rPr>
          <w:sz w:val="20"/>
          <w:szCs w:val="20"/>
          <w:color w:val="auto"/>
        </w:rPr>
      </w:pPr>
    </w:p>
    <w:p>
      <w:pPr>
        <w:jc w:val="both"/>
        <w:ind w:left="66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Flow </w:t>
      </w:r>
      <w:r>
        <w:rPr>
          <w:rFonts w:ascii="Times New Roman" w:cs="Times New Roman" w:eastAsia="Times New Roman" w:hAnsi="Times New Roman"/>
          <w:sz w:val="18"/>
          <w:szCs w:val="18"/>
          <w:color w:val="auto"/>
        </w:rPr>
        <w:t>— The focus of this segment is to deliver water where it is needed, when it is needed, more efficiently and to transform waste into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turbine pumps and solid handling pumps, while serving the global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fire suppression and flood control.</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Water Solutions </w:t>
      </w:r>
      <w:r>
        <w:rPr>
          <w:rFonts w:ascii="Times New Roman" w:cs="Times New Roman" w:eastAsia="Times New Roman" w:hAnsi="Times New Roman"/>
          <w:sz w:val="18"/>
          <w:szCs w:val="18"/>
          <w:color w:val="auto"/>
        </w:rPr>
        <w:t>— The focus of this segment is to provide great tasting, higher-quality water and ice while helping people use water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productively. This segment designs, manufactures and sells commercial and residential water treatment products and systems including pressure tanks, control valves, activated carbon products, commercial ice machines, conventional filtration products, point-of-entry and point-of-use water treatment systems, fluid transfer pumps, agricultural spray nozzles, as well as certain water disposal and water supply pumps. These water treatment products and systems are for use in residential whole home water filtration, drinking water filtration and water softening solutions in addition to commercial total water management and filtration in foodservice operations, circulation and transfer, agricultural irrigation and crop spray.</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Pool </w:t>
      </w:r>
      <w:r>
        <w:rPr>
          <w:rFonts w:ascii="Times New Roman" w:cs="Times New Roman" w:eastAsia="Times New Roman" w:hAnsi="Times New Roman"/>
          <w:sz w:val="18"/>
          <w:szCs w:val="18"/>
          <w:color w:val="auto"/>
        </w:rPr>
        <w:t>— The focus of this segment is to provide innovative, energy-efficient pool solutions to help people more sustainably enjoy water.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designs, manufactures and sells a complete line of energy-efficient residential and commercial pool equipment and accessories including pumps, filters, heaters, lights, automatic controls, chlorinators, automatic cleaners, maintenance equipment and pool accessories. Applications for our pool products include residential and commercial pool maintenance, pool repair, renovation, service, construction and aquaculture solutions.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evaluate performance based on net sales and reportable segment income and use certain ratios, particularly return on sales, to measure performance of our reportable segments.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centrally-managed corporate functional or shared service costs related to finance, human resources, communications and corporate development. These activities do not meet the criteria for a stand-alone reportable segment under accounting standards codification (“ASC”) 280. The accounting policies of our reportable segments are consistent with those described in the summary of significant accounting policies in our Annual Report on Form 10-K for the year ended December 31, 2025.</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by reportable segment as well as a reconciliation of reportable segment income to consolidated income from continuing operations before income taxes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63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Identifiable assets </w:t>
            </w:r>
            <w:r>
              <w:rPr>
                <w:rFonts w:ascii="Times New Roman" w:cs="Times New Roman" w:eastAsia="Times New Roman" w:hAnsi="Times New Roman"/>
                <w:sz w:val="23"/>
                <w:szCs w:val="23"/>
                <w:b w:val="1"/>
                <w:bCs w:val="1"/>
                <w:color w:val="auto"/>
                <w:vertAlign w:val="superscript"/>
              </w:rPr>
              <w:t>(1)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3,292.8</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2,900.9</w:t>
            </w: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6,723.2</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6,425.4</w:t>
            </w: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All cash and cash equivalents are included in “Corporate and other.”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74"/>
        </w:trPr>
        <w:tc>
          <w:tcPr>
            <w:tcW w:w="36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30"/>
              <w:spacing w:after="0" w:line="17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60" w:type="dxa"/>
            <w:vAlign w:val="bottom"/>
          </w:tcPr>
          <w:p>
            <w:pPr>
              <w:spacing w:after="0"/>
              <w:rPr>
                <w:sz w:val="15"/>
                <w:szCs w:val="15"/>
                <w:color w:val="auto"/>
              </w:rPr>
            </w:pPr>
          </w:p>
        </w:tc>
        <w:tc>
          <w:tcPr>
            <w:tcW w:w="1260" w:type="dxa"/>
            <w:vAlign w:val="bottom"/>
          </w:tcPr>
          <w:p>
            <w:pPr>
              <w:jc w:val="center"/>
              <w:ind w:right="150"/>
              <w:spacing w:after="0" w:line="17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auto"/>
            </w:tcBorders>
            <w:vMerge w:val="continue"/>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4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4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48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36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60" w:type="dxa"/>
            <w:vAlign w:val="bottom"/>
          </w:tcPr>
          <w:p>
            <w:pPr>
              <w:spacing w:after="0"/>
              <w:rPr>
                <w:sz w:val="14"/>
                <w:szCs w:val="14"/>
                <w:color w:val="auto"/>
              </w:rPr>
            </w:pPr>
          </w:p>
        </w:tc>
        <w:tc>
          <w:tcPr>
            <w:tcW w:w="126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4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4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48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680" w:type="dxa"/>
            <w:vAlign w:val="bottom"/>
          </w:tcPr>
          <w:p>
            <w:pPr>
              <w:spacing w:after="0"/>
              <w:rPr>
                <w:sz w:val="24"/>
                <w:szCs w:val="24"/>
                <w:color w:val="auto"/>
              </w:rPr>
            </w:pPr>
          </w:p>
        </w:tc>
        <w:tc>
          <w:tcPr>
            <w:tcW w:w="446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1,036.7</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4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5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1"/>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hanging="172"/>
        <w:spacing w:after="0" w:line="219" w:lineRule="auto"/>
        <w:tabs>
          <w:tab w:leader="none" w:pos="183"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chief operating decision maker which includes certain corporate overhead allocations directly attributable to each of the segments.</w:t>
      </w:r>
    </w:p>
    <w:p>
      <w:pPr>
        <w:spacing w:after="0" w:line="60" w:lineRule="exact"/>
        <w:rPr>
          <w:rFonts w:ascii="Times New Roman" w:cs="Times New Roman" w:eastAsia="Times New Roman" w:hAnsi="Times New Roman"/>
          <w:sz w:val="22"/>
          <w:szCs w:val="22"/>
          <w:color w:val="auto"/>
          <w:vertAlign w:val="superscript"/>
        </w:rPr>
      </w:pPr>
    </w:p>
    <w:p>
      <w:pPr>
        <w:ind w:left="180" w:hanging="172"/>
        <w:spacing w:after="0" w:line="219" w:lineRule="auto"/>
        <w:tabs>
          <w:tab w:leader="none" w:pos="183"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Operating expenses include selling, general, administrative, research and development costs which primarily consist of non-manufacturing employee compensation, non-manufacturing overhead and professional service costs as well as depreciation expense.</w:t>
      </w:r>
    </w:p>
    <w:p>
      <w:pPr>
        <w:spacing w:after="0" w:line="60" w:lineRule="exact"/>
        <w:rPr>
          <w:rFonts w:ascii="Times New Roman" w:cs="Times New Roman" w:eastAsia="Times New Roman" w:hAnsi="Times New Roman"/>
          <w:sz w:val="22"/>
          <w:szCs w:val="22"/>
          <w:color w:val="auto"/>
          <w:vertAlign w:val="superscript"/>
        </w:rPr>
      </w:pPr>
    </w:p>
    <w:p>
      <w:pPr>
        <w:ind w:left="180" w:hanging="172"/>
        <w:spacing w:after="0" w:line="213" w:lineRule="auto"/>
        <w:tabs>
          <w:tab w:leader="none" w:pos="2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These costs exclude certain expenses reported in the Condensed Consolidated Statements of Operations and Comprehensive Income, including costs that are reflected in "Corporate and other” and expenses excluded from reportable segment income as defined above.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280" w:firstLine="8"/>
        <w:spacing w:after="0" w:line="263" w:lineRule="auto"/>
        <w:tabs>
          <w:tab w:leader="none" w:pos="40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Warranties</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from continuing operations for the three months ended March 31, 2026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4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6260" w:type="dxa"/>
            <w:vAlign w:val="bottom"/>
            <w:tcBorders>
              <w:bottom w:val="single" w:sz="8" w:color="auto"/>
            </w:tcBorders>
            <w:vMerge w:val="continue"/>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3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outstanding value of bonds, letters of credit and bank guarantees totaled $115.3 million and $115.0 million,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this Form 10-Q and our Annual Report on Form 10-K for the year ended December 31, 2025. All forward-looking statements speak only as of the date of this report. Pentair assumes no obligation, and disclaims any obligation, to update the information contained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“us,” “we,” “our” or “Pentair” refer to Pentair plc and its consolidated subsidiaries. At Pentair, we help the world sustainably move, improve and enjoy water, life’s most essential resource. From our residential and commercial water solutions to industrial water management and everything in between, Pentair is an S&amp;P 500 company focused on smart, sustainable water solutions that help our planet and people thrive.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comprised of three reportable segments: Flow, Water Solutions and Pool. Effective January 1, 2026, we reorganized the composition of our Flow and Water Solutions reportable segments to reflect how we are managing our business. As a result of this reorganization, our legacy residential and irrigation flow business moved from our Flow segment into our Water Solutions segment. The Pool segment remains unchanged. We believe the new alignment with our residential and irrigation flow business in our Water Solutions segment will help us accelerate our efforts to improve customer experiences, enhance operational efficiencies and deliver more comprehensive solutions. The applicable prior period amounts related to this change have been retrospectively reclassified to conform to the new composition. These changes have no impact on the Company’s historical consolidated financial performance or results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three months of 2026, the Flow, Water Solutions and Pool reportable segments represented approximately 25%, 38% and 37% of total consolidated net sales, respectively. We classify our operations into reportable segments based primarily on types of products offered and markets served:</w:t>
      </w:r>
    </w:p>
    <w:p>
      <w:pPr>
        <w:spacing w:after="0" w:line="104" w:lineRule="exact"/>
        <w:rPr>
          <w:sz w:val="20"/>
          <w:szCs w:val="20"/>
          <w:color w:val="auto"/>
        </w:rPr>
      </w:pPr>
    </w:p>
    <w:p>
      <w:pPr>
        <w:jc w:val="both"/>
        <w:ind w:left="660" w:hanging="328"/>
        <w:spacing w:after="0" w:line="25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Flow </w:t>
      </w:r>
      <w:r>
        <w:rPr>
          <w:rFonts w:ascii="Times New Roman" w:cs="Times New Roman" w:eastAsia="Times New Roman" w:hAnsi="Times New Roman"/>
          <w:sz w:val="18"/>
          <w:szCs w:val="18"/>
          <w:color w:val="auto"/>
        </w:rPr>
        <w:t>— The focus of this segment is to deliver water where it is needed, when it is needed, more efficiently and to transform waste into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turbine pumps and solid handling pumps, while serving the global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fire suppression and flood control.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Water Solutions </w:t>
      </w:r>
      <w:r>
        <w:rPr>
          <w:rFonts w:ascii="Times New Roman" w:cs="Times New Roman" w:eastAsia="Times New Roman" w:hAnsi="Times New Roman"/>
          <w:sz w:val="18"/>
          <w:szCs w:val="18"/>
          <w:color w:val="auto"/>
        </w:rPr>
        <w:t>— The focus of this segment is to provide great tasting, higher-quality water and ice while helping people use water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productively. This segment designs, manufactures and sells commercial and residential water treatment products and systems including pressure tanks, control valves, activated carbon products, commercial ice machines, conventional filtration products, point-of-entry and point-of-use water treatment systems, fluid transfer pumps, agricultural spray nozzles, as well as certain water disposal and water supply pumps. These water treatment products and systems are for use in residential whole home water filtration, drinking water filtration and water softening solutions in addition to commercial total water management and filtration in foodservice operations, circulation and transfer, agricultural irrigation and crop spray.</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Pool </w:t>
      </w:r>
      <w:r>
        <w:rPr>
          <w:rFonts w:ascii="Times New Roman" w:cs="Times New Roman" w:eastAsia="Times New Roman" w:hAnsi="Times New Roman"/>
          <w:sz w:val="18"/>
          <w:szCs w:val="18"/>
          <w:color w:val="auto"/>
        </w:rPr>
        <w:t>— The focus of this segment is to provide innovative, energy-efficient pool solutions to help people more sustainably enjoy water.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designs, manufactures and sells a complete line of energy-efficient residential and commercial pool equipment and accessories including pumps, filters, heaters, lights, automatic controls, chlorinators, automatic cleaners, maintenance equipment and pool accessories. Applications for our pool products include residential and commercial pool maintenance, pool repair, renovation, service, construction and aquaculture solutions.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as part of our Flow reportable segment, we completed the acquisition of Hydra-Stop, LLC (“Hydra-Stop”) for $292.1 million in cash, net of cash acquired, and subject to customary adjustments. Hydra-Stop manufactures specialty insertion valves, line stop fittings and installation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the first three months of 2026 and are reasonably likely to impact our results in the future:</w:t>
      </w:r>
    </w:p>
    <w:p>
      <w:pPr>
        <w:spacing w:after="0" w:line="127" w:lineRule="exact"/>
        <w:rPr>
          <w:sz w:val="20"/>
          <w:szCs w:val="20"/>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Transformation Program designed to accelerate growth and drive margin expansion through transformation of our business model to drive operational excellence, reduce complexity and streamline our processes. During 2025 and the first three months of 2026, we made strategic progress on our Transformation Program initiatives with a focus on our four key themes of pricing excellence, sourcing excellence, operational excellence and organizational effectiveness. We expect to continue to execute on our key Transformation Program initiatives to drive margin expansion and to incur transformation costs throughout the remainder of 2026 and beyond.</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and the first three months of 2026, we implemented 80/20 guiding principles to enable our Transformation Program. As we continue to focus on 80/20 guiding principles in 2026, we expect to create value by increasing focus on key customers and products through quadrant-based strategies. We expect this approach to enable improved operating performance by driving margin growth with our highest value customers, reducing lower margin sales and removing complexity in the future.</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and the first three months of 2026, we executed certain business restructuring initiatives aimed at reducing our fixed cost structure and realigning our business. We expect these actions to continue throughout the remainder of 2026 and to drive margin expansion.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and the first three months of 2026, we experienced inflationary cost increases, including tariffs, for certain raw materials as well as logistics and transportation costs. Tariffs, along with potential retaliatory measures by other countries, have contributed to higher input costs and supply chain complexity. The ongoing volatility in the commodities market also has the potential to continue to drive price increases in our supply chain. To address these inflationary pressures, we have implemented pricing increases and taken other actions including inventory pre-buys and supply chain optimization. In addition, our Transformation Program initiatives are intended to improve productivity and offset cost increases. We anticipate that inflationary cost increases and supply chain pressures, including additional or increased tariffs in the future, as well as any related impacts on macroeconomic conditions and our business, will likely persist throughout the remainder of 2026.</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the current U.S. administration implemented tariffs under the International Emergency Economic Powers Act (“IEEPA”). On February 20, 2026, the U.S. Supreme Court struck down certain tariffs imposed under the IEEPA. While the process for reimbursement became available on April 20, 2026, the timing and amount of any potential refunds for previously collected tariffs remain uncertain and may be subject to further legal and regulatory developments. We will continue to monitor the situation and evaluate the impact of any replacement tariffs or policy changes on our business, including the potential for cost recovery and future tariff exposure.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have been adopted by a number of jurisdictions in which we operate. Pillar Two has negatively impacted our effective tax rate during the first three months of 2026 and is likely to continue to impact our effective tax rate in the future. We continue to evaluate the enacted legislative changes and new guidance as it becomes available.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2026, our operating objectives focus on delivering our core and building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profitable revenue growth and productivity for customers and shareholders;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focus on capital allocation through:</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maintain our investment grade rating;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reducing our long-term debt;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cash to shareholders through dividends and share repurchases;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our performance with strategically aligned mergers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growth initiatives that accelerate our investments in digital, innovation, technology and sustainability;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the Pentair Business System which includes executing our Transformation Program initiatives and using the Pentair leadership tools to drive operational excellence, reduce complexity and improve our organizational structure, with a continued focus on 80/20 guiding principles for profitable growth;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high-performance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three months ended March 31, 2026 and 2025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3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4"/>
                <w:szCs w:val="14"/>
                <w:color w:val="auto"/>
              </w:rPr>
            </w:pPr>
          </w:p>
        </w:tc>
        <w:tc>
          <w:tcPr>
            <w:tcW w:w="13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1,010.4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603.3</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607.1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41.8 %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39.9 %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198.9</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176.6</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19.2 %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20.3 %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20.1 %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15.1 %</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15.3 %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 pts</w:t>
            </w:r>
          </w:p>
        </w:tc>
        <w:tc>
          <w:tcPr>
            <w:tcW w:w="0" w:type="dxa"/>
            <w:vAlign w:val="bottom"/>
          </w:tcPr>
          <w:p>
            <w:pPr>
              <w:spacing w:after="0"/>
              <w:rPr>
                <w:sz w:val="1"/>
                <w:szCs w:val="1"/>
                <w:color w:val="auto"/>
              </w:rPr>
            </w:pPr>
          </w:p>
        </w:tc>
      </w:tr>
      <w:tr>
        <w:trPr>
          <w:trHeight w:val="441"/>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consolidated net sales change from the prior period were as follows: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2.6 percent increase in net sales in the first quarter of 2026 from 2025 was primarily driven by:</w:t>
      </w:r>
    </w:p>
    <w:p>
      <w:pPr>
        <w:spacing w:after="0" w:line="173" w:lineRule="exact"/>
        <w:rPr>
          <w:sz w:val="20"/>
          <w:szCs w:val="20"/>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across all of our segments to mitigate inflationary cost increases;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same period of the prior year;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Hydra-Stop completed in the third quarter of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compared to the same period of the prior year;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exit in the commercial business of our Water Solutions segment that occurred during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1.9 percentage point increase in gross profit as a percentage of net sales in the first quarter of 2026 from 2025 was primarily driven by:</w:t>
      </w:r>
    </w:p>
    <w:p>
      <w:pPr>
        <w:spacing w:after="0" w:line="153" w:lineRule="exact"/>
        <w:rPr>
          <w:sz w:val="20"/>
          <w:szCs w:val="20"/>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across all our segments to mitigate inflationary cost increases;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across all our segments;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asset impairment and write-offs in the first quarter of 2026, compared to $5.2 million in the first quarter of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including higher tariffs and certain raw material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1.7 percentage point increase in SG&amp;A as a percentage of net sales in the first quarter of 2026 from 2025 was primarily driven by:</w:t>
      </w:r>
    </w:p>
    <w:p>
      <w:pPr>
        <w:spacing w:after="0" w:line="153" w:lineRule="exact"/>
        <w:rPr>
          <w:sz w:val="20"/>
          <w:szCs w:val="20"/>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restructuring and other costs of $21.4 million in the first quarter of 2026, compared to $10.5 million in the first quarter of 2025; and</w:t>
      </w:r>
    </w:p>
    <w:p>
      <w:pPr>
        <w:spacing w:after="0" w:line="171" w:lineRule="exact"/>
        <w:rPr>
          <w:rFonts w:ascii="Times New Roman" w:cs="Times New Roman" w:eastAsia="Times New Roman" w:hAnsi="Times New Roman"/>
          <w:sz w:val="18"/>
          <w:szCs w:val="18"/>
          <w:i w:val="1"/>
          <w:iCs w:val="1"/>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costs of $11.5 million in the first quarter of 2026, compared to $9.1 million in the first quarter of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 percent increase in net interest expense in the first quarter of 2026 from 2025 was primarily driven by:</w:t>
      </w:r>
    </w:p>
    <w:p>
      <w:pPr>
        <w:spacing w:after="0" w:line="153" w:lineRule="exact"/>
        <w:rPr>
          <w:sz w:val="20"/>
          <w:szCs w:val="20"/>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interest income due to lower cash balances in the first quarter of 2026 compared to the first quarter of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0.2 percentage point decrease in the effective tax rate in the first quarter of 2026 from 2025 was primarily driven by:</w:t>
      </w:r>
    </w:p>
    <w:p>
      <w:pPr>
        <w:spacing w:after="0" w:line="153" w:lineRule="exact"/>
        <w:rPr>
          <w:sz w:val="20"/>
          <w:szCs w:val="20"/>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mix of global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amount of favorable discrete items in 2026 compared to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(Flow, Water Solutions and Pool). Each of these segments comprises various product offerings that serve multiple end users.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performance based on net sales and reportable segment income (“segment income”) and use certain ratios, particularly return on sales, to measure performance of our reportable segments.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Flow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vMerge w:val="continue"/>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232.6</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50.2</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23.7 %</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21.6 %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 pts</w:t>
            </w:r>
          </w:p>
        </w:tc>
        <w:tc>
          <w:tcPr>
            <w:tcW w:w="0" w:type="dxa"/>
            <w:vAlign w:val="bottom"/>
          </w:tcPr>
          <w:p>
            <w:pPr>
              <w:spacing w:after="0"/>
              <w:rPr>
                <w:sz w:val="1"/>
                <w:szCs w:val="1"/>
                <w:color w:val="auto"/>
              </w:rPr>
            </w:pPr>
          </w:p>
        </w:tc>
      </w:tr>
      <w:tr>
        <w:trPr>
          <w:trHeight w:val="904"/>
        </w:trPr>
        <w:tc>
          <w:tcPr>
            <w:tcW w:w="3420" w:type="dxa"/>
            <w:vAlign w:val="bottom"/>
          </w:tcPr>
          <w:p>
            <w:pPr>
              <w:spacing w:after="0"/>
              <w:rPr>
                <w:sz w:val="24"/>
                <w:szCs w:val="24"/>
                <w:color w:val="auto"/>
              </w:rPr>
            </w:pPr>
          </w:p>
        </w:tc>
        <w:tc>
          <w:tcPr>
            <w:tcW w:w="31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Flow net sales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tcPr>
          <w:p>
            <w:pPr>
              <w:spacing w:after="0"/>
              <w:rPr>
                <w:sz w:val="19"/>
                <w:szCs w:val="19"/>
                <w:color w:val="auto"/>
              </w:rPr>
            </w:pPr>
          </w:p>
        </w:tc>
        <w:tc>
          <w:tcPr>
            <w:tcW w:w="6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r>
      <w:tr>
        <w:trPr>
          <w:trHeight w:val="238"/>
        </w:trPr>
        <w:tc>
          <w:tcPr>
            <w:tcW w:w="476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6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6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6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6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6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1"/>
        </w:trPr>
        <w:tc>
          <w:tcPr>
            <w:tcW w:w="476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Hydra-Stop completed in the third quarter of 2025;</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same period of the prior year;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compared to the same period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Flow segment income as a percentage of net sales from the prior period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568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260" w:type="dxa"/>
            <w:vAlign w:val="bottom"/>
          </w:tcPr>
          <w:p>
            <w:pPr>
              <w:spacing w:after="0"/>
              <w:rPr>
                <w:sz w:val="19"/>
                <w:szCs w:val="19"/>
                <w:color w:val="auto"/>
              </w:rPr>
            </w:pPr>
          </w:p>
        </w:tc>
      </w:tr>
      <w:tr>
        <w:trPr>
          <w:trHeight w:val="238"/>
        </w:trPr>
        <w:tc>
          <w:tcPr>
            <w:tcW w:w="530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5680" w:type="dxa"/>
            <w:vAlign w:val="bottom"/>
            <w:shd w:val="clear" w:color="auto" w:fill="CCEEFF"/>
          </w:tcPr>
          <w:p>
            <w:pPr>
              <w:jc w:val="center"/>
              <w:ind w:left="523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5680" w:type="dxa"/>
            <w:vAlign w:val="bottom"/>
          </w:tcPr>
          <w:p>
            <w:pPr>
              <w:jc w:val="center"/>
              <w:ind w:left="5210"/>
              <w:spacing w:after="0"/>
              <w:rPr>
                <w:sz w:val="20"/>
                <w:szCs w:val="20"/>
                <w:color w:val="auto"/>
              </w:rPr>
            </w:pPr>
            <w:r>
              <w:rPr>
                <w:rFonts w:ascii="Times New Roman" w:cs="Times New Roman" w:eastAsia="Times New Roman" w:hAnsi="Times New Roman"/>
                <w:sz w:val="18"/>
                <w:szCs w:val="18"/>
                <w:color w:val="auto"/>
                <w:w w:val="98"/>
              </w:rPr>
              <w:t>(0.3)</w:t>
            </w:r>
          </w:p>
        </w:tc>
        <w:tc>
          <w:tcPr>
            <w:tcW w:w="26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5680" w:type="dxa"/>
            <w:vAlign w:val="bottom"/>
            <w:shd w:val="clear" w:color="auto" w:fill="CCEEFF"/>
          </w:tcPr>
          <w:p>
            <w:pPr>
              <w:jc w:val="center"/>
              <w:ind w:left="5210"/>
              <w:spacing w:after="0"/>
              <w:rPr>
                <w:sz w:val="20"/>
                <w:szCs w:val="20"/>
                <w:color w:val="auto"/>
              </w:rPr>
            </w:pPr>
            <w:r>
              <w:rPr>
                <w:rFonts w:ascii="Times New Roman" w:cs="Times New Roman" w:eastAsia="Times New Roman" w:hAnsi="Times New Roman"/>
                <w:sz w:val="18"/>
                <w:szCs w:val="18"/>
                <w:color w:val="auto"/>
                <w:w w:val="98"/>
              </w:rPr>
              <w:t>(2.9)</w:t>
            </w:r>
          </w:p>
        </w:tc>
        <w:tc>
          <w:tcPr>
            <w:tcW w:w="260" w:type="dxa"/>
            <w:vAlign w:val="bottom"/>
            <w:shd w:val="clear" w:color="auto" w:fill="CCEEFF"/>
          </w:tcPr>
          <w:p>
            <w:pPr>
              <w:spacing w:after="0"/>
              <w:rPr>
                <w:sz w:val="19"/>
                <w:szCs w:val="19"/>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5680" w:type="dxa"/>
            <w:vAlign w:val="bottom"/>
            <w:tcBorders>
              <w:bottom w:val="single" w:sz="8" w:color="auto"/>
            </w:tcBorders>
          </w:tcPr>
          <w:p>
            <w:pPr>
              <w:jc w:val="center"/>
              <w:ind w:left="523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tcPr>
          <w:p>
            <w:pPr>
              <w:spacing w:after="0"/>
              <w:rPr>
                <w:sz w:val="19"/>
                <w:szCs w:val="19"/>
                <w:color w:val="auto"/>
              </w:rPr>
            </w:pPr>
          </w:p>
        </w:tc>
      </w:tr>
      <w:tr>
        <w:trPr>
          <w:trHeight w:val="248"/>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80" w:type="dxa"/>
            <w:vAlign w:val="bottom"/>
            <w:tcBorders>
              <w:bottom w:val="single" w:sz="8" w:color="auto"/>
            </w:tcBorders>
            <w:shd w:val="clear" w:color="auto" w:fill="CCEEFF"/>
          </w:tcPr>
          <w:p>
            <w:pPr>
              <w:jc w:val="center"/>
              <w:ind w:left="523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5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2.1 percentage point increase in segment income for Flow as a percentage of net sales in the first quarter of 2026 from 2025 was primarily driven by:</w:t>
      </w:r>
    </w:p>
    <w:p>
      <w:pPr>
        <w:spacing w:after="0" w:line="173" w:lineRule="exact"/>
        <w:rPr>
          <w:sz w:val="20"/>
          <w:szCs w:val="20"/>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of the Hydra-Stop acquisition;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including higher tariffs and certain raw material costs; and</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same period of the prior year.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Solutions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Water Solutions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14"/>
                <w:szCs w:val="14"/>
                <w:color w:val="auto"/>
              </w:rPr>
            </w:pPr>
          </w:p>
        </w:tc>
        <w:tc>
          <w:tcPr>
            <w:tcW w:w="102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 / Point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99.9</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94.1</w:t>
            </w:r>
          </w:p>
        </w:tc>
        <w:tc>
          <w:tcPr>
            <w:tcW w:w="3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25.5 %</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23.9 %</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 pts</w:t>
            </w:r>
          </w:p>
        </w:tc>
        <w:tc>
          <w:tcPr>
            <w:tcW w:w="0" w:type="dxa"/>
            <w:vAlign w:val="bottom"/>
          </w:tcPr>
          <w:p>
            <w:pPr>
              <w:spacing w:after="0"/>
              <w:rPr>
                <w:sz w:val="1"/>
                <w:szCs w:val="1"/>
                <w:color w:val="auto"/>
              </w:rPr>
            </w:pPr>
          </w:p>
        </w:tc>
      </w:tr>
      <w:tr>
        <w:trPr>
          <w:trHeight w:val="454"/>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net sales from the prior period were as follows: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0" w:type="dxa"/>
            <w:vAlign w:val="bottom"/>
          </w:tcPr>
          <w:p>
            <w:pPr>
              <w:spacing w:after="0"/>
              <w:rPr>
                <w:sz w:val="1"/>
                <w:szCs w:val="1"/>
                <w:color w:val="auto"/>
              </w:rPr>
            </w:pPr>
          </w:p>
        </w:tc>
      </w:tr>
      <w:tr>
        <w:trPr>
          <w:trHeight w:val="238"/>
        </w:trPr>
        <w:tc>
          <w:tcPr>
            <w:tcW w:w="6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5.4</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(4.0)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7"/>
              </w:rPr>
              <w:t>2.5</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0.6 percent decrease in net sales for Water Solutions in the first quarter of 2026 from 2025 was primarily driven by:</w:t>
      </w:r>
    </w:p>
    <w:p>
      <w:pPr>
        <w:spacing w:after="0" w:line="173" w:lineRule="exact"/>
        <w:rPr>
          <w:sz w:val="20"/>
          <w:szCs w:val="20"/>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compared to the same period of the prior year;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exit in our commercial business that occurred in the second quarter of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decrease was partially offset by:</w:t>
      </w:r>
    </w:p>
    <w:p>
      <w:pPr>
        <w:spacing w:after="0" w:line="173" w:lineRule="exact"/>
        <w:rPr>
          <w:sz w:val="20"/>
          <w:szCs w:val="20"/>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same period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segment income as a percentage of net sales from the prior period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568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280" w:type="dxa"/>
            <w:vAlign w:val="bottom"/>
          </w:tcPr>
          <w:p>
            <w:pPr>
              <w:spacing w:after="0"/>
              <w:rPr>
                <w:sz w:val="19"/>
                <w:szCs w:val="19"/>
                <w:color w:val="auto"/>
              </w:rPr>
            </w:pPr>
          </w:p>
        </w:tc>
      </w:tr>
      <w:tr>
        <w:trPr>
          <w:trHeight w:val="238"/>
        </w:trPr>
        <w:tc>
          <w:tcPr>
            <w:tcW w:w="528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5680" w:type="dxa"/>
            <w:vAlign w:val="bottom"/>
            <w:shd w:val="clear" w:color="auto" w:fill="CCEEFF"/>
          </w:tcPr>
          <w:p>
            <w:pPr>
              <w:jc w:val="center"/>
              <w:ind w:left="519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5680" w:type="dxa"/>
            <w:vAlign w:val="bottom"/>
          </w:tcPr>
          <w:p>
            <w:pPr>
              <w:jc w:val="center"/>
              <w:ind w:left="5170"/>
              <w:spacing w:after="0"/>
              <w:rPr>
                <w:sz w:val="20"/>
                <w:szCs w:val="20"/>
                <w:color w:val="auto"/>
              </w:rPr>
            </w:pPr>
            <w:r>
              <w:rPr>
                <w:rFonts w:ascii="Times New Roman" w:cs="Times New Roman" w:eastAsia="Times New Roman" w:hAnsi="Times New Roman"/>
                <w:sz w:val="18"/>
                <w:szCs w:val="18"/>
                <w:color w:val="auto"/>
                <w:w w:val="98"/>
              </w:rPr>
              <w:t>(0.7)</w:t>
            </w:r>
          </w:p>
        </w:tc>
        <w:tc>
          <w:tcPr>
            <w:tcW w:w="28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5680" w:type="dxa"/>
            <w:vAlign w:val="bottom"/>
            <w:shd w:val="clear" w:color="auto" w:fill="CCEEFF"/>
          </w:tcPr>
          <w:p>
            <w:pPr>
              <w:jc w:val="center"/>
              <w:ind w:left="5170"/>
              <w:spacing w:after="0"/>
              <w:rPr>
                <w:sz w:val="20"/>
                <w:szCs w:val="20"/>
                <w:color w:val="auto"/>
              </w:rPr>
            </w:pPr>
            <w:r>
              <w:rPr>
                <w:rFonts w:ascii="Times New Roman" w:cs="Times New Roman" w:eastAsia="Times New Roman" w:hAnsi="Times New Roman"/>
                <w:sz w:val="18"/>
                <w:szCs w:val="18"/>
                <w:color w:val="auto"/>
                <w:w w:val="98"/>
              </w:rPr>
              <w:t>(4.4)</w:t>
            </w:r>
          </w:p>
        </w:tc>
        <w:tc>
          <w:tcPr>
            <w:tcW w:w="280" w:type="dxa"/>
            <w:vAlign w:val="bottom"/>
            <w:shd w:val="clear" w:color="auto" w:fill="CCEEFF"/>
          </w:tcPr>
          <w:p>
            <w:pPr>
              <w:spacing w:after="0"/>
              <w:rPr>
                <w:sz w:val="19"/>
                <w:szCs w:val="19"/>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5680" w:type="dxa"/>
            <w:vAlign w:val="bottom"/>
            <w:tcBorders>
              <w:bottom w:val="single" w:sz="8" w:color="auto"/>
            </w:tcBorders>
          </w:tcPr>
          <w:p>
            <w:pPr>
              <w:jc w:val="center"/>
              <w:ind w:left="519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auto"/>
            </w:tcBorders>
          </w:tcPr>
          <w:p>
            <w:pPr>
              <w:spacing w:after="0"/>
              <w:rPr>
                <w:sz w:val="19"/>
                <w:szCs w:val="19"/>
                <w:color w:val="auto"/>
              </w:rPr>
            </w:pPr>
          </w:p>
        </w:tc>
      </w:tr>
      <w:tr>
        <w:trPr>
          <w:trHeight w:val="248"/>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80" w:type="dxa"/>
            <w:vAlign w:val="bottom"/>
            <w:tcBorders>
              <w:bottom w:val="single" w:sz="8" w:color="auto"/>
            </w:tcBorders>
            <w:shd w:val="clear" w:color="auto" w:fill="CCEEFF"/>
          </w:tcPr>
          <w:p>
            <w:pPr>
              <w:jc w:val="center"/>
              <w:ind w:left="519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5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1.6 percentage point increase in segment income for Water Solutions as a percentage of net sales in the first quarter of 2026 from 2025 was primarily driven by:</w:t>
      </w:r>
    </w:p>
    <w:p>
      <w:pPr>
        <w:spacing w:after="0" w:line="106" w:lineRule="exact"/>
        <w:rPr>
          <w:sz w:val="20"/>
          <w:szCs w:val="20"/>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including higher tariffs and certain raw material costs;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same period of the prior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Pool</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net sales and segment income for Pool were as follows:</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Pr>
          <w:p>
            <w:pPr>
              <w:spacing w:after="0"/>
              <w:rPr>
                <w:sz w:val="14"/>
                <w:szCs w:val="14"/>
                <w:color w:val="auto"/>
              </w:rPr>
            </w:pPr>
          </w:p>
        </w:tc>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383.9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128.1</w:t>
            </w:r>
          </w:p>
        </w:tc>
        <w:tc>
          <w:tcPr>
            <w:tcW w:w="2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126.0</w:t>
            </w:r>
          </w:p>
        </w:tc>
        <w:tc>
          <w:tcPr>
            <w:tcW w:w="380" w:type="dxa"/>
            <w:vAlign w:val="bottom"/>
          </w:tcPr>
          <w:p>
            <w:pPr>
              <w:spacing w:after="0"/>
              <w:rPr>
                <w:sz w:val="19"/>
                <w:szCs w:val="19"/>
                <w:color w:val="auto"/>
              </w:rPr>
            </w:pP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33.1 %</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32.8 %</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i w:val="1"/>
                <w:iCs w:val="1"/>
                <w:color w:val="auto"/>
              </w:rPr>
              <w:t>0.3 pts</w:t>
            </w:r>
          </w:p>
        </w:tc>
        <w:tc>
          <w:tcPr>
            <w:tcW w:w="0" w:type="dxa"/>
            <w:vAlign w:val="bottom"/>
          </w:tcPr>
          <w:p>
            <w:pPr>
              <w:spacing w:after="0"/>
              <w:rPr>
                <w:sz w:val="1"/>
                <w:szCs w:val="1"/>
                <w:color w:val="auto"/>
              </w:rPr>
            </w:pPr>
          </w:p>
        </w:tc>
      </w:tr>
      <w:tr>
        <w:trPr>
          <w:trHeight w:val="441"/>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change in Pool net sales from the prior period were as follows: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0" w:type="dxa"/>
            <w:vAlign w:val="bottom"/>
          </w:tcPr>
          <w:p>
            <w:pPr>
              <w:spacing w:after="0"/>
              <w:rPr>
                <w:sz w:val="1"/>
                <w:szCs w:val="1"/>
                <w:color w:val="auto"/>
              </w:rPr>
            </w:pPr>
          </w:p>
        </w:tc>
      </w:tr>
      <w:tr>
        <w:trPr>
          <w:trHeight w:val="238"/>
        </w:trPr>
        <w:tc>
          <w:tcPr>
            <w:tcW w:w="6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9"/>
              </w:rPr>
              <w:t>0.8 %</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0.8 percent increase in net sales for Pool in the first quarter of 2026 from 2025 was primarily driven by:</w:t>
      </w:r>
    </w:p>
    <w:p>
      <w:pPr>
        <w:spacing w:after="0" w:line="173" w:lineRule="exact"/>
        <w:rPr>
          <w:sz w:val="20"/>
          <w:szCs w:val="20"/>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compared to the same period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Pool segment income as a percentage of net sales from the prior period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568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280" w:type="dxa"/>
            <w:vAlign w:val="bottom"/>
          </w:tcPr>
          <w:p>
            <w:pPr>
              <w:spacing w:after="0"/>
              <w:rPr>
                <w:sz w:val="19"/>
                <w:szCs w:val="19"/>
                <w:color w:val="auto"/>
              </w:rPr>
            </w:pPr>
          </w:p>
        </w:tc>
      </w:tr>
      <w:tr>
        <w:trPr>
          <w:trHeight w:val="238"/>
        </w:trPr>
        <w:tc>
          <w:tcPr>
            <w:tcW w:w="528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5680" w:type="dxa"/>
            <w:vAlign w:val="bottom"/>
            <w:shd w:val="clear" w:color="auto" w:fill="CCEEFF"/>
          </w:tcPr>
          <w:p>
            <w:pPr>
              <w:jc w:val="center"/>
              <w:ind w:left="519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5680" w:type="dxa"/>
            <w:vAlign w:val="bottom"/>
          </w:tcPr>
          <w:p>
            <w:pPr>
              <w:jc w:val="center"/>
              <w:ind w:left="5170"/>
              <w:spacing w:after="0"/>
              <w:rPr>
                <w:sz w:val="20"/>
                <w:szCs w:val="20"/>
                <w:color w:val="auto"/>
              </w:rPr>
            </w:pPr>
            <w:r>
              <w:rPr>
                <w:rFonts w:ascii="Times New Roman" w:cs="Times New Roman" w:eastAsia="Times New Roman" w:hAnsi="Times New Roman"/>
                <w:sz w:val="18"/>
                <w:szCs w:val="18"/>
                <w:color w:val="auto"/>
                <w:w w:val="98"/>
              </w:rPr>
              <w:t>(0.2)</w:t>
            </w:r>
          </w:p>
        </w:tc>
        <w:tc>
          <w:tcPr>
            <w:tcW w:w="28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5680" w:type="dxa"/>
            <w:vAlign w:val="bottom"/>
            <w:shd w:val="clear" w:color="auto" w:fill="CCEEFF"/>
          </w:tcPr>
          <w:p>
            <w:pPr>
              <w:jc w:val="center"/>
              <w:ind w:left="5170"/>
              <w:spacing w:after="0"/>
              <w:rPr>
                <w:sz w:val="20"/>
                <w:szCs w:val="20"/>
                <w:color w:val="auto"/>
              </w:rPr>
            </w:pPr>
            <w:r>
              <w:rPr>
                <w:rFonts w:ascii="Times New Roman" w:cs="Times New Roman" w:eastAsia="Times New Roman" w:hAnsi="Times New Roman"/>
                <w:sz w:val="18"/>
                <w:szCs w:val="18"/>
                <w:color w:val="auto"/>
                <w:w w:val="98"/>
              </w:rPr>
              <w:t>(5.3)</w:t>
            </w:r>
          </w:p>
        </w:tc>
        <w:tc>
          <w:tcPr>
            <w:tcW w:w="280" w:type="dxa"/>
            <w:vAlign w:val="bottom"/>
            <w:shd w:val="clear" w:color="auto" w:fill="CCEEFF"/>
          </w:tcPr>
          <w:p>
            <w:pPr>
              <w:spacing w:after="0"/>
              <w:rPr>
                <w:sz w:val="19"/>
                <w:szCs w:val="19"/>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5680" w:type="dxa"/>
            <w:vAlign w:val="bottom"/>
            <w:tcBorders>
              <w:bottom w:val="single" w:sz="8" w:color="auto"/>
            </w:tcBorders>
          </w:tcPr>
          <w:p>
            <w:pPr>
              <w:jc w:val="center"/>
              <w:ind w:left="519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auto"/>
            </w:tcBorders>
          </w:tcPr>
          <w:p>
            <w:pPr>
              <w:spacing w:after="0"/>
              <w:rPr>
                <w:sz w:val="19"/>
                <w:szCs w:val="19"/>
                <w:color w:val="auto"/>
              </w:rPr>
            </w:pPr>
          </w:p>
        </w:tc>
      </w:tr>
      <w:tr>
        <w:trPr>
          <w:trHeight w:val="248"/>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80" w:type="dxa"/>
            <w:vAlign w:val="bottom"/>
            <w:tcBorders>
              <w:bottom w:val="single" w:sz="8" w:color="auto"/>
            </w:tcBorders>
            <w:shd w:val="clear" w:color="auto" w:fill="CCEEFF"/>
          </w:tcPr>
          <w:p>
            <w:pPr>
              <w:jc w:val="center"/>
              <w:ind w:left="519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5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0.3 percentage point increase in segment income for Pool as a percentage of net sales in the first quarter of 2026 from 2025 was primarily driven by:</w:t>
      </w:r>
    </w:p>
    <w:p>
      <w:pPr>
        <w:spacing w:after="0" w:line="173" w:lineRule="exact"/>
        <w:rPr>
          <w:sz w:val="20"/>
          <w:szCs w:val="20"/>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including higher tariffs and certain raw material costs.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Consistent with historical trends, we experienced seasonal cash usage in the first quarter of 2026 and drew on our revolving credit facility to fund our operations. This cash usage typically reverses in the second quarter as the seasonality of our businesses peak. We expect historical seasonal patterns to continue and the second quarter of 2026 to generate significant cash to fund our operations.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End-user demand for pool equipment in the Pool segment and water solution, residential water supply and agricultural products in the Water Solutions segment follows warm weather trends, with seasonal highs ranging from April to September. The magnitude of the sales spike has historically been partially mitigated by employing advance sale “early buy” programs (generally including extended payment terms and/or additional discounts). Demand for residential and agricultural water systems is also impacted by weather patterns, particularly by temperature, heavy flooding and droughts.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20" w:type="dxa"/>
            <w:vAlign w:val="bottom"/>
          </w:tcPr>
          <w:p>
            <w:pPr>
              <w:spacing w:after="0"/>
              <w:rPr>
                <w:sz w:val="24"/>
                <w:szCs w:val="24"/>
                <w:color w:val="auto"/>
              </w:rPr>
            </w:pPr>
          </w:p>
        </w:tc>
        <w:tc>
          <w:tcPr>
            <w:tcW w:w="30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80" w:type="dxa"/>
            <w:vAlign w:val="bottom"/>
          </w:tcPr>
          <w:p>
            <w:pPr>
              <w:jc w:val="center"/>
              <w:ind w:left="39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4"/>
                <w:szCs w:val="14"/>
                <w:color w:val="auto"/>
              </w:rPr>
            </w:pPr>
          </w:p>
        </w:tc>
        <w:tc>
          <w:tcPr>
            <w:tcW w:w="1280" w:type="dxa"/>
            <w:vAlign w:val="bottom"/>
          </w:tcPr>
          <w:p>
            <w:pPr>
              <w:jc w:val="center"/>
              <w:ind w:left="39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w:t>
            </w: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(67.4)</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(18.3)</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(16.8)</w:t>
            </w: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12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50.6</w:t>
            </w:r>
          </w:p>
        </w:tc>
        <w:tc>
          <w:tcPr>
            <w:tcW w:w="128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used for operating activities in the first three months of 2026 primarily reflects a cash outflow of $275.8 million as a result of changes in net working capital, primarily due to an increase in accounts receivable largely related to certain advance sale programs in anticipation of our distributors’ peak sales season in the second and third quarters. The outflow related to net working capital was partially offset by net income from continuing operations, net of non-cash depreciation, definite-lived intangible amortization and share-based compensation, of $206.8 million.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operating activities in the first three months of 2025 primarily reflects a cash outflow of $255.5 million as a result of changes in net working capital, primarily due to an increase in accounts receivable largely related to certain advance sale programs in anticipation of our distributors’ peak sales season in the second and third quarters. The outflow related to net working capital was partially offset by net income from continuing operations, net of non-cash depreciation, definite-lived intangible amortization, share-based compensation and asset impairment, of $201.7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investing activities in the first three months of 2026 primarily reflects capital expenditures of $18.5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investing activities in the first three months of 2025 reflects capital expenditures of $16.8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in the first three months of 2026 primarily relates to net borrowings of revolving long-term debt of $304.9 million, partially offset by share repurchases of $200.0 million and dividend payments of $44.1 million.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first three months of 2025 primarily relates to net borrowings of revolving long-term debt of $196.2 million, partially offset by share repurchases of $50.0 million and dividend payments of $41.2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0"/>
        </w:trPr>
        <w:tc>
          <w:tcPr>
            <w:tcW w:w="8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capital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May 2025, providing for a $900.0 million senior unsecured revolving credit facility. The Senior Credit Facility has a maturity date of May 5, 2030.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total availability under the Senior Credit Facility was $317.4 million. In addition, PFSA has the option to request to increase the revolving credit facility and/or to enter into one or more additional tranches of term loans in an aggregate amount of up to $450.0 million, subject to customary conditions, including the commitment of the participating lenders.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March 31, 2026, the remaining obligation of $575.0 million matures on July 28, 2027.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Facility provide for the calculation of EBITDA giving pro forma effect to certain acquisitions, divestitures and liquidations during the period to which such calculation relates.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$21.1 million, of which there were no outstanding borrowings at March 31, 2026. Borrowings under these credit facilities bear interest at variable rates.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we had $31.6 million of cash held in certain countries in which the ability to repatriate is limited due to local regulations or significant potential tax consequences.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Board of Directors authorized the repurchase of our ordinary shares up to a maximum dollar limit of $1.0 billion. This authorization expires on December 31, 2028. During the three months ended March 31, 2026, we repurchased 2.0 million of our ordinary shares for $200.0 million. As of March 31, 2026, we had $800.0 million available for share repurchases under this authorization.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23, 2026, the Board of Directors declared a quarterly cash dividend of $0.27 per share, payable on May 1, 2026 to shareholders of record at the close of business on April 17, 2026.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$43.6 million at March 31, 2026, compared to $44.1 million at December 31, 2025.</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dividends in the first three months of 2026 of $44.1 million, or $0.27 per ordinary share compared with $41.2 million, or $0.25 per ordinary share, in the prior year period.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$6.4 billion as of December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summarized financial information as of March 31, 2026 and December 31, 2025 for the Parent Company Guarantor and Subsidiary Issuer on a combined basis after elimination of (i) intercompany transactions and balances among the guarantors and the issuer and (ii) equity in earnings from and investments in any subsidiary that is a non-guarantor or issuer.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36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3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(2)</w:t>
            </w:r>
          </w:p>
        </w:tc>
        <w:tc>
          <w:tcPr>
            <w:tcW w:w="3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3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0" w:type="dxa"/>
            <w:vAlign w:val="bottom"/>
          </w:tcPr>
          <w:p>
            <w:pPr>
              <w:spacing w:after="0"/>
              <w:rPr>
                <w:sz w:val="1"/>
                <w:szCs w:val="1"/>
                <w:color w:val="auto"/>
              </w:rPr>
            </w:pPr>
          </w:p>
        </w:tc>
      </w:tr>
      <w:tr>
        <w:trPr>
          <w:trHeight w:val="235"/>
        </w:trPr>
        <w:tc>
          <w:tcPr>
            <w:tcW w:w="4860" w:type="dxa"/>
            <w:vAlign w:val="bottom"/>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Noncurrent liabilities </w:t>
            </w:r>
            <w:r>
              <w:rPr>
                <w:rFonts w:ascii="Times New Roman" w:cs="Times New Roman" w:eastAsia="Times New Roman" w:hAnsi="Times New Roman"/>
                <w:sz w:val="23"/>
                <w:szCs w:val="23"/>
                <w:color w:val="auto"/>
                <w:vertAlign w:val="superscript"/>
              </w:rPr>
              <w:t>(4)</w:t>
            </w:r>
          </w:p>
        </w:tc>
        <w:tc>
          <w:tcPr>
            <w:tcW w:w="3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2,142.1</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0" w:type="dxa"/>
            <w:vAlign w:val="bottom"/>
          </w:tcPr>
          <w:p>
            <w:pPr>
              <w:spacing w:after="0"/>
              <w:rPr>
                <w:sz w:val="1"/>
                <w:szCs w:val="1"/>
                <w:color w:val="auto"/>
              </w:rPr>
            </w:pPr>
          </w:p>
        </w:tc>
      </w:tr>
    </w:tbl>
    <w:p>
      <w:pPr>
        <w:ind w:left="160" w:hanging="134"/>
        <w:spacing w:after="0"/>
        <w:tabs>
          <w:tab w:leader="none" w:pos="16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No assets due from non-guarantor subsidiaries were included as of March 31, 2026 and December 31, 2025, respectively.</w:t>
      </w:r>
    </w:p>
    <w:p>
      <w:pPr>
        <w:spacing w:after="0" w:line="65" w:lineRule="exact"/>
        <w:rPr>
          <w:rFonts w:ascii="Times New Roman" w:cs="Times New Roman" w:eastAsia="Times New Roman" w:hAnsi="Times New Roman"/>
          <w:sz w:val="16"/>
          <w:szCs w:val="16"/>
          <w:color w:val="auto"/>
          <w:vertAlign w:val="superscript"/>
        </w:rPr>
      </w:pPr>
    </w:p>
    <w:p>
      <w:pPr>
        <w:ind w:left="160" w:hanging="134"/>
        <w:spacing w:after="0" w:line="237" w:lineRule="auto"/>
        <w:tabs>
          <w:tab w:leader="none" w:pos="16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assets due from non-guarantor subsidiaries of $2,500.3 million and $2,503.6 million as of March 31, 2026 and December 31, 2025, respectively.</w:t>
      </w:r>
    </w:p>
    <w:p>
      <w:pPr>
        <w:spacing w:after="0" w:line="61" w:lineRule="exact"/>
        <w:rPr>
          <w:rFonts w:ascii="Times New Roman" w:cs="Times New Roman" w:eastAsia="Times New Roman" w:hAnsi="Times New Roman"/>
          <w:sz w:val="16"/>
          <w:szCs w:val="16"/>
          <w:color w:val="auto"/>
          <w:vertAlign w:val="superscript"/>
        </w:rPr>
      </w:pPr>
    </w:p>
    <w:p>
      <w:pPr>
        <w:ind w:left="160" w:hanging="134"/>
        <w:spacing w:after="0" w:line="237" w:lineRule="auto"/>
        <w:tabs>
          <w:tab w:leader="none" w:pos="16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liabilities due to non-guarantor subsidiaries of $2,182.8 million and $2,235.8 million as of March 31, 2026 and December 31, 2025, respectively.</w:t>
      </w:r>
    </w:p>
    <w:p>
      <w:pPr>
        <w:spacing w:after="0" w:line="61" w:lineRule="exact"/>
        <w:rPr>
          <w:rFonts w:ascii="Times New Roman" w:cs="Times New Roman" w:eastAsia="Times New Roman" w:hAnsi="Times New Roman"/>
          <w:sz w:val="16"/>
          <w:szCs w:val="16"/>
          <w:color w:val="auto"/>
          <w:vertAlign w:val="superscript"/>
        </w:rPr>
      </w:pPr>
    </w:p>
    <w:p>
      <w:pPr>
        <w:ind w:left="160" w:hanging="134"/>
        <w:spacing w:after="0" w:line="237" w:lineRule="auto"/>
        <w:tabs>
          <w:tab w:leader="none" w:pos="16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liabilities due to non-guarantor subsidiaries of $167.5 million and $171.4 million as of March 31, 2026 and December 31, 2025,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2025,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2025.</w:t>
      </w:r>
    </w:p>
    <w:p>
      <w:pPr>
        <w:spacing w:after="0" w:line="1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quarter ended March 31, 2026. For additional information refer to Item 7A of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rFonts w:ascii="Times New Roman" w:cs="Times New Roman" w:eastAsia="Times New Roman" w:hAnsi="Times New Roman"/>
          <w:sz w:val="18"/>
          <w:szCs w:val="18"/>
          <w:b w:val="1"/>
          <w:bCs w:val="1"/>
          <w:color w:val="auto"/>
        </w:rPr>
      </w:pPr>
    </w:p>
    <w:p>
      <w:pPr>
        <w:jc w:val="both"/>
        <w:ind w:left="4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2026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2026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rFonts w:ascii="Times New Roman" w:cs="Times New Roman" w:eastAsia="Times New Roman" w:hAnsi="Times New Roman"/>
          <w:sz w:val="18"/>
          <w:szCs w:val="18"/>
          <w:b w:val="1"/>
          <w:bCs w:val="1"/>
          <w:color w:val="auto"/>
        </w:rPr>
      </w:pPr>
    </w:p>
    <w:p>
      <w:pPr>
        <w:ind w:left="4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March 31, 2026 that has materially affected, or is reasonably likely to materially affect, our internal control over financial reporting.</w:t>
      </w:r>
    </w:p>
    <w:p>
      <w:pPr>
        <w:spacing w:after="0" w:line="107" w:lineRule="exact"/>
        <w:rPr>
          <w:rFonts w:ascii="Times New Roman" w:cs="Times New Roman" w:eastAsia="Times New Roman" w:hAnsi="Times New Roman"/>
          <w:sz w:val="18"/>
          <w:szCs w:val="18"/>
          <w:b w:val="1"/>
          <w:bCs w:val="1"/>
          <w:color w:val="auto"/>
        </w:rPr>
      </w:pPr>
    </w:p>
    <w:p>
      <w:pPr>
        <w:jc w:val="both"/>
        <w:ind w:left="4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2024, we began a multi-year implementation of our new global enterprise resource planning (“ERP”) system. Ultimately, this ERP system will modernize several of our existing operating and transactional financial systems. We believe this implementation will enhance our internal control over financial reporting due to improved operational functionality and further integration of related processes. As a result of this ERP implementation process, we have automated, modified or implemented certain internal controls as appropriate. We will continue to monitor our internal control over financial reporting for effectiveness throughout the remainder of this implementation.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claims relating to the use or installation of our products; consumer matters; and employment and labor matters.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Annual Report on Form 10-K for the year ended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first quarter of 2026: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tcPr>
          <w:p>
            <w:pPr>
              <w:spacing w:after="0"/>
              <w:rPr>
                <w:sz w:val="19"/>
                <w:szCs w:val="19"/>
                <w:color w:val="auto"/>
              </w:rPr>
            </w:pPr>
          </w:p>
        </w:tc>
        <w:tc>
          <w:tcPr>
            <w:tcW w:w="19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6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96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shares that may yet</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226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9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75"/>
        </w:trPr>
        <w:tc>
          <w:tcPr>
            <w:tcW w:w="248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2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34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22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the plans or</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vMerge w:val="continue"/>
          </w:tcPr>
          <w:p>
            <w:pPr>
              <w:spacing w:after="0"/>
              <w:rPr>
                <w:sz w:val="21"/>
                <w:szCs w:val="21"/>
                <w:color w:val="auto"/>
              </w:rPr>
            </w:pPr>
          </w:p>
        </w:tc>
        <w:tc>
          <w:tcPr>
            <w:tcW w:w="22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2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104.17</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1,673,071</w:t>
            </w:r>
          </w:p>
        </w:tc>
        <w:tc>
          <w:tcPr>
            <w:tcW w:w="340" w:type="dxa"/>
            <w:vAlign w:val="bottom"/>
          </w:tcPr>
          <w:p>
            <w:pPr>
              <w:spacing w:after="0"/>
              <w:rPr>
                <w:sz w:val="19"/>
                <w:szCs w:val="19"/>
                <w:color w:val="auto"/>
              </w:rPr>
            </w:pP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100.63</w:t>
            </w:r>
          </w:p>
        </w:tc>
        <w:tc>
          <w:tcPr>
            <w:tcW w:w="2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1,615,370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837,504,248</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420,432</w:t>
            </w: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97.84</w:t>
            </w:r>
          </w:p>
        </w:tc>
        <w:tc>
          <w:tcPr>
            <w:tcW w:w="2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383,220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800,004,397</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2,110,729</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1,998,590</w:t>
            </w: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purchases in this column include 17,226 shares for the period January 1 - January 31, 57,701 shares for the period February 1 - February 28 and 37,212 shares for the period March 1 - March 31 deemed surrendered to us by participants in our equity incentive plans to satisfy the exercise price or withholding of tax obligations related to the exercise of stock options and vesting of restricted and performance shares.</w:t>
      </w:r>
    </w:p>
    <w:p>
      <w:pPr>
        <w:spacing w:after="0" w:line="13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4" w:lineRule="exact"/>
        <w:rPr>
          <w:rFonts w:ascii="Times New Roman" w:cs="Times New Roman" w:eastAsia="Times New Roman" w:hAnsi="Times New Roman"/>
          <w:sz w:val="16"/>
          <w:szCs w:val="16"/>
          <w:color w:val="auto"/>
        </w:rPr>
      </w:pPr>
    </w:p>
    <w:p>
      <w:pPr>
        <w:ind w:left="340" w:hanging="332"/>
        <w:spacing w:after="0" w:line="280" w:lineRule="auto"/>
        <w:tabs>
          <w:tab w:leader="none" w:pos="33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0"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2025, the Board of Directors authorized the repurchase of our ordinary shares up to a maximum dollar limit of $1.0 billion. This authorization expires on December 31, 2028. As of March 31, 2026, we had $800.0 million remaining availability for share repurchases under this authorization. From time to time, we may enter into a Rule 10b5-1 trading plan for the purpose of repurchasing shares under this authorization.</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340" w:hanging="332"/>
        <w:spacing w:after="0" w:line="282" w:lineRule="auto"/>
        <w:tabs>
          <w:tab w:leader="none" w:pos="3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none of our directors or Section 16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 to Form 10-Q for the Period Ended March 31, 2026</w:t>
      </w:r>
    </w:p>
    <w:p>
      <w:pPr>
        <w:spacing w:after="0" w:line="333" w:lineRule="exact"/>
        <w:rPr>
          <w:sz w:val="20"/>
          <w:szCs w:val="20"/>
          <w:color w:val="auto"/>
        </w:rPr>
      </w:pPr>
    </w:p>
    <w:p>
      <w:pPr>
        <w:ind w:left="940" w:hanging="795"/>
        <w:spacing w:after="0" w:line="237" w:lineRule="auto"/>
        <w:tabs>
          <w:tab w:leader="none" w:pos="920" w:val="left"/>
        </w:tabs>
        <w:rPr>
          <w:rFonts w:ascii="Times New Roman" w:cs="Times New Roman" w:eastAsia="Times New Roman" w:hAnsi="Times New Roman"/>
          <w:sz w:val="18"/>
          <w:szCs w:val="18"/>
          <w:b w:val="1"/>
          <w:bCs w:val="1"/>
          <w:color w:val="0000FF"/>
        </w:rPr>
      </w:pPr>
      <w:hyperlink r:id="rId51">
        <w:r>
          <w:rPr>
            <w:rFonts w:ascii="Times New Roman" w:cs="Times New Roman" w:eastAsia="Times New Roman" w:hAnsi="Times New Roman"/>
            <w:sz w:val="18"/>
            <w:szCs w:val="18"/>
            <w:b w:val="1"/>
            <w:bCs w:val="1"/>
            <w:u w:val="single" w:color="auto"/>
            <w:color w:val="0000FF"/>
          </w:rPr>
          <w:t>10.1</w:t>
        </w:r>
      </w:hyperlink>
      <w:r>
        <w:rPr>
          <w:rFonts w:ascii="Times New Roman" w:cs="Times New Roman" w:eastAsia="Times New Roman" w:hAnsi="Times New Roman"/>
          <w:sz w:val="18"/>
          <w:szCs w:val="18"/>
          <w:b w:val="1"/>
          <w:bCs w:val="1"/>
          <w:color w:val="0000FF"/>
        </w:rPr>
        <w:tab/>
        <w:t>Form of Key Executive Employment and Severance Agreement for Nicholas J. Brazis and Heather M. Hausmann (Incorporated by reference to Exhibit 10.1 to the Quarterly Report on Form 10-Q of Pentair plc for the quarter ended September 30, 2025 (File No. 001-11625)).</w:t>
      </w:r>
    </w:p>
    <w:p>
      <w:pPr>
        <w:spacing w:after="0" w:line="14" w:lineRule="exact"/>
        <w:rPr>
          <w:sz w:val="20"/>
          <w:szCs w:val="20"/>
          <w:color w:val="auto"/>
        </w:rPr>
      </w:pPr>
    </w:p>
    <w:p>
      <w:pPr>
        <w:ind w:left="940" w:hanging="806"/>
        <w:spacing w:after="0" w:line="237" w:lineRule="auto"/>
        <w:tabs>
          <w:tab w:leader="none" w:pos="940" w:val="left"/>
        </w:tabs>
        <w:numPr>
          <w:ilvl w:val="0"/>
          <w:numId w:val="4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Guarantors and Subsidiary Issuers of Guaranteed Securities. (Incorporated by reference to Exhibit 22 to the Quarterly Report on Form 10-Q of Pentair plc for the quarter ended September 30, 2025 (File No. 001-11625)).</w:t>
      </w:r>
    </w:p>
    <w:p>
      <w:pPr>
        <w:spacing w:after="0" w:line="6"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31.1</w:t>
      </w:r>
      <w:r>
        <w:rPr>
          <w:sz w:val="20"/>
          <w:szCs w:val="20"/>
          <w:color w:val="auto"/>
        </w:rPr>
        <w:tab/>
      </w:r>
      <w:r>
        <w:rPr>
          <w:rFonts w:ascii="Times New Roman" w:cs="Times New Roman" w:eastAsia="Times New Roman" w:hAnsi="Times New Roman"/>
          <w:sz w:val="17"/>
          <w:szCs w:val="17"/>
          <w:color w:val="auto"/>
        </w:rPr>
        <w:t>Certification of Chief Executive Officer.</w:t>
      </w:r>
    </w:p>
    <w:p>
      <w:pPr>
        <w:spacing w:after="0" w:line="31"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31.2</w:t>
      </w:r>
      <w:r>
        <w:rPr>
          <w:sz w:val="20"/>
          <w:szCs w:val="20"/>
          <w:color w:val="auto"/>
        </w:rPr>
        <w:tab/>
      </w:r>
      <w:r>
        <w:rPr>
          <w:rFonts w:ascii="Times New Roman" w:cs="Times New Roman" w:eastAsia="Times New Roman" w:hAnsi="Times New Roman"/>
          <w:sz w:val="17"/>
          <w:szCs w:val="17"/>
          <w:color w:val="auto"/>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 of</w:t>
      </w:r>
    </w:p>
    <w:p>
      <w:pPr>
        <w:ind w:left="940"/>
        <w:spacing w:after="0"/>
        <w:rPr>
          <w:sz w:val="20"/>
          <w:szCs w:val="20"/>
          <w:color w:val="auto"/>
        </w:rPr>
      </w:pPr>
      <w:r>
        <w:rPr>
          <w:rFonts w:ascii="Times New Roman" w:cs="Times New Roman" w:eastAsia="Times New Roman" w:hAnsi="Times New Roman"/>
          <w:sz w:val="18"/>
          <w:szCs w:val="18"/>
          <w:color w:val="auto"/>
        </w:rPr>
        <w:t>2002.</w:t>
      </w:r>
    </w:p>
    <w:p>
      <w:pPr>
        <w:spacing w:after="0" w:line="16" w:lineRule="exact"/>
        <w:rPr>
          <w:sz w:val="20"/>
          <w:szCs w:val="20"/>
          <w:color w:val="auto"/>
        </w:rPr>
      </w:pPr>
    </w:p>
    <w:p>
      <w:pPr>
        <w:jc w:val="both"/>
        <w:ind w:left="940" w:hanging="793"/>
        <w:spacing w:after="0" w:line="217" w:lineRule="auto"/>
        <w:tabs>
          <w:tab w:leader="none" w:pos="9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Quarterly Report on Form 10-Q for the quarter ended March 31, 2026 are filed herewith, formatted in iXBRL (Inline Extensible Business Reporting Language): (i) the Condensed Consolidated Statements of Operations and Comprehensive Income for the three months ended March 31, 2026 and 2025, (ii) the Condensed Consolidated Balance Sheets as of March 31, 2026 and December 31, 2025, (iii) the Condensed Consolidated Statements of Cash Flows for the three months ended March 31, 2026 and 2025, (iv) the Condensed Consolidated Statements of Changes in Equity for the three months ended March 31, 2026 and 2025, (v) Notes to Condensed Consolidated Financial Statements, and (vi) the information included in Part II, Item 5(c). The instance document does not appear in the interactive data file because its XBRL tags are embedded within the Inline XBRL document.</w:t>
      </w:r>
    </w:p>
    <w:p>
      <w:pPr>
        <w:spacing w:after="0" w:line="4" w:lineRule="exact"/>
        <w:rPr>
          <w:sz w:val="20"/>
          <w:szCs w:val="20"/>
          <w:color w:val="auto"/>
        </w:rPr>
      </w:pPr>
    </w:p>
    <w:p>
      <w:pPr>
        <w:ind w:left="940" w:hanging="793"/>
        <w:spacing w:after="0"/>
        <w:tabs>
          <w:tab w:leader="none" w:pos="9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02"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April 28, 2026.</w:t>
      </w:r>
    </w:p>
    <w:p>
      <w:pPr>
        <w:spacing w:after="0" w:line="200" w:lineRule="exact"/>
        <w:rPr>
          <w:sz w:val="20"/>
          <w:szCs w:val="20"/>
          <w:color w:val="auto"/>
        </w:rPr>
      </w:pPr>
    </w:p>
    <w:p>
      <w:pPr>
        <w:spacing w:after="0" w:line="34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Nicholas J. Brazis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721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Nicholas J. Brazis</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8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Jennifer M.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721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72105"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Jennifer M. Hensley</w:t>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ind w:left="6700"/>
        <w:spacing w:after="0"/>
        <w:rPr>
          <w:sz w:val="20"/>
          <w:szCs w:val="20"/>
          <w:color w:val="auto"/>
        </w:rPr>
      </w:pPr>
      <w:r>
        <w:rPr>
          <w:rFonts w:ascii="Times New Roman" w:cs="Times New Roman" w:eastAsia="Times New Roman" w:hAnsi="Times New Roman"/>
          <w:sz w:val="18"/>
          <w:szCs w:val="18"/>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2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J. Brazis, certify that:</w:t>
      </w:r>
    </w:p>
    <w:p>
      <w:pPr>
        <w:spacing w:after="0" w:line="252"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Nicholas J. Brazis</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Nicholas J. Brazis</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March 31, 2026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March 31, 2026 as filed with the Securities and Exchange Commission on the date hereof (the “Report”), I, Nicholas J. Brazis, Executive Vice President and Chief Financial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Nicholas J. Brazis</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Nicholas J. Brazis</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0"/>
    </w:lvl>
  </w:abstractNum>
  <w:abstractNum w:abstractNumId="9">
    <w:nsid w:val="737B8DDC"/>
    <w:multiLevelType w:val="hybridMultilevel"/>
    <w:lvl w:ilvl="0">
      <w:lvlJc w:val="left"/>
      <w:lvlText w:val="•"/>
      <w:numFmt w:val="bullet"/>
      <w:start w:val="1"/>
    </w:lvl>
    <w:lvl w:ilvl="1">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1"/>
    </w:lvl>
  </w:abstractNum>
  <w:abstractNum w:abstractNumId="12">
    <w:nsid w:val="4516DDE9"/>
    <w:multiLevelType w:val="hybridMultilevel"/>
    <w:lvl w:ilvl="0">
      <w:lvlJc w:val="left"/>
      <w:lvlText w:val="%1."/>
      <w:numFmt w:val="decimal"/>
      <w:start w:val="13"/>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5"/>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lvl w:ilvl="1">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3"/>
    </w:lvl>
  </w:abstractNum>
  <w:abstractNum w:abstractNumId="46">
    <w:nsid w:val="749ABB43"/>
    <w:multiLevelType w:val="hybridMultilevel"/>
    <w:lvl w:ilvl="0">
      <w:lvlJc w:val="left"/>
      <w:lvlText w:val="%1"/>
      <w:numFmt w:val="decimal"/>
      <w:start w:val="22"/>
    </w:lvl>
  </w:abstractNum>
  <w:abstractNum w:abstractNumId="47">
    <w:nsid w:val="3DC240FB"/>
    <w:multiLevelType w:val="hybridMultilevel"/>
    <w:lvl w:ilvl="0">
      <w:lvlJc w:val="left"/>
      <w:lvlText w:val="%1"/>
      <w:numFmt w:val="decimal"/>
      <w:start w:val="101"/>
    </w:lvl>
  </w:abstractNum>
  <w:abstractNum w:abstractNumId="48">
    <w:nsid w:val="1BA026FA"/>
    <w:multiLevelType w:val="hybridMultilevel"/>
    <w:lvl w:ilvl="0">
      <w:lvlJc w:val="left"/>
      <w:lvlText w:val="%1"/>
      <w:numFmt w:val="decimal"/>
      <w:start w:val="10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1" Type="http://schemas.openxmlformats.org/officeDocument/2006/relationships/hyperlink" Target="https://www.sec.gov/Archives/edgar/data/77360/000007736025000047/ex101formofkeesaforlanceb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2026-04-28T17:34:40Z</dcterms:created>
  <dcterms:modified xsi:type="dcterms:W3CDTF">2026-04-28T17:34:40Z</dcterms:modified>
</cp:coreProperties>
</file>