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0"/>
        <w:jc w:val="left"/>
        <w:rPr>
          <w:color w:val="000000"/>
        </w:rPr>
      </w:pPr>
      <w:r>
        <w:rPr>
          <w:color w:val="000000"/>
        </w:rPr>
        <w:t> </w:t>
      </w:r>
    </w:p>
    <w:p>
      <w:pPr>
        <w:pStyle w:val="TextBody"/>
        <w:bidi w:val="0"/>
        <w:spacing w:lineRule="auto" w:line="333"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333"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33"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333" w:before="18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September 17, 2026</w:t>
      </w:r>
    </w:p>
    <w:p>
      <w:pPr>
        <w:pStyle w:val="TextBody"/>
        <w:bidi w:val="0"/>
        <w:spacing w:before="100" w:after="283"/>
        <w:jc w:val="center"/>
        <w:rPr/>
      </w:pPr>
      <w:r>
        <w:rPr/>
        <w:drawing>
          <wp:inline distT="0" distB="0" distL="0" distR="0">
            <wp:extent cx="19621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4953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Pentair plc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333" w:before="0" w:after="100"/>
        <w:jc w:val="left"/>
        <w:rPr>
          <w:color w:val="000000"/>
        </w:rPr>
      </w:pPr>
      <w:r>
        <w:rPr>
          <w:color w:val="000000"/>
        </w:rPr>
        <w:t> </w:t>
      </w:r>
    </w:p>
    <w:tbl>
      <w:tblPr>
        <w:tblW w:w="4738" w:type="dxa"/>
        <w:jc w:val="left"/>
        <w:tblInd w:w="0" w:type="dxa"/>
        <w:tblLayout w:type="fixed"/>
        <w:tblCellMar>
          <w:top w:w="28" w:type="dxa"/>
          <w:left w:w="28" w:type="dxa"/>
          <w:bottom w:w="28" w:type="dxa"/>
          <w:right w:w="28" w:type="dxa"/>
        </w:tblCellMar>
      </w:tblPr>
      <w:tblGrid>
        <w:gridCol w:w="809"/>
        <w:gridCol w:w="711"/>
        <w:gridCol w:w="715"/>
        <w:gridCol w:w="353"/>
        <w:gridCol w:w="353"/>
        <w:gridCol w:w="358"/>
        <w:gridCol w:w="420"/>
        <w:gridCol w:w="420"/>
        <w:gridCol w:w="59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001-11625</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88" w:before="0" w:after="3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r>
          </w:p>
          <w:p>
            <w:pPr>
              <w:pStyle w:val="TableContents"/>
              <w:bidi w:val="0"/>
              <w:spacing w:lineRule="auto" w:line="288" w:before="0" w:after="30"/>
              <w:jc w:val="center"/>
              <w:rPr>
                <w:rFonts w:ascii="Times New Roman;serif" w:hAnsi="Times New Roman;serif"/>
                <w:b w:val="false"/>
                <w:color w:val="000000"/>
                <w:sz w:val="16"/>
              </w:rPr>
            </w:pPr>
            <w:r>
              <w:rPr>
                <w:rFonts w:ascii="Times New Roman;serif" w:hAnsi="Times New Roman;serif"/>
                <w:b w:val="false"/>
                <w:color w:val="000000"/>
                <w:sz w:val="16"/>
              </w:rPr>
              <w:t>File No.)</w:t>
            </w:r>
          </w:p>
        </w:tc>
        <w:tc>
          <w:tcPr>
            <w:tcW w:w="14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3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Regal House, 70 London Road, Twickenham, London, TW13QS United Kingdom </w:t>
      </w:r>
    </w:p>
    <w:p>
      <w:pPr>
        <w:pStyle w:val="TextBody"/>
        <w:bidi w:val="0"/>
        <w:spacing w:lineRule="auto" w:line="333" w:before="0" w:after="0"/>
        <w:jc w:val="center"/>
        <w:rPr>
          <w:color w:val="000000"/>
        </w:rPr>
      </w:pPr>
      <w:r>
        <w:rPr>
          <w:color w:val="000000"/>
        </w:rPr>
        <w:t xml:space="preserve">         </w:t>
      </w:r>
      <w:r>
        <w:rPr>
          <w:rFonts w:ascii="Times New Roman;serif" w:hAnsi="Times New Roman;serif"/>
          <w:b w:val="false"/>
          <w:color w:val="000000"/>
          <w:sz w:val="16"/>
        </w:rPr>
        <w:t>(Address of principal executive offices)        (Zip Code)</w:t>
      </w:r>
    </w:p>
    <w:p>
      <w:pPr>
        <w:pStyle w:val="TextBody"/>
        <w:bidi w:val="0"/>
        <w:spacing w:lineRule="auto" w:line="333"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44-74-9421-6154 </w:t>
      </w:r>
    </w:p>
    <w:p>
      <w:pPr>
        <w:pStyle w:val="TextBody"/>
        <w:bidi w:val="0"/>
        <w:spacing w:lineRule="auto" w:line="333" w:before="0" w:after="0"/>
        <w:jc w:val="center"/>
        <w:rPr>
          <w:color w:val="000000"/>
        </w:rPr>
      </w:pPr>
      <w:r>
        <w:rPr>
          <w:color w:val="000000"/>
        </w:rPr>
        <w:t> </w:t>
      </w:r>
    </w:p>
    <w:p>
      <w:pPr>
        <w:pStyle w:val="TextBody"/>
        <w:bidi w:val="0"/>
        <w:spacing w:lineRule="auto" w:line="333" w:before="180" w:after="1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left"/>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0"/>
        </w:rPr>
        <w:t>Indicate by check mark whether the registrant is an emerging growth company as defined in Rule 405 of the Securities Act (17 CFR 230.405) or Rule 12b-2 of the Exchange Act (17 CFR 240.12b-2).</w:t>
      </w:r>
      <w:r>
        <w:rPr>
          <w:color w:val="000000"/>
        </w:rPr>
        <w:t xml:space="preserve"> ☐ </w:t>
      </w:r>
      <w:r>
        <w:rPr>
          <w:rFonts w:ascii="Times New Roman;serif" w:hAnsi="Times New Roman;serif"/>
          <w:b w:val="false"/>
          <w:color w:val="000000"/>
          <w:sz w:val="20"/>
        </w:rPr>
        <w:t>Emerging growth company</w:t>
      </w:r>
    </w:p>
    <w:p>
      <w:pPr>
        <w:pStyle w:val="TextBody"/>
        <w:bidi w:val="0"/>
        <w:spacing w:lineRule="auto" w:line="333"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17, 2026, the Board of Directors (the “Board”) of Pentair plc (the “Company”) appointed Louis V. Pinkham as a director of the Company and a member of the Audit and Finance Committee of the Board effective as of September 17, 2026. The Board has determined that Mr. Pinkham is independent based on New York Stock Exchange listing standards.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Mr. Pinkham will participate in the Company’s standard non-employee director compensation arrangements described under “Director Compensation” in the Company’s proxy statement filed with the U.S. Securities and Exchange Commission (the “SEC”) on March 20, 2026. Mr. Pinkham will enter into a Deed of Indemnification with the Company, as well as an Indemnification Agreement with Pentair Management Company, a subsidiary of the Company, the forms of which were filed as Exhibits 10.15 and 10.16, respectively to the Company’s Current Report on Form 8-K filed with the SEC on June 3,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Financial Statements of Businesses Acquired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 Shell Company Transactions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 listed in the Exhibit Index below is filed as part of this report.</w:t>
      </w:r>
    </w:p>
    <w:tbl>
      <w:tblPr>
        <w:tblW w:w="8132" w:type="dxa"/>
        <w:jc w:val="center"/>
        <w:tblInd w:w="0" w:type="dxa"/>
        <w:tblLayout w:type="fixed"/>
        <w:tblCellMar>
          <w:top w:w="28" w:type="dxa"/>
          <w:left w:w="28" w:type="dxa"/>
          <w:bottom w:w="28" w:type="dxa"/>
          <w:right w:w="28" w:type="dxa"/>
        </w:tblCellMar>
      </w:tblPr>
      <w:tblGrid>
        <w:gridCol w:w="151"/>
        <w:gridCol w:w="132"/>
        <w:gridCol w:w="132"/>
        <w:gridCol w:w="240"/>
        <w:gridCol w:w="240"/>
        <w:gridCol w:w="241"/>
        <w:gridCol w:w="132"/>
        <w:gridCol w:w="132"/>
        <w:gridCol w:w="132"/>
        <w:gridCol w:w="1933"/>
        <w:gridCol w:w="1933"/>
        <w:gridCol w:w="2734"/>
      </w:tblGrid>
      <w:tr>
        <w:trPr/>
        <w:tc>
          <w:tcPr>
            <w:tcW w:w="1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81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c>
      </w:tr>
      <w:tr>
        <w:trPr/>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415"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600" w:type="dxa"/>
            <w:gridSpan w:val="3"/>
            <w:tcBorders/>
            <w:vAlign w:val="center"/>
          </w:tcPr>
          <w:p>
            <w:pPr>
              <w:pStyle w:val="TableContents"/>
              <w:bidi w:val="0"/>
              <w:spacing w:before="0" w:after="283"/>
              <w:jc w:val="left"/>
              <w:rPr>
                <w:sz w:val="4"/>
                <w:szCs w:val="4"/>
              </w:rPr>
            </w:pPr>
            <w:r>
              <w:rPr>
                <w:sz w:val="4"/>
                <w:szCs w:val="4"/>
              </w:rPr>
            </w:r>
          </w:p>
        </w:tc>
      </w:tr>
      <w:tr>
        <w:trPr/>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September 18, 2026.</w:t>
      </w:r>
    </w:p>
    <w:tbl>
      <w:tblPr>
        <w:tblW w:w="5458"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394"/>
        <w:gridCol w:w="1394"/>
        <w:gridCol w:w="19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Lance T Bonner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Lance T Bonner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569</Words>
  <Characters>3166</Characters>
  <CharactersWithSpaces>3701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