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569595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8" w:lineRule="exact"/>
        <w:rPr>
          <w:sz w:val="24"/>
          <w:szCs w:val="24"/>
          <w:color w:val="auto"/>
        </w:rPr>
      </w:pPr>
    </w:p>
    <w:p>
      <w:pPr>
        <w:ind w:left="1120" w:hanging="1094"/>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26" w:lineRule="exact"/>
        <w:rPr>
          <w:rFonts w:ascii="MS PGothic" w:cs="MS PGothic" w:eastAsia="MS PGothic" w:hAnsi="MS PGothic"/>
          <w:sz w:val="18"/>
          <w:szCs w:val="18"/>
          <w:color w:val="auto"/>
        </w:rPr>
      </w:pPr>
    </w:p>
    <w:p>
      <w:pPr>
        <w:ind w:left="11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2023</w:t>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jc w:val="center"/>
        <w:ind w:left="4300" w:right="1420" w:hanging="4274"/>
        <w:spacing w:after="0" w:line="387" w:lineRule="auto"/>
        <w:tabs>
          <w:tab w:leader="none" w:pos="112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b w:val="1"/>
          <w:bCs w:val="1"/>
          <w:color w:val="auto"/>
        </w:rPr>
        <w:t>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-28575</wp:posOffset>
            </wp:positionV>
            <wp:extent cx="196278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jc w:val="center"/>
              <w:ind w:left="1350"/>
              <w:spacing w:after="0"/>
              <w:rPr>
                <w:sz w:val="20"/>
                <w:szCs w:val="20"/>
                <w:color w:val="auto"/>
              </w:rPr>
            </w:pPr>
            <w:r>
              <w:rPr>
                <w:rFonts w:ascii="Arial" w:cs="Arial" w:eastAsia="Arial" w:hAnsi="Arial"/>
                <w:sz w:val="18"/>
                <w:szCs w:val="18"/>
                <w:b w:val="1"/>
                <w:bCs w:val="1"/>
                <w:color w:val="auto"/>
                <w:w w:val="94"/>
              </w:rPr>
              <w:t>Ireland</w:t>
            </w:r>
          </w:p>
        </w:tc>
        <w:tc>
          <w:tcPr>
            <w:tcW w:w="1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right"/>
              <w:ind w:right="2290"/>
              <w:spacing w:after="0"/>
              <w:rPr>
                <w:sz w:val="20"/>
                <w:szCs w:val="20"/>
                <w:color w:val="auto"/>
              </w:rPr>
            </w:pPr>
            <w:r>
              <w:rPr>
                <w:rFonts w:ascii="Arial" w:cs="Arial" w:eastAsia="Arial" w:hAnsi="Arial"/>
                <w:sz w:val="18"/>
                <w:szCs w:val="18"/>
                <w:b w:val="1"/>
                <w:bCs w:val="1"/>
                <w:color w:val="auto"/>
                <w:w w:val="99"/>
              </w:rPr>
              <w:t>98-1141328</w:t>
            </w:r>
          </w:p>
        </w:tc>
      </w:tr>
      <w:tr>
        <w:trPr>
          <w:trHeight w:val="224"/>
        </w:trPr>
        <w:tc>
          <w:tcPr>
            <w:tcW w:w="574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500" w:type="dxa"/>
            <w:vAlign w:val="bottom"/>
            <w:gridSpan w:val="3"/>
          </w:tcPr>
          <w:p>
            <w:pPr>
              <w:jc w:val="right"/>
              <w:ind w:right="2110"/>
              <w:spacing w:after="0"/>
              <w:rPr>
                <w:sz w:val="20"/>
                <w:szCs w:val="20"/>
                <w:color w:val="auto"/>
              </w:rPr>
            </w:pPr>
            <w:r>
              <w:rPr>
                <w:rFonts w:ascii="Arial" w:cs="Arial" w:eastAsia="Arial" w:hAnsi="Arial"/>
                <w:sz w:val="18"/>
                <w:szCs w:val="18"/>
                <w:color w:val="auto"/>
              </w:rPr>
              <w:t>(I.R.S. Employer Identification No.)</w:t>
            </w:r>
          </w:p>
        </w:tc>
      </w:tr>
      <w:tr>
        <w:trPr>
          <w:trHeight w:val="283"/>
        </w:trPr>
        <w:tc>
          <w:tcPr>
            <w:tcW w:w="4200" w:type="dxa"/>
            <w:vAlign w:val="bottom"/>
          </w:tcPr>
          <w:p>
            <w:pPr>
              <w:ind w:left="1580"/>
              <w:spacing w:after="0"/>
              <w:rPr>
                <w:sz w:val="20"/>
                <w:szCs w:val="20"/>
                <w:color w:val="auto"/>
              </w:rPr>
            </w:pPr>
            <w:r>
              <w:rPr>
                <w:rFonts w:ascii="Arial" w:cs="Arial" w:eastAsia="Arial" w:hAnsi="Arial"/>
                <w:sz w:val="18"/>
                <w:szCs w:val="18"/>
                <w:b w:val="1"/>
                <w:bCs w:val="1"/>
                <w:color w:val="auto"/>
                <w:w w:val="98"/>
              </w:rPr>
              <w:t>Regal House, 70 London Road,</w:t>
            </w:r>
          </w:p>
        </w:tc>
        <w:tc>
          <w:tcPr>
            <w:tcW w:w="1540" w:type="dxa"/>
            <w:vAlign w:val="bottom"/>
          </w:tcPr>
          <w:p>
            <w:pPr>
              <w:ind w:left="240"/>
              <w:spacing w:after="0"/>
              <w:rPr>
                <w:sz w:val="20"/>
                <w:szCs w:val="20"/>
                <w:color w:val="auto"/>
              </w:rPr>
            </w:pPr>
            <w:r>
              <w:rPr>
                <w:rFonts w:ascii="Arial" w:cs="Arial" w:eastAsia="Arial" w:hAnsi="Arial"/>
                <w:sz w:val="18"/>
                <w:szCs w:val="18"/>
                <w:b w:val="1"/>
                <w:bCs w:val="1"/>
                <w:color w:val="auto"/>
              </w:rPr>
              <w:t>Twickenham,</w:t>
            </w: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London,</w:t>
            </w: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rPr>
              <w:t>TW13QS</w:t>
            </w:r>
          </w:p>
        </w:tc>
        <w:tc>
          <w:tcPr>
            <w:tcW w:w="3360" w:type="dxa"/>
            <w:vAlign w:val="bottom"/>
          </w:tcPr>
          <w:p>
            <w:pPr>
              <w:jc w:val="right"/>
              <w:ind w:right="1410"/>
              <w:spacing w:after="0"/>
              <w:rPr>
                <w:sz w:val="20"/>
                <w:szCs w:val="20"/>
                <w:color w:val="auto"/>
              </w:rPr>
            </w:pPr>
            <w:r>
              <w:rPr>
                <w:rFonts w:ascii="Arial" w:cs="Arial" w:eastAsia="Arial" w:hAnsi="Arial"/>
                <w:sz w:val="18"/>
                <w:szCs w:val="18"/>
                <w:b w:val="1"/>
                <w:bCs w:val="1"/>
                <w:color w:val="auto"/>
              </w:rPr>
              <w:t>United Kingdom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500"/>
        <w:spacing w:after="0"/>
        <w:rPr>
          <w:sz w:val="20"/>
          <w:szCs w:val="20"/>
          <w:color w:val="auto"/>
        </w:rPr>
      </w:pPr>
      <w:r>
        <w:rPr>
          <w:rFonts w:ascii="Arial" w:cs="Arial" w:eastAsia="Arial" w:hAnsi="Arial"/>
          <w:sz w:val="18"/>
          <w:szCs w:val="18"/>
          <w:color w:val="auto"/>
        </w:rPr>
        <w:t>(Address of principal executive offices)</w:t>
      </w:r>
    </w:p>
    <w:p>
      <w:pPr>
        <w:spacing w:after="0" w:line="16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44-74-9421-6154</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Title of each class</w:t>
            </w:r>
          </w:p>
        </w:tc>
        <w:tc>
          <w:tcPr>
            <w:tcW w:w="24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2"/>
              </w:rPr>
              <w:t>Trading Symbol(s)</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4760" w:type="dxa"/>
            <w:vAlign w:val="bottom"/>
          </w:tcPr>
          <w:p>
            <w:pPr>
              <w:jc w:val="center"/>
              <w:ind w:left="70"/>
              <w:spacing w:after="0"/>
              <w:rPr>
                <w:sz w:val="20"/>
                <w:szCs w:val="20"/>
                <w:color w:val="auto"/>
              </w:rPr>
            </w:pPr>
            <w:r>
              <w:rPr>
                <w:rFonts w:ascii="Arial" w:cs="Arial" w:eastAsia="Arial" w:hAnsi="Arial"/>
                <w:sz w:val="18"/>
                <w:szCs w:val="18"/>
                <w:color w:val="auto"/>
                <w:w w:val="89"/>
              </w:rPr>
              <w:t>Ordinary Shares, nominal value $0.01 per share</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94"/>
              </w:rPr>
              <w:t>PNR</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7"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tcPr>
          <w:p>
            <w:pPr>
              <w:spacing w:after="0"/>
              <w:rPr>
                <w:sz w:val="18"/>
                <w:szCs w:val="18"/>
                <w:color w:val="auto"/>
              </w:rPr>
            </w:pPr>
          </w:p>
        </w:tc>
        <w:tc>
          <w:tcPr>
            <w:tcW w:w="54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5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6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1"/>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40" w:type="dxa"/>
            <w:vAlign w:val="bottom"/>
            <w:vMerge w:val="continue"/>
          </w:tcPr>
          <w:p>
            <w:pPr>
              <w:spacing w:after="0"/>
              <w:rPr>
                <w:sz w:val="23"/>
                <w:szCs w:val="23"/>
                <w:color w:val="auto"/>
              </w:rPr>
            </w:pPr>
          </w:p>
        </w:tc>
        <w:tc>
          <w:tcPr>
            <w:tcW w:w="1960" w:type="dxa"/>
            <w:vAlign w:val="bottom"/>
            <w:vMerge w:val="continue"/>
          </w:tcPr>
          <w:p>
            <w:pPr>
              <w:spacing w:after="0"/>
              <w:rPr>
                <w:sz w:val="23"/>
                <w:szCs w:val="23"/>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w w:val="99"/>
              </w:rPr>
              <w:t>Non-accelerated filer</w:t>
            </w:r>
          </w:p>
        </w:tc>
        <w:tc>
          <w:tcPr>
            <w:tcW w:w="580" w:type="dxa"/>
            <w:vAlign w:val="bottom"/>
            <w:vMerge w:val="continue"/>
          </w:tcPr>
          <w:p>
            <w:pPr>
              <w:spacing w:after="0"/>
              <w:rPr>
                <w:sz w:val="23"/>
                <w:szCs w:val="23"/>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600" w:type="dxa"/>
            <w:vAlign w:val="bottom"/>
            <w:vMerge w:val="continue"/>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2020"/>
        <w:spacing w:after="0" w:line="28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September 30, 2023, 165,298,959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40" w:type="dxa"/>
            <w:vAlign w:val="bottom"/>
            <w:gridSpan w:val="9"/>
          </w:tcPr>
          <w:p>
            <w:pPr>
              <w:ind w:left="120"/>
              <w:spacing w:after="0"/>
              <w:rPr>
                <w:sz w:val="20"/>
                <w:szCs w:val="20"/>
                <w:color w:val="auto"/>
              </w:rPr>
            </w:pPr>
            <w:r>
              <w:rPr>
                <w:rFonts w:ascii="Arial" w:cs="Arial" w:eastAsia="Arial" w:hAnsi="Arial"/>
                <w:sz w:val="18"/>
                <w:szCs w:val="18"/>
                <w:b w:val="1"/>
                <w:bCs w:val="1"/>
                <w:color w:val="auto"/>
              </w:rPr>
              <w:t>Pentair plc and Subsidiaries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40"/>
        </w:trPr>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Page</w:t>
            </w:r>
          </w:p>
        </w:tc>
      </w:tr>
      <w:tr>
        <w:trPr>
          <w:trHeight w:val="439"/>
        </w:trPr>
        <w:tc>
          <w:tcPr>
            <w:tcW w:w="10240" w:type="dxa"/>
            <w:vAlign w:val="bottom"/>
            <w:gridSpan w:val="18"/>
          </w:tcPr>
          <w:p>
            <w:pPr>
              <w:spacing w:after="0"/>
              <w:rPr>
                <w:sz w:val="20"/>
                <w:szCs w:val="20"/>
                <w:color w:val="auto"/>
              </w:rPr>
            </w:pPr>
            <w:r>
              <w:rPr>
                <w:rFonts w:ascii="Arial" w:cs="Arial" w:eastAsia="Arial" w:hAnsi="Arial"/>
                <w:sz w:val="18"/>
                <w:szCs w:val="18"/>
                <w:b w:val="1"/>
                <w:bCs w:val="1"/>
                <w:color w:val="auto"/>
              </w:rPr>
              <w:t>PART I FINANCIAL INFORMATION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1.</w:t>
            </w:r>
          </w:p>
        </w:tc>
        <w:tc>
          <w:tcPr>
            <w:tcW w:w="8200" w:type="dxa"/>
            <w:vAlign w:val="bottom"/>
            <w:gridSpan w:val="17"/>
          </w:tcPr>
          <w:p>
            <w:pPr>
              <w:spacing w:after="0"/>
              <w:rPr>
                <w:sz w:val="20"/>
                <w:szCs w:val="20"/>
                <w:color w:val="auto"/>
              </w:rPr>
            </w:pPr>
            <w:r>
              <w:rPr>
                <w:rFonts w:ascii="Arial" w:cs="Arial" w:eastAsia="Arial" w:hAnsi="Arial"/>
                <w:sz w:val="18"/>
                <w:szCs w:val="18"/>
                <w:color w:val="0000FF"/>
              </w:rPr>
              <w:t>Financial Statements (unaudited)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57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8"/>
              </w:rPr>
              <w:t>Condensed Consolidated Statements of Operations and Comprehensive Income</w:t>
            </w:r>
          </w:p>
        </w:tc>
        <w:tc>
          <w:tcPr>
            <w:tcW w:w="2480" w:type="dxa"/>
            <w:vAlign w:val="bottom"/>
            <w:gridSpan w:val="3"/>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3</w:t>
            </w:r>
          </w:p>
        </w:tc>
        <w:tc>
          <w:tcPr>
            <w:tcW w:w="420" w:type="dxa"/>
            <w:vAlign w:val="bottom"/>
          </w:tcPr>
          <w:p>
            <w:pPr>
              <w:spacing w:after="0"/>
              <w:rPr>
                <w:sz w:val="22"/>
                <w:szCs w:val="22"/>
                <w:color w:val="auto"/>
              </w:rPr>
            </w:pPr>
          </w:p>
        </w:tc>
      </w:tr>
      <w:tr>
        <w:trPr>
          <w:trHeight w:val="264"/>
        </w:trPr>
        <w:tc>
          <w:tcPr>
            <w:tcW w:w="2040" w:type="dxa"/>
            <w:vAlign w:val="bottom"/>
          </w:tcPr>
          <w:p>
            <w:pPr>
              <w:spacing w:after="0"/>
              <w:rPr>
                <w:sz w:val="22"/>
                <w:szCs w:val="22"/>
                <w:color w:val="auto"/>
              </w:rPr>
            </w:pPr>
          </w:p>
        </w:tc>
        <w:tc>
          <w:tcPr>
            <w:tcW w:w="820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4</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0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5</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0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Changes in Equity</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6</w:t>
            </w:r>
          </w:p>
        </w:tc>
        <w:tc>
          <w:tcPr>
            <w:tcW w:w="420" w:type="dxa"/>
            <w:vAlign w:val="bottom"/>
          </w:tcPr>
          <w:p>
            <w:pPr>
              <w:spacing w:after="0"/>
              <w:rPr>
                <w:sz w:val="22"/>
                <w:szCs w:val="22"/>
                <w:color w:val="auto"/>
              </w:rPr>
            </w:pPr>
          </w:p>
        </w:tc>
      </w:tr>
      <w:tr>
        <w:trPr>
          <w:trHeight w:val="263"/>
        </w:trPr>
        <w:tc>
          <w:tcPr>
            <w:tcW w:w="2040" w:type="dxa"/>
            <w:vAlign w:val="bottom"/>
          </w:tcPr>
          <w:p>
            <w:pPr>
              <w:spacing w:after="0"/>
              <w:rPr>
                <w:sz w:val="22"/>
                <w:szCs w:val="22"/>
                <w:color w:val="auto"/>
              </w:rPr>
            </w:pPr>
          </w:p>
        </w:tc>
        <w:tc>
          <w:tcPr>
            <w:tcW w:w="41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w w:val="93"/>
              </w:rPr>
              <w:t>Notes to Condensed Consolidated Financial Statements</w:t>
            </w:r>
          </w:p>
        </w:tc>
        <w:tc>
          <w:tcPr>
            <w:tcW w:w="4020" w:type="dxa"/>
            <w:vAlign w:val="bottom"/>
            <w:gridSpan w:val="5"/>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8"/>
                <w:szCs w:val="18"/>
                <w:color w:val="0000FF"/>
                <w:w w:val="99"/>
              </w:rPr>
              <w:t>8</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2.</w:t>
            </w:r>
          </w:p>
        </w:tc>
        <w:tc>
          <w:tcPr>
            <w:tcW w:w="820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23</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3.</w:t>
            </w:r>
          </w:p>
        </w:tc>
        <w:tc>
          <w:tcPr>
            <w:tcW w:w="4300" w:type="dxa"/>
            <w:vAlign w:val="bottom"/>
            <w:gridSpan w:val="13"/>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40" w:type="dxa"/>
            <w:vAlign w:val="bottom"/>
            <w:gridSpan w:val="2"/>
          </w:tcPr>
          <w:p>
            <w:pPr>
              <w:spacing w:after="0"/>
              <w:rPr>
                <w:sz w:val="22"/>
                <w:szCs w:val="22"/>
                <w:color w:val="auto"/>
              </w:rPr>
            </w:pPr>
          </w:p>
        </w:tc>
        <w:tc>
          <w:tcPr>
            <w:tcW w:w="1760" w:type="dxa"/>
            <w:vAlign w:val="bottom"/>
            <w:gridSpan w:val="2"/>
          </w:tcPr>
          <w:p>
            <w:pPr>
              <w:spacing w:after="0"/>
              <w:rPr>
                <w:sz w:val="22"/>
                <w:szCs w:val="22"/>
                <w:color w:val="auto"/>
              </w:rPr>
            </w:pP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38</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gridSpan w:val="7"/>
          </w:tcPr>
          <w:p>
            <w:pPr>
              <w:spacing w:after="0"/>
              <w:rPr>
                <w:sz w:val="20"/>
                <w:szCs w:val="20"/>
                <w:color w:val="auto"/>
              </w:rPr>
            </w:pPr>
            <w:r>
              <w:rPr>
                <w:rFonts w:ascii="Arial" w:cs="Arial" w:eastAsia="Arial" w:hAnsi="Arial"/>
                <w:sz w:val="18"/>
                <w:szCs w:val="18"/>
                <w:color w:val="0000FF"/>
                <w:w w:val="87"/>
              </w:rPr>
              <w:t>Controls and Procedures</w:t>
            </w:r>
          </w:p>
        </w:tc>
        <w:tc>
          <w:tcPr>
            <w:tcW w:w="2540" w:type="dxa"/>
            <w:vAlign w:val="bottom"/>
            <w:gridSpan w:val="6"/>
          </w:tcPr>
          <w:p>
            <w:pPr>
              <w:spacing w:after="0"/>
              <w:rPr>
                <w:sz w:val="22"/>
                <w:szCs w:val="22"/>
                <w:color w:val="auto"/>
              </w:rPr>
            </w:pPr>
          </w:p>
        </w:tc>
        <w:tc>
          <w:tcPr>
            <w:tcW w:w="3900" w:type="dxa"/>
            <w:vAlign w:val="bottom"/>
            <w:gridSpan w:val="4"/>
          </w:tcPr>
          <w:p>
            <w:pPr>
              <w:spacing w:after="0"/>
              <w:rPr>
                <w:sz w:val="22"/>
                <w:szCs w:val="22"/>
                <w:color w:val="auto"/>
              </w:rPr>
            </w:pP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38</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38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10240" w:type="dxa"/>
            <w:vAlign w:val="bottom"/>
            <w:gridSpan w:val="18"/>
          </w:tcPr>
          <w:p>
            <w:pPr>
              <w:spacing w:after="0"/>
              <w:rPr>
                <w:sz w:val="20"/>
                <w:szCs w:val="20"/>
                <w:color w:val="auto"/>
              </w:rPr>
            </w:pPr>
            <w:r>
              <w:rPr>
                <w:rFonts w:ascii="Arial" w:cs="Arial" w:eastAsia="Arial" w:hAnsi="Arial"/>
                <w:sz w:val="18"/>
                <w:szCs w:val="18"/>
                <w:b w:val="1"/>
                <w:bCs w:val="1"/>
                <w:color w:val="auto"/>
              </w:rPr>
              <w:t>PART II OTHER INFORMATION</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1.</w:t>
            </w:r>
          </w:p>
        </w:tc>
        <w:tc>
          <w:tcPr>
            <w:tcW w:w="820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38</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sz w:val="20"/>
                <w:szCs w:val="20"/>
                <w:color w:val="auto"/>
              </w:rPr>
            </w:pPr>
            <w:r>
              <w:rPr>
                <w:rFonts w:ascii="Arial" w:cs="Arial" w:eastAsia="Arial" w:hAnsi="Arial"/>
                <w:sz w:val="18"/>
                <w:szCs w:val="18"/>
                <w:color w:val="0000FF"/>
                <w:w w:val="87"/>
              </w:rPr>
              <w:t>Risk Factors</w:t>
            </w:r>
          </w:p>
        </w:tc>
        <w:tc>
          <w:tcPr>
            <w:tcW w:w="400" w:type="dxa"/>
            <w:vAlign w:val="bottom"/>
            <w:gridSpan w:val="2"/>
          </w:tcPr>
          <w:p>
            <w:pPr>
              <w:spacing w:after="0"/>
              <w:rPr>
                <w:sz w:val="22"/>
                <w:szCs w:val="22"/>
                <w:color w:val="auto"/>
              </w:rPr>
            </w:pPr>
          </w:p>
        </w:tc>
        <w:tc>
          <w:tcPr>
            <w:tcW w:w="6900" w:type="dxa"/>
            <w:vAlign w:val="bottom"/>
            <w:gridSpan w:val="11"/>
          </w:tcPr>
          <w:p>
            <w:pPr>
              <w:spacing w:after="0"/>
              <w:rPr>
                <w:sz w:val="22"/>
                <w:szCs w:val="22"/>
                <w:color w:val="auto"/>
              </w:rPr>
            </w:pP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38</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2.</w:t>
            </w:r>
          </w:p>
        </w:tc>
        <w:tc>
          <w:tcPr>
            <w:tcW w:w="820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39</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5.</w:t>
            </w:r>
          </w:p>
        </w:tc>
        <w:tc>
          <w:tcPr>
            <w:tcW w:w="714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1060" w:type="dxa"/>
            <w:vAlign w:val="bottom"/>
          </w:tcPr>
          <w:p>
            <w:pPr>
              <w:spacing w:after="0"/>
              <w:rPr>
                <w:sz w:val="22"/>
                <w:szCs w:val="22"/>
                <w:color w:val="auto"/>
              </w:rPr>
            </w:pP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39</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gridSpan w:val="5"/>
          </w:tcPr>
          <w:p>
            <w:pPr>
              <w:spacing w:after="0"/>
              <w:rPr>
                <w:sz w:val="22"/>
                <w:szCs w:val="22"/>
                <w:color w:val="auto"/>
              </w:rPr>
            </w:pPr>
          </w:p>
        </w:tc>
        <w:tc>
          <w:tcPr>
            <w:tcW w:w="6900" w:type="dxa"/>
            <w:vAlign w:val="bottom"/>
            <w:gridSpan w:val="11"/>
          </w:tcPr>
          <w:p>
            <w:pPr>
              <w:spacing w:after="0"/>
              <w:rPr>
                <w:sz w:val="22"/>
                <w:szCs w:val="22"/>
                <w:color w:val="auto"/>
              </w:rPr>
            </w:pP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41</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40" w:type="dxa"/>
            <w:vAlign w:val="bottom"/>
            <w:gridSpan w:val="14"/>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w w:val="85"/>
              </w:rPr>
              <w:t>Signatures</w:t>
            </w:r>
          </w:p>
        </w:tc>
        <w:tc>
          <w:tcPr>
            <w:tcW w:w="7440" w:type="dxa"/>
            <w:vAlign w:val="bottom"/>
            <w:gridSpan w:val="14"/>
          </w:tcPr>
          <w:p>
            <w:pPr>
              <w:spacing w:after="0"/>
              <w:rPr>
                <w:sz w:val="22"/>
                <w:szCs w:val="22"/>
                <w:color w:val="auto"/>
              </w:rPr>
            </w:pPr>
          </w:p>
        </w:tc>
        <w:tc>
          <w:tcPr>
            <w:tcW w:w="520" w:type="dxa"/>
            <w:vAlign w:val="bottom"/>
            <w:gridSpan w:val="2"/>
          </w:tcPr>
          <w:p>
            <w:pPr>
              <w:jc w:val="center"/>
              <w:ind w:left="250"/>
              <w:spacing w:after="0"/>
              <w:rPr>
                <w:sz w:val="20"/>
                <w:szCs w:val="20"/>
                <w:color w:val="auto"/>
              </w:rPr>
            </w:pPr>
            <w:r>
              <w:rPr>
                <w:rFonts w:ascii="Arial" w:cs="Arial" w:eastAsia="Arial" w:hAnsi="Arial"/>
                <w:sz w:val="18"/>
                <w:szCs w:val="18"/>
                <w:color w:val="0000FF"/>
                <w:w w:val="89"/>
              </w:rPr>
              <w:t>42</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gridSpan w:val="6"/>
          </w:tcPr>
          <w:p>
            <w:pPr>
              <w:jc w:val="center"/>
              <w:ind w:left="287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52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0"/>
        </w:trPr>
        <w:tc>
          <w:tcPr>
            <w:tcW w:w="6720" w:type="dxa"/>
            <w:vAlign w:val="bottom"/>
            <w:gridSpan w:val="3"/>
          </w:tcPr>
          <w:p>
            <w:pPr>
              <w:jc w:val="center"/>
              <w:ind w:left="4430"/>
              <w:spacing w:after="0"/>
              <w:rPr>
                <w:sz w:val="20"/>
                <w:szCs w:val="20"/>
                <w:color w:val="auto"/>
              </w:rPr>
            </w:pPr>
            <w:r>
              <w:rPr>
                <w:rFonts w:ascii="Arial" w:cs="Arial" w:eastAsia="Arial" w:hAnsi="Arial"/>
                <w:sz w:val="18"/>
                <w:szCs w:val="18"/>
                <w:b w:val="1"/>
                <w:bCs w:val="1"/>
                <w:color w:val="auto"/>
                <w:w w:val="89"/>
              </w:rPr>
              <w:t>Pentair plc and Subsidiaries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9760" w:type="dxa"/>
            <w:vAlign w:val="bottom"/>
            <w:gridSpan w:val="8"/>
          </w:tcPr>
          <w:p>
            <w:pPr>
              <w:jc w:val="center"/>
              <w:ind w:left="1410"/>
              <w:spacing w:after="0"/>
              <w:rPr>
                <w:sz w:val="20"/>
                <w:szCs w:val="20"/>
                <w:color w:val="auto"/>
              </w:rPr>
            </w:pPr>
            <w:r>
              <w:rPr>
                <w:rFonts w:ascii="Arial" w:cs="Arial" w:eastAsia="Arial" w:hAnsi="Arial"/>
                <w:sz w:val="18"/>
                <w:szCs w:val="18"/>
                <w:b w:val="1"/>
                <w:bCs w:val="1"/>
                <w:color w:val="auto"/>
                <w:w w:val="89"/>
              </w:rPr>
              <w:t>Condensed Consolidated Statements of Operations and Comprehensive Income (Unaudited)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51"/>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4"/>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r>
      <w:tr>
        <w:trPr>
          <w:trHeight w:val="24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3,118.9</w:t>
            </w:r>
          </w:p>
        </w:tc>
      </w:tr>
      <w:tr>
        <w:trPr>
          <w:trHeight w:val="22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1,966.8</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2,079.1</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1,039.8</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504.6</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487.0</w:t>
            </w:r>
          </w:p>
        </w:tc>
      </w:tr>
      <w:tr>
        <w:trPr>
          <w:trHeight w:val="229"/>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180.1</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572.2</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483.7</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Gain on sale of businesses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2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2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r>
      <w:tr>
        <w:trPr>
          <w:trHeight w:val="22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from continuing operations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r>
      <w:tr>
        <w:trPr>
          <w:trHeight w:val="22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1"/>
        </w:trPr>
        <w:tc>
          <w:tcPr>
            <w:tcW w:w="52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132.1</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115.4</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414.7</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385.9</w:t>
            </w: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Comprehensive income, net of tax</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Changes in cumulative translation adjustment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(113.2)</w:t>
            </w:r>
          </w:p>
        </w:tc>
      </w:tr>
      <w:tr>
        <w:trPr>
          <w:trHeight w:val="229"/>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Changes in market value of derivative financial instruments, net of tax</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2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ordinary share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48"/>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 earnings per ordinary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40" w:type="dxa"/>
            <w:vAlign w:val="bottom"/>
          </w:tcPr>
          <w:p>
            <w:pPr>
              <w:ind w:left="20"/>
              <w:spacing w:after="0" w:line="203" w:lineRule="exact"/>
              <w:rPr>
                <w:sz w:val="20"/>
                <w:szCs w:val="20"/>
                <w:color w:val="auto"/>
              </w:rPr>
            </w:pPr>
            <w:r>
              <w:rPr>
                <w:rFonts w:ascii="Arial" w:cs="Arial" w:eastAsia="Arial" w:hAnsi="Arial"/>
                <w:sz w:val="18"/>
                <w:szCs w:val="18"/>
                <w:b w:val="1"/>
                <w:bCs w:val="1"/>
                <w:i w:val="1"/>
                <w:iCs w:val="1"/>
                <w:color w:val="auto"/>
              </w:rPr>
              <w:t>Diluted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48"/>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Weighted average ordinary shares outstanding</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166.6</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166.2</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165.8</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7"/>
                <w:szCs w:val="17"/>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4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 except per-share data</w:t>
            </w:r>
          </w:p>
        </w:tc>
        <w:tc>
          <w:tcPr>
            <w:tcW w:w="5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7660" w:type="dxa"/>
            <w:vAlign w:val="bottom"/>
            <w:shd w:val="clear" w:color="auto" w:fill="CCEEFF"/>
          </w:tcPr>
          <w:p>
            <w:pPr>
              <w:ind w:left="5340"/>
              <w:spacing w:after="0"/>
              <w:rPr>
                <w:sz w:val="20"/>
                <w:szCs w:val="20"/>
                <w:color w:val="auto"/>
              </w:rPr>
            </w:pPr>
            <w:r>
              <w:rPr>
                <w:rFonts w:ascii="Arial" w:cs="Arial" w:eastAsia="Arial" w:hAnsi="Arial"/>
                <w:sz w:val="18"/>
                <w:szCs w:val="18"/>
                <w:b w:val="1"/>
                <w:bCs w:val="1"/>
                <w:color w:val="auto"/>
              </w:rPr>
              <w:t>Assets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Accounts receivable, net of allowances of $10.7 and $10.8, respectively</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507.0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531.5</w:t>
            </w:r>
          </w:p>
        </w:tc>
      </w:tr>
      <w:tr>
        <w:trPr>
          <w:trHeight w:val="229"/>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r>
      <w:tr>
        <w:trPr>
          <w:trHeight w:val="230"/>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r>
      <w:tr>
        <w:trPr>
          <w:trHeight w:val="223"/>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1,558.5</w:t>
            </w:r>
          </w:p>
        </w:tc>
      </w:tr>
      <w:tr>
        <w:trPr>
          <w:trHeight w:val="230"/>
        </w:trPr>
        <w:tc>
          <w:tcPr>
            <w:tcW w:w="76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344.5</w:t>
            </w:r>
          </w:p>
        </w:tc>
      </w:tr>
      <w:tr>
        <w:trPr>
          <w:trHeight w:val="229"/>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3,242.5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3,252.6</w:t>
            </w:r>
          </w:p>
        </w:tc>
      </w:tr>
      <w:tr>
        <w:trPr>
          <w:trHeight w:val="23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w:t>
            </w:r>
          </w:p>
        </w:tc>
      </w:tr>
      <w:tr>
        <w:trPr>
          <w:trHeight w:val="229"/>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r>
      <w:tr>
        <w:trPr>
          <w:trHeight w:val="223"/>
        </w:trPr>
        <w:tc>
          <w:tcPr>
            <w:tcW w:w="7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4,561.1</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4,544.5</w:t>
            </w:r>
          </w:p>
        </w:tc>
      </w:t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6,447.5</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7660" w:type="dxa"/>
            <w:vAlign w:val="bottom"/>
            <w:shd w:val="clear" w:color="auto" w:fill="CCEEFF"/>
          </w:tcPr>
          <w:p>
            <w:pPr>
              <w:ind w:left="4740"/>
              <w:spacing w:after="0"/>
              <w:rPr>
                <w:sz w:val="20"/>
                <w:szCs w:val="20"/>
                <w:color w:val="auto"/>
              </w:rPr>
            </w:pPr>
            <w:r>
              <w:rPr>
                <w:rFonts w:ascii="Arial" w:cs="Arial" w:eastAsia="Arial" w:hAnsi="Arial"/>
                <w:sz w:val="18"/>
                <w:szCs w:val="18"/>
                <w:b w:val="1"/>
                <w:bCs w:val="1"/>
                <w:color w:val="auto"/>
              </w:rPr>
              <w:t>Liabilities and Equity</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29"/>
        </w:trPr>
        <w:tc>
          <w:tcPr>
            <w:tcW w:w="7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1,001.9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1,063.1</w:t>
            </w:r>
          </w:p>
        </w:tc>
      </w:tr>
      <w:tr>
        <w:trPr>
          <w:trHeight w:val="230"/>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Long-term debt</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1,993.6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2,317.3</w:t>
            </w:r>
          </w:p>
        </w:tc>
      </w:tr>
      <w:tr>
        <w:trPr>
          <w:trHeight w:val="229"/>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compensation and benefits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30"/>
        </w:trPr>
        <w:tc>
          <w:tcPr>
            <w:tcW w:w="7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3,370.1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3,739.4</w:t>
            </w:r>
          </w:p>
        </w:tc>
      </w:tr>
      <w:tr>
        <w:trPr>
          <w:trHeight w:val="23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75"/>
        </w:trPr>
        <w:tc>
          <w:tcPr>
            <w:tcW w:w="7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Ordinary shares $0.01 par value, 426.0 authorized, 165.3 and 164.5 issued at September 30, 2023 and</w:t>
            </w:r>
          </w:p>
        </w:tc>
        <w:tc>
          <w:tcPr>
            <w:tcW w:w="5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2022, respectively</w:t>
            </w:r>
          </w:p>
        </w:tc>
        <w:tc>
          <w:tcPr>
            <w:tcW w:w="5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1,585.2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1,554.9</w:t>
            </w:r>
          </w:p>
        </w:tc>
      </w:tr>
      <w:tr>
        <w:trPr>
          <w:trHeight w:val="229"/>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1,390.5</w:t>
            </w:r>
          </w:p>
        </w:tc>
      </w:tr>
      <w:tr>
        <w:trPr>
          <w:trHeight w:val="230"/>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r>
      <w:tr>
        <w:trPr>
          <w:trHeight w:val="223"/>
        </w:trPr>
        <w:tc>
          <w:tcPr>
            <w:tcW w:w="7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3,040.9</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2,708.1</w:t>
            </w:r>
          </w:p>
        </w:tc>
      </w:t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6,447.5</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8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4"/>
                <w:szCs w:val="14"/>
                <w:color w:val="auto"/>
              </w:rPr>
            </w:pPr>
          </w:p>
        </w:tc>
        <w:tc>
          <w:tcPr>
            <w:tcW w:w="142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4"/>
              </w:rPr>
              <w:t>September 30,</w:t>
            </w:r>
          </w:p>
        </w:tc>
      </w:tr>
      <w:tr>
        <w:trPr>
          <w:trHeight w:val="243"/>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414.7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385.9</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175"/>
        </w:trPr>
        <w:tc>
          <w:tcPr>
            <w:tcW w:w="8000" w:type="dxa"/>
            <w:vAlign w:val="bottom"/>
          </w:tcPr>
          <w:p>
            <w:pPr>
              <w:ind w:left="120"/>
              <w:spacing w:after="0" w:line="176" w:lineRule="exact"/>
              <w:rPr>
                <w:sz w:val="20"/>
                <w:szCs w:val="20"/>
                <w:color w:val="auto"/>
              </w:rPr>
            </w:pPr>
            <w:r>
              <w:rPr>
                <w:rFonts w:ascii="Arial" w:cs="Arial" w:eastAsia="Arial" w:hAnsi="Arial"/>
                <w:sz w:val="18"/>
                <w:szCs w:val="18"/>
                <w:b w:val="1"/>
                <w:bCs w:val="1"/>
                <w:color w:val="auto"/>
                <w:w w:val="92"/>
              </w:rPr>
              <w:t>Adjustments to reconcile net income from continuing operations to net cash provided by (used for)</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39"/>
        </w:trPr>
        <w:tc>
          <w:tcPr>
            <w:tcW w:w="8000" w:type="dxa"/>
            <w:vAlign w:val="bottom"/>
          </w:tcPr>
          <w:p>
            <w:pPr>
              <w:ind w:left="28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4"/>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of unconsolidated subsidiaries</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businesses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and write-offs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Amortization of bridge financing fees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 net of effects of business acquisitions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67.8</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(170.6)</w:t>
            </w:r>
          </w:p>
        </w:tc>
      </w:tr>
      <w:tr>
        <w:trPr>
          <w:trHeight w:val="230"/>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(63.8)</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29"/>
        </w:trPr>
        <w:tc>
          <w:tcPr>
            <w:tcW w:w="8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 non-current assets and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502.3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271.5</w:t>
            </w:r>
          </w:p>
        </w:tc>
      </w:tr>
      <w:tr>
        <w:trPr>
          <w:trHeight w:val="229"/>
        </w:trPr>
        <w:tc>
          <w:tcPr>
            <w:tcW w:w="8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500.7</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270.5</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(54.8)</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Settlement of net investment hedges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w:t>
            </w:r>
          </w:p>
        </w:tc>
      </w:tr>
      <w:tr>
        <w:trPr>
          <w:trHeight w:val="230"/>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(1,643.9)</w:t>
            </w: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borrowings of revolving long-term debt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Proceeds from long-term debt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1,391.3</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long-term debt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employees, net of shares withheld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Repurchases of ordinary shares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r>
      <w:tr>
        <w:trPr>
          <w:trHeight w:val="230"/>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Receipts upon the maturity of cross currency swaps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for) provided by financing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1,385.5</w:t>
            </w:r>
          </w:p>
        </w:tc>
      </w:tr>
      <w:tr>
        <w:trPr>
          <w:trHeight w:val="230"/>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r>
      <w:tr>
        <w:trPr>
          <w:trHeight w:val="248"/>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0"/>
        </w:trPr>
        <w:tc>
          <w:tcPr>
            <w:tcW w:w="8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820" w:type="dxa"/>
            <w:vAlign w:val="bottom"/>
            <w:gridSpan w:val="3"/>
            <w:vMerge w:val="restart"/>
          </w:tcPr>
          <w:p>
            <w:pPr>
              <w:jc w:val="right"/>
              <w:ind w:right="190"/>
              <w:spacing w:after="0"/>
              <w:rPr>
                <w:sz w:val="20"/>
                <w:szCs w:val="20"/>
                <w:color w:val="auto"/>
              </w:rPr>
            </w:pPr>
            <w:r>
              <w:rPr>
                <w:rFonts w:ascii="Arial" w:cs="Arial" w:eastAsia="Arial" w:hAnsi="Arial"/>
                <w:sz w:val="18"/>
                <w:szCs w:val="18"/>
                <w:b w:val="1"/>
                <w:bCs w:val="1"/>
                <w:color w:val="auto"/>
              </w:rPr>
              <w:t>Ordinary shares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1820" w:type="dxa"/>
            <w:vAlign w:val="bottom"/>
            <w:tcBorders>
              <w:bottom w:val="single" w:sz="8" w:color="auto"/>
            </w:tcBorders>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110"/>
              <w:spacing w:after="0" w:line="156" w:lineRule="exact"/>
              <w:rPr>
                <w:sz w:val="20"/>
                <w:szCs w:val="20"/>
                <w:color w:val="auto"/>
              </w:rPr>
            </w:pPr>
            <w:r>
              <w:rPr>
                <w:rFonts w:ascii="Arial" w:cs="Arial" w:eastAsia="Arial" w:hAnsi="Arial"/>
                <w:sz w:val="18"/>
                <w:szCs w:val="18"/>
                <w:b w:val="1"/>
                <w:bCs w:val="1"/>
                <w:color w:val="auto"/>
                <w:w w:val="97"/>
              </w:rPr>
              <w:t>Additional</w:t>
            </w:r>
          </w:p>
        </w:tc>
        <w:tc>
          <w:tcPr>
            <w:tcW w:w="200" w:type="dxa"/>
            <w:vAlign w:val="bottom"/>
          </w:tcPr>
          <w:p>
            <w:pPr>
              <w:spacing w:after="0"/>
              <w:rPr>
                <w:sz w:val="13"/>
                <w:szCs w:val="13"/>
                <w:color w:val="auto"/>
              </w:rPr>
            </w:pPr>
          </w:p>
        </w:tc>
        <w:tc>
          <w:tcPr>
            <w:tcW w:w="1040" w:type="dxa"/>
            <w:vAlign w:val="bottom"/>
          </w:tcPr>
          <w:p>
            <w:pPr>
              <w:jc w:val="right"/>
              <w:ind w:right="190"/>
              <w:spacing w:after="0" w:line="156" w:lineRule="exact"/>
              <w:rPr>
                <w:sz w:val="20"/>
                <w:szCs w:val="20"/>
                <w:color w:val="auto"/>
              </w:rPr>
            </w:pPr>
            <w:r>
              <w:rPr>
                <w:rFonts w:ascii="Arial" w:cs="Arial" w:eastAsia="Arial" w:hAnsi="Arial"/>
                <w:sz w:val="18"/>
                <w:szCs w:val="18"/>
                <w:b w:val="1"/>
                <w:bCs w:val="1"/>
                <w:color w:val="auto"/>
                <w:w w:val="97"/>
              </w:rPr>
              <w:t>Retained</w:t>
            </w:r>
          </w:p>
        </w:tc>
        <w:tc>
          <w:tcPr>
            <w:tcW w:w="200" w:type="dxa"/>
            <w:vAlign w:val="bottom"/>
          </w:tcPr>
          <w:p>
            <w:pPr>
              <w:spacing w:after="0"/>
              <w:rPr>
                <w:sz w:val="13"/>
                <w:szCs w:val="13"/>
                <w:color w:val="auto"/>
              </w:rPr>
            </w:pPr>
          </w:p>
        </w:tc>
        <w:tc>
          <w:tcPr>
            <w:tcW w:w="1400" w:type="dxa"/>
            <w:vAlign w:val="bottom"/>
          </w:tcPr>
          <w:p>
            <w:pPr>
              <w:jc w:val="center"/>
              <w:ind w:right="110"/>
              <w:spacing w:after="0" w:line="156" w:lineRule="exact"/>
              <w:rPr>
                <w:sz w:val="20"/>
                <w:szCs w:val="20"/>
                <w:color w:val="auto"/>
              </w:rPr>
            </w:pPr>
            <w:r>
              <w:rPr>
                <w:rFonts w:ascii="Arial" w:cs="Arial" w:eastAsia="Arial" w:hAnsi="Arial"/>
                <w:sz w:val="18"/>
                <w:szCs w:val="18"/>
                <w:b w:val="1"/>
                <w:bCs w:val="1"/>
                <w:color w:val="auto"/>
                <w:w w:val="88"/>
              </w:rPr>
              <w:t>other</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paid-in capital</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earnings</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comprehensive loss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2,708.1</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Dividends declared, $0.22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March 31,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2,809.5</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Dividends declared, $0.22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 June 30, 2023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2,935.3</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$0.22 per share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September 30,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820" w:type="dxa"/>
            <w:vAlign w:val="bottom"/>
            <w:gridSpan w:val="3"/>
            <w:vMerge w:val="restart"/>
          </w:tcPr>
          <w:p>
            <w:pPr>
              <w:jc w:val="right"/>
              <w:ind w:right="190"/>
              <w:spacing w:after="0"/>
              <w:rPr>
                <w:sz w:val="20"/>
                <w:szCs w:val="20"/>
                <w:color w:val="auto"/>
              </w:rPr>
            </w:pPr>
            <w:r>
              <w:rPr>
                <w:rFonts w:ascii="Arial" w:cs="Arial" w:eastAsia="Arial" w:hAnsi="Arial"/>
                <w:sz w:val="18"/>
                <w:szCs w:val="18"/>
                <w:b w:val="1"/>
                <w:bCs w:val="1"/>
                <w:color w:val="auto"/>
              </w:rPr>
              <w:t>Ordinary shares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820" w:type="dxa"/>
            <w:vAlign w:val="bottom"/>
            <w:tcBorders>
              <w:bottom w:val="single" w:sz="8" w:color="auto"/>
            </w:tcBorders>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110"/>
              <w:spacing w:after="0" w:line="156" w:lineRule="exact"/>
              <w:rPr>
                <w:sz w:val="20"/>
                <w:szCs w:val="20"/>
                <w:color w:val="auto"/>
              </w:rPr>
            </w:pPr>
            <w:r>
              <w:rPr>
                <w:rFonts w:ascii="Arial" w:cs="Arial" w:eastAsia="Arial" w:hAnsi="Arial"/>
                <w:sz w:val="18"/>
                <w:szCs w:val="18"/>
                <w:b w:val="1"/>
                <w:bCs w:val="1"/>
                <w:color w:val="auto"/>
                <w:w w:val="97"/>
              </w:rPr>
              <w:t>Additional</w:t>
            </w:r>
          </w:p>
        </w:tc>
        <w:tc>
          <w:tcPr>
            <w:tcW w:w="200" w:type="dxa"/>
            <w:vAlign w:val="bottom"/>
          </w:tcPr>
          <w:p>
            <w:pPr>
              <w:spacing w:after="0"/>
              <w:rPr>
                <w:sz w:val="14"/>
                <w:szCs w:val="14"/>
                <w:color w:val="auto"/>
              </w:rPr>
            </w:pPr>
          </w:p>
        </w:tc>
        <w:tc>
          <w:tcPr>
            <w:tcW w:w="1040" w:type="dxa"/>
            <w:vAlign w:val="bottom"/>
          </w:tcPr>
          <w:p>
            <w:pPr>
              <w:jc w:val="right"/>
              <w:ind w:right="190"/>
              <w:spacing w:after="0" w:line="156" w:lineRule="exact"/>
              <w:rPr>
                <w:sz w:val="20"/>
                <w:szCs w:val="20"/>
                <w:color w:val="auto"/>
              </w:rPr>
            </w:pPr>
            <w:r>
              <w:rPr>
                <w:rFonts w:ascii="Arial" w:cs="Arial" w:eastAsia="Arial" w:hAnsi="Arial"/>
                <w:sz w:val="18"/>
                <w:szCs w:val="18"/>
                <w:b w:val="1"/>
                <w:bCs w:val="1"/>
                <w:color w:val="auto"/>
                <w:w w:val="97"/>
              </w:rPr>
              <w:t>Retained</w:t>
            </w:r>
          </w:p>
        </w:tc>
        <w:tc>
          <w:tcPr>
            <w:tcW w:w="200" w:type="dxa"/>
            <w:vAlign w:val="bottom"/>
          </w:tcPr>
          <w:p>
            <w:pPr>
              <w:spacing w:after="0"/>
              <w:rPr>
                <w:sz w:val="14"/>
                <w:szCs w:val="14"/>
                <w:color w:val="auto"/>
              </w:rPr>
            </w:pPr>
          </w:p>
        </w:tc>
        <w:tc>
          <w:tcPr>
            <w:tcW w:w="1400" w:type="dxa"/>
            <w:vAlign w:val="bottom"/>
          </w:tcPr>
          <w:p>
            <w:pPr>
              <w:jc w:val="center"/>
              <w:ind w:right="110"/>
              <w:spacing w:after="0" w:line="156" w:lineRule="exact"/>
              <w:rPr>
                <w:sz w:val="20"/>
                <w:szCs w:val="20"/>
                <w:color w:val="auto"/>
              </w:rPr>
            </w:pPr>
            <w:r>
              <w:rPr>
                <w:rFonts w:ascii="Arial" w:cs="Arial" w:eastAsia="Arial" w:hAnsi="Arial"/>
                <w:sz w:val="18"/>
                <w:szCs w:val="18"/>
                <w:b w:val="1"/>
                <w:bCs w:val="1"/>
                <w:color w:val="auto"/>
                <w:w w:val="88"/>
              </w:rPr>
              <w:t>other</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paid-in capital</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earnings</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comprehensive loss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2,421.9</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Dividends declared, $0.21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March 31,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2,503.9</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Dividends declared, $0.21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June 30,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Dividends declared, $0.21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September 30,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Responsibility for Interim Financial Statements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Pentair plc and its subsidiaries (“we,” “us,” “our,” “Pentair,” or the “Company”) have been prepared following the requirements of the United States (“U.S.”) Securities and Exchange Commission for interim reporting. As permitted under those rules, certain footnotes or other financial information that are normally required by accounting principles generally accepted in the United States of America (“GAAP”) can be condensed or omitted.</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2022.</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24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disaggregate our revenue from contracts with customers by segment, geographic location and vertical market, as we believe these best depict how the nature, amount, timing and uncertainty of our revenue and cash flows are affected by economic factors. Refer to Note 15 for revenue disaggregated by segment.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Geographic net sales information, based on geographic destination of the sale,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4"/>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9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0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30,</w:t>
            </w:r>
          </w:p>
        </w:tc>
      </w:tr>
      <w:tr>
        <w:trPr>
          <w:trHeight w:val="24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2,215.1</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114.7</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362.0</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331.7</w:t>
            </w: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r>
      <w:tr>
        <w:trPr>
          <w:trHeight w:val="230"/>
        </w:trPr>
        <w:tc>
          <w:tcPr>
            <w:tcW w:w="50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r>
      <w:tr>
        <w:trPr>
          <w:trHeight w:val="203"/>
        </w:trPr>
        <w:tc>
          <w:tcPr>
            <w:tcW w:w="50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Consolidated net sales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1,008.8</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1,055.1</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3,119.9</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3,118.9</w:t>
            </w:r>
          </w:p>
        </w:tc>
      </w:tr>
    </w:tbl>
    <w:p>
      <w:pPr>
        <w:ind w:left="200" w:hanging="174"/>
        <w:spacing w:after="0" w:line="235" w:lineRule="auto"/>
        <w:tabs>
          <w:tab w:leader="none" w:pos="20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Developing includes China, Eastern Europe, Latin America, the Middle East and Southeast Asia.</w:t>
      </w:r>
    </w:p>
    <w:p>
      <w:pPr>
        <w:spacing w:after="0" w:line="24" w:lineRule="exact"/>
        <w:rPr>
          <w:rFonts w:ascii="Arial" w:cs="Arial" w:eastAsia="Arial" w:hAnsi="Arial"/>
          <w:sz w:val="21"/>
          <w:szCs w:val="21"/>
          <w:color w:val="auto"/>
          <w:vertAlign w:val="superscript"/>
        </w:rPr>
      </w:pPr>
    </w:p>
    <w:p>
      <w:pPr>
        <w:ind w:left="200" w:hanging="174"/>
        <w:spacing w:after="0" w:line="191" w:lineRule="auto"/>
        <w:tabs>
          <w:tab w:leader="none" w:pos="20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Other Developed includes Australia, Canada and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Vertical market net sales information was as follows: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51"/>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4"/>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9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0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30,</w:t>
            </w:r>
          </w:p>
        </w:tc>
      </w:tr>
      <w:tr>
        <w:trPr>
          <w:trHeight w:val="24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2,050.1</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295.2</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913.3</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553.3</w:t>
            </w:r>
          </w:p>
        </w:tc>
      </w:tr>
      <w:tr>
        <w:trPr>
          <w:trHeight w:val="229"/>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 net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3,118.9</w:t>
            </w:r>
          </w:p>
        </w:tc>
      </w:tr>
      <w:tr>
        <w:trPr>
          <w:trHeight w:val="21"/>
        </w:trPr>
        <w:tc>
          <w:tcPr>
            <w:tcW w:w="5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 September 30, 2023, we had $122.4 million of remaining performance obligations on contracts with an original expected duration of one year or more.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recognize the majority of our remaining performance obligations on these contracts within the next 12 to 18 months.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September 30,</w:t>
            </w:r>
          </w:p>
        </w:tc>
        <w:tc>
          <w:tcPr>
            <w:tcW w:w="1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1"/>
        </w:trPr>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0" w:type="dxa"/>
            <w:vAlign w:val="bottom"/>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480" w:type="dxa"/>
            <w:vAlign w:val="bottom"/>
          </w:tcPr>
          <w:p>
            <w:pPr>
              <w:ind w:left="360"/>
              <w:spacing w:after="0"/>
              <w:rPr>
                <w:sz w:val="20"/>
                <w:szCs w:val="20"/>
                <w:color w:val="auto"/>
              </w:rPr>
            </w:pPr>
            <w:r>
              <w:rPr>
                <w:rFonts w:ascii="Arial" w:cs="Arial" w:eastAsia="Arial" w:hAnsi="Arial"/>
                <w:sz w:val="18"/>
                <w:szCs w:val="18"/>
                <w:b w:val="1"/>
                <w:bCs w:val="1"/>
                <w:color w:val="auto"/>
              </w:rPr>
              <w:t>$ Change</w:t>
            </w:r>
          </w:p>
        </w:tc>
        <w:tc>
          <w:tcPr>
            <w:tcW w:w="1220" w:type="dxa"/>
            <w:vAlign w:val="bottom"/>
          </w:tcPr>
          <w:p>
            <w:pPr>
              <w:ind w:left="400"/>
              <w:spacing w:after="0"/>
              <w:rPr>
                <w:sz w:val="20"/>
                <w:szCs w:val="20"/>
                <w:color w:val="auto"/>
              </w:rPr>
            </w:pPr>
            <w:r>
              <w:rPr>
                <w:rFonts w:ascii="Arial" w:cs="Arial" w:eastAsia="Arial" w:hAnsi="Arial"/>
                <w:sz w:val="18"/>
                <w:szCs w:val="18"/>
                <w:b w:val="1"/>
                <w:bCs w:val="1"/>
                <w:color w:val="auto"/>
                <w:w w:val="91"/>
              </w:rPr>
              <w:t>% Change</w:t>
            </w:r>
          </w:p>
        </w:tc>
      </w:tr>
    </w:tbl>
    <w:p>
      <w:pPr>
        <w:spacing w:after="0" w:line="1" w:lineRule="exact"/>
        <w:rPr>
          <w:sz w:val="20"/>
          <w:szCs w:val="20"/>
          <w:color w:val="auto"/>
        </w:rPr>
      </w:pPr>
    </w:p>
    <w:p>
      <w:pPr>
        <w:sectPr>
          <w:pgSz w:w="11900" w:h="16838" w:orient="portrait"/>
          <w:cols w:equalWidth="0" w:num="2">
            <w:col w:w="4860" w:space="380"/>
            <w:col w:w="600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25"/>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0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64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48.4</w:t>
            </w:r>
          </w:p>
        </w:tc>
        <w:tc>
          <w:tcPr>
            <w:tcW w:w="66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17.2</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35.5 %</w:t>
            </w:r>
          </w:p>
        </w:tc>
      </w:tr>
      <w:tr>
        <w:trPr>
          <w:trHeight w:val="230"/>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20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58.1</w:t>
            </w:r>
          </w:p>
        </w:tc>
        <w:tc>
          <w:tcPr>
            <w:tcW w:w="6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4.6 %</w:t>
            </w:r>
          </w:p>
        </w:tc>
      </w:tr>
      <w:tr>
        <w:trPr>
          <w:trHeight w:val="248"/>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contract assets (liabilities)</w:t>
            </w:r>
          </w:p>
        </w:tc>
        <w:tc>
          <w:tcPr>
            <w:tcW w:w="20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(9.7)</w:t>
            </w:r>
          </w:p>
        </w:tc>
        <w:tc>
          <w:tcPr>
            <w:tcW w:w="6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14.5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r>
      <w:tr>
        <w:trPr>
          <w:trHeight w:val="20"/>
        </w:trPr>
        <w:tc>
          <w:tcPr>
            <w:tcW w:w="36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$14.5 million increase in net contract assets from December 31, 2022 to September 30, 2023 was primarily the result of timing of milestone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Approximately 85% of our contract liabilities at December 31, 2022 were recognized in revenue in the first nine months of 2023.</w:t>
      </w:r>
    </w:p>
    <w:p>
      <w:pPr>
        <w:spacing w:after="0" w:line="23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2022, as part of our Water Solutions reporting segment, we acquired the issued and outstanding equity securities of certain subsidiaries of Welbilt, Inc. (“Welbilt”) and certain other assets, rights, and properties, and assumed certain liabilities, comprising Welbilt’s Manitowoc Ice business (“Manitowoc Ice”), for approximately $1.6 billion in cash.</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Manitowoc Ice is a designer, manufacturer and distributor of commercial ice machines. The acquisition of Manitowoc Ice allows us to enhance and deliver our total water management offerings to an expanded network of channel partners and customers.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purchase price has been allocated based on the fair value of assets acquired and liabilities assumed at the date of the Manitowoc Ice acquisition. The purchase price allocation was completed in the third quarter of 2023.</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values of the assets acquired and liabilities assumed in the Manitowoc Ice acquisition as previously reported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revised as of September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8"/>
              </w:rPr>
              <w:t>As Previously Reported</w:t>
            </w:r>
          </w:p>
        </w:tc>
        <w:tc>
          <w:tcPr>
            <w:tcW w:w="5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As Revised</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00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36.7</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00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5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00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5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200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728.3</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728.3</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w:t>
            </w:r>
          </w:p>
        </w:tc>
        <w:tc>
          <w:tcPr>
            <w:tcW w:w="5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5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29"/>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liabilities</w:t>
            </w:r>
          </w:p>
        </w:tc>
        <w:tc>
          <w:tcPr>
            <w:tcW w:w="20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48"/>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2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1,613.3</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1,613.9</w:t>
            </w:r>
          </w:p>
        </w:tc>
      </w:tr>
      <w:tr>
        <w:trPr>
          <w:trHeight w:val="20"/>
        </w:trPr>
        <w:tc>
          <w:tcPr>
            <w:tcW w:w="39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excess of purchase price over tangible net assets and identified intangible assets acquired has been allocated to goodwill in the amount of $789.7 million, all of which is expected to be deductible for income tax purposes. Goodwill recognized from the Manitowoc Ice acquisition primarily reflects the future economic benefit resulting from synergies of our combined operations.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Identifiable intangible assets acquired as part of the Manitowoc Ice acquisition include $78.4 million of indefinite-lived trade name intangible assets, $588.4 million of definite-lived customer relationships with a weighted-average estimated useful life of 20 years, $47.1 million of definite-lived proprietary technology intangible assets with a weighted-average estimated useful life of 10 years and $14.4 million of other definite-lived intangible assets with a weighted-average estimated useful life of four months. The fair values of trade names and proprietary technology acquired in the acquisition were determined using a relief-from-royalty method, and customer relationships and other definite-lived intangible assets acquired were determined using a multi-period excess earnings method. These methods utilize unobservable inputs that are significant to these fair value measurements and thus classified as Level 3 of the fair value hierarchy described in Note 11.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unaudited pro forma financial information as if the Manitowoc Ice acquisition had occurred on January 1,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196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Nine months ended</w:t>
            </w:r>
          </w:p>
        </w:tc>
      </w:tr>
      <w:tr>
        <w:trPr>
          <w:trHeight w:val="223"/>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 except per share data</w:t>
            </w:r>
          </w:p>
        </w:tc>
        <w:tc>
          <w:tcPr>
            <w:tcW w:w="20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September 30, 2022</w:t>
            </w:r>
          </w:p>
        </w:tc>
        <w:tc>
          <w:tcPr>
            <w:tcW w:w="8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September 30, 2022</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3,325.7</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Pro forma net income from continuing operations</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417.8</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 forma earnings per ordinary share - continuing operations</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0.80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bl>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pro forma net income from continuing operations includes Manitowoc Ice’s identifiable intangible asset amortization expense of $8.5 million for the three months ended September 30, 2022, and $25.6 million for the nine months ended September 30, 2022. The unaudited pro forma net income from continuing operations for the three and nine months ended September 30, 2022 excludes the impact of $18.8 million and $34.2 million, respectively, of transaction-related charges, acquisition-related bridge financing costs and non-recurring expense related to the fair value adjustment to acquisition-date inventory.</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 forma condensed consolidated financial information has been prepared for comparative purposes only and includes certain adjustments, as noted above. The adjustments are estimates based on currently available information and actual amounts may differ materially from these estimates. They do not reflect the effect of costs or synergies that would have been expected to result from the integration of the Manitowoc Ice acquisition. The pro forma information does not purport to be indicative of the results of operations that actually would have resulted had the Manitowoc Ice acquisition occurred on January 1, 2021.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and nine months ended September 30, 2023 and 2022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4"/>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0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2"/>
              </w:rPr>
              <w:t>September 30,</w:t>
            </w:r>
          </w:p>
        </w:tc>
      </w:tr>
      <w:tr>
        <w:trPr>
          <w:trHeight w:val="24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2023, we issued our annual share-based compensation grants under the Pentair plc 2020 Share and Incentive Plan to eligible employees. The total number of awards issued was approximately 0.9 million, of which 0.3 million were restricted stock units (“RSUs”), 0.4 million were stock options and 0.2 million were performance share units (“PSUs”). The weighted-average grant date fair value of the RSUs, stock options and PSUs issued was $51.11, $14.03, and $46.39, respectively.</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5220" w:type="dxa"/>
            <w:vAlign w:val="bottom"/>
          </w:tcPr>
          <w:p>
            <w:pPr>
              <w:jc w:val="right"/>
              <w:ind w:right="590"/>
              <w:spacing w:after="0" w:line="190" w:lineRule="exact"/>
              <w:rPr>
                <w:sz w:val="20"/>
                <w:szCs w:val="20"/>
                <w:color w:val="auto"/>
              </w:rPr>
            </w:pPr>
            <w:r>
              <w:rPr>
                <w:rFonts w:ascii="Arial" w:cs="Arial" w:eastAsia="Arial" w:hAnsi="Arial"/>
                <w:sz w:val="18"/>
                <w:szCs w:val="18"/>
                <w:b w:val="1"/>
                <w:bCs w:val="1"/>
                <w:color w:val="auto"/>
              </w:rPr>
              <w:t>2023</w:t>
            </w:r>
          </w:p>
        </w:tc>
      </w:tr>
      <w:tr>
        <w:trPr>
          <w:trHeight w:val="234"/>
        </w:trPr>
        <w:tc>
          <w:tcPr>
            <w:tcW w:w="602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Annual Grant</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5220" w:type="dxa"/>
            <w:vAlign w:val="bottom"/>
          </w:tcPr>
          <w:p>
            <w:pPr>
              <w:jc w:val="right"/>
              <w:spacing w:after="0"/>
              <w:rPr>
                <w:sz w:val="20"/>
                <w:szCs w:val="20"/>
                <w:color w:val="auto"/>
              </w:rPr>
            </w:pPr>
            <w:r>
              <w:rPr>
                <w:rFonts w:ascii="Arial" w:cs="Arial" w:eastAsia="Arial" w:hAnsi="Arial"/>
                <w:sz w:val="18"/>
                <w:szCs w:val="18"/>
                <w:color w:val="auto"/>
              </w:rPr>
              <w:t>2.02 %</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share price volatility</w:t>
            </w:r>
          </w:p>
        </w:tc>
        <w:tc>
          <w:tcPr>
            <w:tcW w:w="5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30.40 %</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522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20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Transformation Program</w:t>
      </w:r>
    </w:p>
    <w:p>
      <w:pPr>
        <w:spacing w:after="0" w:line="1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2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nine months ended September 30, 2023, we initiated and continued execution of certain business restructuring initiatives aimed at reducing our fixed cost structure and realigning our business. In addition, we have continued to execute certain initiatives associated with the Transformation Program. These initiatives included a reduction in hourly and salaried headcount of approximately 350 employees during the nine months ended September 30, 2023.</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Restructuring and transformation-related costs included within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Condensed Consolidated Statements of Operations and Comprehensive Income included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r>
      <w:tr>
        <w:trPr>
          <w:trHeight w:val="24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Restructuring Initiatives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Severance and related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restructuring costs and related adjustments </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 restructuring costs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Transformation Program</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Severance and related costs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transformation costs </w:t>
            </w:r>
            <w:r>
              <w:rPr>
                <w:rFonts w:ascii="Arial" w:cs="Arial" w:eastAsia="Arial" w:hAnsi="Arial"/>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transformation costs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transformation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bl>
    <w:p>
      <w:pPr>
        <w:spacing w:after="0" w:line="31" w:lineRule="exact"/>
        <w:rPr>
          <w:sz w:val="20"/>
          <w:szCs w:val="20"/>
          <w:color w:val="auto"/>
        </w:rPr>
      </w:pPr>
    </w:p>
    <w:p>
      <w:pPr>
        <w:ind w:left="180" w:right="20" w:hanging="154"/>
        <w:spacing w:after="0" w:line="234" w:lineRule="auto"/>
        <w:tabs>
          <w:tab w:leader="none" w:pos="197"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Other restructuring costs and related adjustments primarily consist of certain accruals, various contract termination costs, asset impairments and inventory write-offs associated with business and product line exits.</w:t>
      </w:r>
    </w:p>
    <w:p>
      <w:pPr>
        <w:spacing w:after="0" w:line="13" w:lineRule="exact"/>
        <w:rPr>
          <w:rFonts w:ascii="Arial" w:cs="Arial" w:eastAsia="Arial" w:hAnsi="Arial"/>
          <w:sz w:val="20"/>
          <w:szCs w:val="20"/>
          <w:color w:val="auto"/>
          <w:vertAlign w:val="superscript"/>
        </w:rPr>
      </w:pPr>
    </w:p>
    <w:p>
      <w:pPr>
        <w:ind w:left="200" w:hanging="174"/>
        <w:spacing w:after="0"/>
        <w:tabs>
          <w:tab w:leader="none" w:pos="2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Other transformation costs primarily consist of professional services, project management related costs and asset impairments, partially offset by gain on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transformation costs by reportable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r>
      <w:tr>
        <w:trPr>
          <w:trHeight w:val="24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&amp; Flow Technologies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Water Solutions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nine months ended September 30, 2023: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40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40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payments and other</w:t>
            </w:r>
          </w:p>
        </w:tc>
        <w:tc>
          <w:tcPr>
            <w:tcW w:w="40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4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earnings per share were calculated as follows: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millions, except per-share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100" w:type="dxa"/>
            <w:vAlign w:val="bottom"/>
            <w:gridSpan w:val="3"/>
          </w:tcPr>
          <w:p>
            <w:pPr>
              <w:ind w:left="620"/>
              <w:spacing w:after="0"/>
              <w:rPr>
                <w:sz w:val="20"/>
                <w:szCs w:val="20"/>
                <w:color w:val="auto"/>
              </w:rPr>
            </w:pPr>
            <w:r>
              <w:rPr>
                <w:rFonts w:ascii="Arial" w:cs="Arial" w:eastAsia="Arial" w:hAnsi="Arial"/>
                <w:sz w:val="18"/>
                <w:szCs w:val="18"/>
                <w:b w:val="1"/>
                <w:bCs w:val="1"/>
                <w:color w:val="auto"/>
              </w:rPr>
              <w:t>Three months ended</w:t>
            </w:r>
          </w:p>
        </w:tc>
        <w:tc>
          <w:tcPr>
            <w:tcW w:w="3000" w:type="dxa"/>
            <w:vAlign w:val="bottom"/>
            <w:gridSpan w:val="2"/>
          </w:tcPr>
          <w:p>
            <w:pPr>
              <w:ind w:left="76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15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5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4"/>
                <w:szCs w:val="14"/>
                <w:color w:val="auto"/>
              </w:rPr>
            </w:pPr>
          </w:p>
        </w:tc>
        <w:tc>
          <w:tcPr>
            <w:tcW w:w="15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5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September 30,</w:t>
            </w:r>
          </w:p>
        </w:tc>
      </w:tr>
      <w:tr>
        <w:trPr>
          <w:trHeight w:val="234"/>
        </w:trPr>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bl>
    <w:p>
      <w:pPr>
        <w:spacing w:after="0" w:line="7" w:lineRule="exact"/>
        <w:rPr>
          <w:sz w:val="20"/>
          <w:szCs w:val="20"/>
          <w:color w:val="auto"/>
        </w:rPr>
      </w:pPr>
    </w:p>
    <w:p>
      <w:pPr>
        <w:sectPr>
          <w:pgSz w:w="11900" w:h="16838" w:orient="portrait"/>
          <w:cols w:equalWidth="0" w:num="2">
            <w:col w:w="4860" w:space="280"/>
            <w:col w:w="6100"/>
          </w:cols>
          <w:pgMar w:left="320" w:top="122" w:right="339" w:bottom="1440" w:gutter="0" w:footer="0" w:header="0"/>
        </w:sectPr>
      </w:pPr>
    </w:p>
    <w:tbl>
      <w:tblPr>
        <w:tblLayout w:type="fixed"/>
        <w:tblInd w:w="0" w:type="dxa"/>
        <w:tblCellMar>
          <w:top w:w="0" w:type="dxa"/>
          <w:left w:w="0" w:type="dxa"/>
          <w:bottom w:w="0" w:type="dxa"/>
          <w:right w:w="0" w:type="dxa"/>
        </w:tblCellMar>
      </w:tblPr>
      <w:tr>
        <w:trPr>
          <w:trHeight w:val="250"/>
        </w:trPr>
        <w:tc>
          <w:tcPr>
            <w:tcW w:w="4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84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60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c>
          <w:tcPr>
            <w:tcW w:w="6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b w:val="1"/>
                <w:bCs w:val="1"/>
                <w:color w:val="auto"/>
              </w:rPr>
              <w:t>Net income from continuing operations</w:t>
            </w:r>
          </w:p>
        </w:tc>
        <w:tc>
          <w:tcPr>
            <w:tcW w:w="84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132.1</w:t>
            </w:r>
          </w:p>
        </w:tc>
        <w:tc>
          <w:tcPr>
            <w:tcW w:w="60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115.4</w:t>
            </w:r>
          </w:p>
        </w:tc>
        <w:tc>
          <w:tcPr>
            <w:tcW w:w="64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414.8</w:t>
            </w:r>
          </w:p>
        </w:tc>
        <w:tc>
          <w:tcPr>
            <w:tcW w:w="58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386.9</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ordinary shares outstanding</w:t>
            </w: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165.2</w:t>
            </w:r>
          </w:p>
        </w:tc>
        <w:tc>
          <w:tcPr>
            <w:tcW w:w="6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164.5</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165.0</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164.8</w:t>
            </w:r>
          </w:p>
        </w:tc>
      </w:tr>
      <w:tr>
        <w:trPr>
          <w:trHeight w:val="175"/>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Dilutive impact of stock options, restricted stock units and</w:t>
            </w: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4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performance share units</w:t>
            </w:r>
          </w:p>
        </w:tc>
        <w:tc>
          <w:tcPr>
            <w:tcW w:w="8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6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w:t>
            </w: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165.2</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ordinary share</w:t>
            </w: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8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48"/>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 earnings per ordinary share</w:t>
            </w:r>
          </w:p>
        </w:tc>
        <w:tc>
          <w:tcPr>
            <w:tcW w:w="8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Pr>
          <w:p>
            <w:pPr>
              <w:ind w:left="20"/>
              <w:spacing w:after="0" w:line="203" w:lineRule="exact"/>
              <w:rPr>
                <w:sz w:val="20"/>
                <w:szCs w:val="20"/>
                <w:color w:val="auto"/>
              </w:rPr>
            </w:pPr>
            <w:r>
              <w:rPr>
                <w:rFonts w:ascii="Arial" w:cs="Arial" w:eastAsia="Arial" w:hAnsi="Arial"/>
                <w:sz w:val="18"/>
                <w:szCs w:val="18"/>
                <w:b w:val="1"/>
                <w:bCs w:val="1"/>
                <w:i w:val="1"/>
                <w:iCs w:val="1"/>
                <w:color w:val="auto"/>
              </w:rPr>
              <w:t>Diluted</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8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8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48"/>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8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0"/>
        </w:trPr>
        <w:tc>
          <w:tcPr>
            <w:tcW w:w="4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860" w:type="dxa"/>
            <w:vAlign w:val="bottom"/>
          </w:tcPr>
          <w:p>
            <w:pPr>
              <w:ind w:left="20"/>
              <w:spacing w:after="0" w:line="150" w:lineRule="exact"/>
              <w:rPr>
                <w:sz w:val="20"/>
                <w:szCs w:val="20"/>
                <w:color w:val="auto"/>
              </w:rPr>
            </w:pPr>
            <w:r>
              <w:rPr>
                <w:rFonts w:ascii="Arial" w:cs="Arial" w:eastAsia="Arial" w:hAnsi="Arial"/>
                <w:sz w:val="17"/>
                <w:szCs w:val="17"/>
                <w:b w:val="1"/>
                <w:bCs w:val="1"/>
                <w:color w:val="auto"/>
              </w:rPr>
              <w:t>Anti-dilutive stock options excluded from the calculation of</w:t>
            </w: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3"/>
        </w:trPr>
        <w:tc>
          <w:tcPr>
            <w:tcW w:w="48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diluted earnings per share</w:t>
            </w:r>
          </w:p>
        </w:tc>
        <w:tc>
          <w:tcPr>
            <w:tcW w:w="8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6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Write-offs are recorded at the time all collection efforts have been exhausted. We generally do not require collateral. We review our allowance for credit losses on a quarterly basis.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20" w:type="dxa"/>
            <w:vAlign w:val="bottom"/>
          </w:tcPr>
          <w:p>
            <w:pPr>
              <w:spacing w:after="0"/>
              <w:rPr>
                <w:sz w:val="20"/>
                <w:szCs w:val="20"/>
                <w:color w:val="auto"/>
              </w:rPr>
            </w:pPr>
            <w:r>
              <w:rPr>
                <w:rFonts w:ascii="Arial" w:cs="Arial" w:eastAsia="Arial" w:hAnsi="Arial"/>
                <w:sz w:val="18"/>
                <w:szCs w:val="18"/>
                <w:color w:val="auto"/>
                <w:w w:val="95"/>
              </w:rPr>
              <w:t>Activity related to our allowance for credit losses is summarized as follows for the nine months ended September 30, 2023:</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64"/>
        </w:trPr>
        <w:tc>
          <w:tcPr>
            <w:tcW w:w="9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September 30,</w:t>
            </w:r>
          </w:p>
        </w:tc>
      </w:tr>
      <w:tr>
        <w:trPr>
          <w:trHeight w:val="243"/>
        </w:trPr>
        <w:tc>
          <w:tcPr>
            <w:tcW w:w="9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23"/>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9320" w:type="dxa"/>
            <w:vAlign w:val="bottom"/>
          </w:tcPr>
          <w:p>
            <w:pPr>
              <w:ind w:left="20"/>
              <w:spacing w:after="0"/>
              <w:rPr>
                <w:sz w:val="20"/>
                <w:szCs w:val="20"/>
                <w:color w:val="auto"/>
              </w:rPr>
            </w:pPr>
            <w:r>
              <w:rPr>
                <w:rFonts w:ascii="Arial" w:cs="Arial" w:eastAsia="Arial" w:hAnsi="Arial"/>
                <w:sz w:val="18"/>
                <w:szCs w:val="18"/>
                <w:color w:val="auto"/>
              </w:rPr>
              <w:t>Bad debt expense (benefit)</w:t>
            </w:r>
          </w:p>
        </w:tc>
        <w:tc>
          <w:tcPr>
            <w:tcW w:w="5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5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93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5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9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9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Other amounts are primarily the effects of changes in currency translation and the impact of allowance for credits.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274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w w:val="98"/>
              </w:rPr>
              <w:t>September 30,</w:t>
            </w:r>
          </w:p>
        </w:tc>
        <w:tc>
          <w:tcPr>
            <w:tcW w:w="26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vMerge w:val="continue"/>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2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Raw materials and supplies</w:t>
            </w:r>
          </w:p>
        </w:tc>
        <w:tc>
          <w:tcPr>
            <w:tcW w:w="2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378.6</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404.1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Work-in-process</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Finished goods</w:t>
            </w: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236.2</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290.3</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2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712.6</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Other current assets</w:t>
            </w:r>
          </w:p>
        </w:tc>
        <w:tc>
          <w:tcPr>
            <w:tcW w:w="2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in excess of billings</w:t>
            </w:r>
          </w:p>
        </w:tc>
        <w:tc>
          <w:tcPr>
            <w:tcW w:w="2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Prepaid expenses</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27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current assets</w:t>
            </w:r>
          </w:p>
        </w:tc>
        <w:tc>
          <w:tcPr>
            <w:tcW w:w="2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Land and land improvements</w:t>
            </w:r>
          </w:p>
        </w:tc>
        <w:tc>
          <w:tcPr>
            <w:tcW w:w="2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31.5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leasehold improvements</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Machinery and equipment</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646.1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639.2</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Construction in progress</w:t>
            </w: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property, plant and equipment</w:t>
            </w:r>
          </w:p>
        </w:tc>
        <w:tc>
          <w:tcPr>
            <w:tcW w:w="27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1,028.2</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1,001.6</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677.7</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657.1</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property, plant and equipment, net</w:t>
            </w:r>
          </w:p>
        </w:tc>
        <w:tc>
          <w:tcPr>
            <w:tcW w:w="2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2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lease assets</w:t>
            </w:r>
          </w:p>
        </w:tc>
        <w:tc>
          <w:tcPr>
            <w:tcW w:w="2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65.2</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plan assets</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assets</w:t>
            </w: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non-current assets</w:t>
            </w:r>
          </w:p>
        </w:tc>
        <w:tc>
          <w:tcPr>
            <w:tcW w:w="2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Other current liabilities</w:t>
            </w:r>
          </w:p>
        </w:tc>
        <w:tc>
          <w:tcPr>
            <w:tcW w:w="2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payable</w:t>
            </w:r>
          </w:p>
        </w:tc>
        <w:tc>
          <w:tcPr>
            <w:tcW w:w="2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Accrued warranty</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rebates and incentives</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Accrued freight</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Billings in excess of cost</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Current lease liability</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26.2</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Accrued restructuring</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13.6</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payable</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current liabilities</w:t>
            </w: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current liabilities</w:t>
            </w:r>
          </w:p>
        </w:tc>
        <w:tc>
          <w:tcPr>
            <w:tcW w:w="2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598.3</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Other non-current liabilities</w:t>
            </w:r>
          </w:p>
        </w:tc>
        <w:tc>
          <w:tcPr>
            <w:tcW w:w="2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liability</w:t>
            </w:r>
          </w:p>
        </w:tc>
        <w:tc>
          <w:tcPr>
            <w:tcW w:w="2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34.5</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Self-insurance liabilities</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Deferred compensation plan liabilities</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23.5</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 liabilities</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non-current liabilities</w:t>
            </w:r>
          </w:p>
        </w:tc>
        <w:tc>
          <w:tcPr>
            <w:tcW w:w="2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264.8</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vMerge w:val="restart"/>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c>
          <w:tcPr>
            <w:tcW w:w="128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88"/>
              </w:rPr>
              <w:t>Purchase</w:t>
            </w:r>
          </w:p>
        </w:tc>
        <w:tc>
          <w:tcPr>
            <w:tcW w:w="380" w:type="dxa"/>
            <w:vAlign w:val="bottom"/>
          </w:tcPr>
          <w:p>
            <w:pPr>
              <w:spacing w:after="0"/>
              <w:rPr>
                <w:sz w:val="17"/>
                <w:szCs w:val="17"/>
                <w:color w:val="auto"/>
              </w:rPr>
            </w:pPr>
          </w:p>
        </w:tc>
        <w:tc>
          <w:tcPr>
            <w:tcW w:w="1640" w:type="dxa"/>
            <w:vAlign w:val="bottom"/>
            <w:gridSpan w:val="3"/>
            <w:vMerge w:val="restart"/>
          </w:tcPr>
          <w:p>
            <w:pPr>
              <w:jc w:val="right"/>
              <w:ind w:right="50"/>
              <w:spacing w:after="0"/>
              <w:rPr>
                <w:sz w:val="20"/>
                <w:szCs w:val="20"/>
                <w:color w:val="auto"/>
              </w:rPr>
            </w:pPr>
            <w:r>
              <w:rPr>
                <w:rFonts w:ascii="Arial" w:cs="Arial" w:eastAsia="Arial" w:hAnsi="Arial"/>
                <w:sz w:val="18"/>
                <w:szCs w:val="18"/>
                <w:b w:val="1"/>
                <w:bCs w:val="1"/>
                <w:color w:val="auto"/>
                <w:w w:val="98"/>
              </w:rPr>
              <w:t>Foreign Currency</w:t>
            </w:r>
          </w:p>
        </w:tc>
        <w:tc>
          <w:tcPr>
            <w:tcW w:w="1660" w:type="dxa"/>
            <w:vAlign w:val="bottom"/>
            <w:gridSpan w:val="3"/>
            <w:vMerge w:val="restart"/>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80"/>
        </w:trPr>
        <w:tc>
          <w:tcPr>
            <w:tcW w:w="3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80" w:type="dxa"/>
            <w:vAlign w:val="bottom"/>
            <w:gridSpan w:val="3"/>
          </w:tcPr>
          <w:p>
            <w:pPr>
              <w:jc w:val="center"/>
              <w:ind w:left="310"/>
              <w:spacing w:after="0" w:line="181" w:lineRule="exact"/>
              <w:rPr>
                <w:sz w:val="20"/>
                <w:szCs w:val="20"/>
                <w:color w:val="auto"/>
              </w:rPr>
            </w:pPr>
            <w:r>
              <w:rPr>
                <w:rFonts w:ascii="Arial" w:cs="Arial" w:eastAsia="Arial" w:hAnsi="Arial"/>
                <w:sz w:val="18"/>
                <w:szCs w:val="18"/>
                <w:b w:val="1"/>
                <w:bCs w:val="1"/>
                <w:color w:val="auto"/>
                <w:w w:val="88"/>
              </w:rPr>
              <w:t>Accounting</w:t>
            </w:r>
          </w:p>
        </w:tc>
        <w:tc>
          <w:tcPr>
            <w:tcW w:w="38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16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Translation</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&amp; Flow Technologies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Water Solutions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1,398.1</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(0.8)</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1,394.8</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Pool</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goodwill</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3,252.6</w:t>
            </w: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(0.8)</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3,242.5</w:t>
            </w: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4460" w:type="dxa"/>
            <w:vAlign w:val="bottom"/>
            <w:gridSpan w:val="3"/>
          </w:tcPr>
          <w:p>
            <w:pPr>
              <w:spacing w:after="0"/>
              <w:rPr>
                <w:sz w:val="20"/>
                <w:szCs w:val="20"/>
                <w:color w:val="auto"/>
              </w:rPr>
            </w:pPr>
            <w:r>
              <w:rPr>
                <w:rFonts w:ascii="Arial" w:cs="Arial" w:eastAsia="Arial" w:hAnsi="Arial"/>
                <w:sz w:val="18"/>
                <w:szCs w:val="18"/>
                <w:color w:val="auto"/>
              </w:rPr>
              <w:t>Identifiable intangible assets consisted of the following:</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7"/>
              </w:rPr>
              <w:t>September 30,</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9"/>
              </w:rPr>
              <w:t>2022</w:t>
            </w: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40"/>
              <w:spacing w:after="0" w:line="173" w:lineRule="exact"/>
              <w:rPr>
                <w:sz w:val="20"/>
                <w:szCs w:val="20"/>
                <w:color w:val="auto"/>
              </w:rPr>
            </w:pPr>
            <w:r>
              <w:rPr>
                <w:rFonts w:ascii="Arial" w:cs="Arial" w:eastAsia="Arial" w:hAnsi="Arial"/>
                <w:sz w:val="18"/>
                <w:szCs w:val="18"/>
                <w:b w:val="1"/>
                <w:bCs w:val="1"/>
                <w:color w:val="auto"/>
              </w:rPr>
              <w:t>Accumulated</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50"/>
              <w:spacing w:after="0" w:line="173"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Net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3"/>
              </w:rPr>
              <w:t>amortization</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1,097.9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755.4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1,100.9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(308.9)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technology and patents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1,204.6</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Indefinite-life intangibles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1,051.7</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1,453.5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(358.9)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w:t>
            </w:r>
          </w:p>
        </w:tc>
        <w:tc>
          <w:tcPr>
            <w:tcW w:w="0" w:type="dxa"/>
            <w:vAlign w:val="bottom"/>
          </w:tcPr>
          <w:p>
            <w:pPr>
              <w:spacing w:after="0"/>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Identifiable intangible asset amortization expense was $13.8 million and $18.5 million for the three months ended September 30, 2023 and 2022 and $41.5 million and $31.4 million for the nine months ended September 30, 2023 and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2023 and the next five years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Q4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4"/>
        </w:trPr>
        <w:tc>
          <w:tcPr>
            <w:tcW w:w="38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2027</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2028</w:t>
            </w: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264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Average interest rate as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300" w:type="dxa"/>
            <w:vAlign w:val="bottom"/>
          </w:tcPr>
          <w:p>
            <w:pPr>
              <w:spacing w:after="0"/>
              <w:rPr>
                <w:sz w:val="17"/>
                <w:szCs w:val="17"/>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4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6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89"/>
              </w:rPr>
              <w:t>of September 30, 2023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(Senior Credit Facility)</w:t>
            </w:r>
          </w:p>
        </w:tc>
        <w:tc>
          <w:tcPr>
            <w:tcW w:w="2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6.619%</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Term Loan Facility</w:t>
            </w:r>
          </w:p>
        </w:tc>
        <w:tc>
          <w:tcPr>
            <w:tcW w:w="2640" w:type="dxa"/>
            <w:vAlign w:val="bottom"/>
          </w:tcPr>
          <w:p>
            <w:pPr>
              <w:jc w:val="center"/>
              <w:ind w:left="310"/>
              <w:spacing w:after="0"/>
              <w:rPr>
                <w:sz w:val="20"/>
                <w:szCs w:val="20"/>
                <w:color w:val="auto"/>
              </w:rPr>
            </w:pPr>
            <w:r>
              <w:rPr>
                <w:rFonts w:ascii="Arial" w:cs="Arial" w:eastAsia="Arial" w:hAnsi="Arial"/>
                <w:sz w:val="18"/>
                <w:szCs w:val="18"/>
                <w:color w:val="auto"/>
                <w:w w:val="91"/>
              </w:rPr>
              <w:t>6.809%</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2023 - 2027</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993.8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 (Senior Credit Facility)</w:t>
            </w:r>
          </w:p>
        </w:tc>
        <w:tc>
          <w:tcPr>
            <w:tcW w:w="2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6.634%</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4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640" w:type="dxa"/>
            <w:vAlign w:val="bottom"/>
          </w:tcPr>
          <w:p>
            <w:pPr>
              <w:jc w:val="center"/>
              <w:ind w:left="310"/>
              <w:spacing w:after="0"/>
              <w:rPr>
                <w:sz w:val="20"/>
                <w:szCs w:val="20"/>
                <w:color w:val="auto"/>
              </w:rPr>
            </w:pPr>
            <w:r>
              <w:rPr>
                <w:rFonts w:ascii="Arial" w:cs="Arial" w:eastAsia="Arial" w:hAnsi="Arial"/>
                <w:sz w:val="18"/>
                <w:szCs w:val="18"/>
                <w:color w:val="auto"/>
                <w:w w:val="91"/>
              </w:rPr>
              <w:t>4.650%</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4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4.500%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4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640" w:type="dxa"/>
            <w:vAlign w:val="bottom"/>
          </w:tcPr>
          <w:p>
            <w:pPr>
              <w:jc w:val="center"/>
              <w:ind w:left="310"/>
              <w:spacing w:after="0"/>
              <w:rPr>
                <w:sz w:val="20"/>
                <w:szCs w:val="20"/>
                <w:color w:val="auto"/>
              </w:rPr>
            </w:pPr>
            <w:r>
              <w:rPr>
                <w:rFonts w:ascii="Arial" w:cs="Arial" w:eastAsia="Arial" w:hAnsi="Arial"/>
                <w:sz w:val="18"/>
                <w:szCs w:val="18"/>
                <w:color w:val="auto"/>
                <w:w w:val="91"/>
              </w:rPr>
              <w:t>5.900%</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2032</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 and discounts</w:t>
            </w:r>
          </w:p>
        </w:tc>
        <w:tc>
          <w:tcPr>
            <w:tcW w:w="264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196"/>
        </w:trPr>
        <w:tc>
          <w:tcPr>
            <w:tcW w:w="41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debt</w:t>
            </w:r>
          </w:p>
        </w:tc>
        <w:tc>
          <w:tcPr>
            <w:tcW w:w="26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1,993.6</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2,317.3</w:t>
            </w:r>
          </w:p>
        </w:tc>
      </w:tr>
    </w:tbl>
    <w:p>
      <w:pPr>
        <w:spacing w:after="0" w:line="9" w:lineRule="exact"/>
        <w:rPr>
          <w:sz w:val="20"/>
          <w:szCs w:val="20"/>
          <w:color w:val="auto"/>
        </w:rPr>
      </w:pPr>
    </w:p>
    <w:p>
      <w:pPr>
        <w:ind w:left="200" w:hanging="174"/>
        <w:spacing w:after="0"/>
        <w:tabs>
          <w:tab w:leader="none" w:pos="20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Senior notes are guaranteed as to payment by Pentair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Pentair, Pentair Finance S.à r.l (“PFSA“) and Pentair, Inc. are parties to a credit agreement (the “Senior Credit Facility”), with Pentair as guarantor and PFSA and Pentair, Inc. as borrowers, which was amended and restated in December 2021 and further amended in December 2022,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total availability under the Senior Credit Facility was $900.0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2022, in contemplation of the acquisition of Manitowoc Ice, Pentair and PFSA entered into a Loan Agreement among PFSA, as borrower, Pentair, as guarantor, and the lenders and agents party thereto, providing for a $600.0 million senior unsecured term loan facility (the “Term Loan Facility”). In June 2022, the Term Loan Facility was amended to increase the facility by $400.0 million to an aggregate principal amount of $1.0 billion. The Term Loan Facility has a maturity date of July 28, 2027, with required quarterly installment payments of $6.3 million that began on the last day of the third quarter of 2023 and increase to $12.5 million beginning with the last day of the third quarter of 2024.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2022, in contemplation of the acquisition of Manitowoc Ice, Pentair, as guarantor, and PFSA, as issuer, completed a public offering of $400.0 million aggregate principal amount of 5.900% Senior Notes due 2032 (“2032 Senior Notes”).</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used the net proceeds from the Term Loan Facility and the issuance of the 2032 Senior Notes to finance a portion of the Manitowoc Ice acquisition purchase price and to pay related fees and expenses.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to the Senior Credit Facility and the Term Loan Facility, we have various other credit facilities with an aggregate availability of $20.8 million, of which there were no outstanding borrowings at September 30, 2023. Borrowings under these credit facilities bear interest at variable rates.</w:t>
      </w:r>
    </w:p>
    <w:p>
      <w:pPr>
        <w:spacing w:after="0" w:line="1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$31.3 million of Term Loan Facility payments due in the next twelve months. We classified this debt as long-term as of September 30, 2023 as we have the intent and ability to refinance such obligation on a long-term basis under the revolving credit facility under the Senior Credit Facility.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September 30, 2023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tcPr>
          <w:p>
            <w:pPr>
              <w:spacing w:after="0"/>
              <w:rPr>
                <w:sz w:val="19"/>
                <w:szCs w:val="19"/>
                <w:color w:val="auto"/>
              </w:rPr>
            </w:pPr>
          </w:p>
        </w:tc>
        <w:tc>
          <w:tcPr>
            <w:tcW w:w="1080" w:type="dxa"/>
            <w:vAlign w:val="bottom"/>
          </w:tcPr>
          <w:p>
            <w:pPr>
              <w:jc w:val="center"/>
              <w:ind w:left="650"/>
              <w:spacing w:after="0"/>
              <w:rPr>
                <w:sz w:val="20"/>
                <w:szCs w:val="20"/>
                <w:color w:val="auto"/>
              </w:rPr>
            </w:pPr>
            <w:r>
              <w:rPr>
                <w:rFonts w:ascii="Arial" w:cs="Arial" w:eastAsia="Arial" w:hAnsi="Arial"/>
                <w:sz w:val="18"/>
                <w:szCs w:val="18"/>
                <w:b w:val="1"/>
                <w:bCs w:val="1"/>
                <w:color w:val="auto"/>
                <w:w w:val="91"/>
              </w:rPr>
              <w:t>Q4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4"/>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2027</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2028</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Thereafter</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debt obligation maturities</w:t>
            </w:r>
          </w:p>
        </w:tc>
        <w:tc>
          <w:tcPr>
            <w:tcW w:w="10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2,013.1</w:t>
            </w:r>
          </w:p>
        </w:tc>
      </w:tr>
    </w:tbl>
    <w:p>
      <w:pPr>
        <w:spacing w:after="0" w:line="63" w:lineRule="exact"/>
        <w:rPr>
          <w:sz w:val="20"/>
          <w:szCs w:val="20"/>
          <w:color w:val="auto"/>
        </w:rPr>
      </w:pPr>
    </w:p>
    <w:p>
      <w:pPr>
        <w:ind w:right="7640" w:firstLine="8"/>
        <w:spacing w:after="0" w:line="276" w:lineRule="auto"/>
        <w:tabs>
          <w:tab w:leader="none" w:pos="633"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jc w:val="both"/>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We are exposed to market risk related to changes in foreign currency exchange rates and interest rates on our variable rate indebtedness. To manage the volatility related to these exposures, we periodically enter into a variety of derivative financial instruments. Our objective is to reduce, where it is deemed appropriate to do so, fluctuations in earnings and cash flows associated with changes in foreign currency exchange rates or variable interest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and December 31, 2022, we had outstanding foreign currency derivative contracts with gross notional U.S. dollar equivalent amounts of $22.8 million and $9.4 million, respectively. The impact of these contracts on the Condensed Consolidated Statements of Operations and Comprehensive Income was not material for any period presented.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At September 30, 2023 and December 31, 2022, we had outstanding cross currency swap agreements with a combined notional amount of $739.6 million and $746.3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$38.6 million and $40.3 million at September 30, 2023 and December 31, 2022, respectively, recorded in </w:t>
      </w:r>
      <w:r>
        <w:rPr>
          <w:rFonts w:ascii="Arial" w:cs="Arial" w:eastAsia="Arial" w:hAnsi="Arial"/>
          <w:sz w:val="17"/>
          <w:szCs w:val="17"/>
          <w:i w:val="1"/>
          <w:iCs w:val="1"/>
          <w:color w:val="auto"/>
        </w:rPr>
        <w:t>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loss </w:t>
      </w:r>
      <w:r>
        <w:rPr>
          <w:rFonts w:ascii="Arial" w:cs="Arial" w:eastAsia="Arial" w:hAnsi="Arial"/>
          <w:sz w:val="17"/>
          <w:szCs w:val="17"/>
          <w:color w:val="auto"/>
        </w:rPr>
        <w:t>associated with our cross currency swap activity. The periodic interest settlements related to our cross currency swap agreements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classified as operating activities. The cash flows that relate to principal balances are classified as financing activities for the cash flow hedges on intercompany debt and investing activities for the net investment hedges.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of variable interest rates</w:t>
      </w:r>
    </w:p>
    <w:p>
      <w:pPr>
        <w:spacing w:after="0" w:line="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March 31, 2023, we entered into floating-to-fixed interest rate swap agreements to hedge the interest rate movements related to a portion of our variable rate debt. The swaps have a combined notional amount of $300.0 million and an average fixed one-month U.S. Dollar secured overnight financing rate (“SOFR”) of 3.795%. They have an effective date of April 4, 2023 and settle monthly through April 2026.</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April 3, 2023, we entered into five-year interest rate collar agreements with a combined notional value of $200.0 million to hedge the cash flows related to the interest rate movements on our variable rate debt. In these collar agreements, the Company and counterparty financial institutions agreed to a one-month U.S. Dollar SOFR floor of 1.875% and a cap of 5.000%. The collars have an effective date of April 4, 2023 and settle monthly through April 2028.</w:t>
      </w:r>
    </w:p>
    <w:p>
      <w:pPr>
        <w:spacing w:after="0" w:line="9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The interest rate swaps and collars were designated as cash flow hedges. Unrealized gains and losses related to the fair value of the interest rate swaps are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on our Condensed Consolidated Balance Sheets. We had a gain of $9.4 million at September 30, 2023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associated with our interest rate swap and collar activity. The periodic interest settlements related to our interest rate swaps and collars are classified as operating activities.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09"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77" w:lineRule="exact"/>
        <w:rPr>
          <w:sz w:val="20"/>
          <w:szCs w:val="20"/>
          <w:color w:val="auto"/>
        </w:rPr>
      </w:pPr>
    </w:p>
    <w:p>
      <w:pPr>
        <w:ind w:left="1380" w:right="20" w:hanging="741"/>
        <w:spacing w:after="0" w:line="258" w:lineRule="auto"/>
        <w:tabs>
          <w:tab w:leader="none" w:pos="13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7"/>
          <w:szCs w:val="17"/>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52"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w:t>
      </w:r>
    </w:p>
    <w:p>
      <w:pPr>
        <w:spacing w:after="0" w:line="157" w:lineRule="exact"/>
        <w:rPr>
          <w:sz w:val="20"/>
          <w:szCs w:val="20"/>
          <w:color w:val="auto"/>
        </w:rPr>
      </w:pPr>
    </w:p>
    <w:p>
      <w:pPr>
        <w:ind w:left="500" w:hanging="330"/>
        <w:spacing w:after="0" w:line="277" w:lineRule="auto"/>
        <w:tabs>
          <w:tab w:leader="none" w:pos="495" w:val="left"/>
        </w:tabs>
        <w:numPr>
          <w:ilvl w:val="1"/>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financial instruments (cash and cash equivalents, accounts and notes receivable, accounts payable and variable-rate debt) </w:t>
      </w:r>
      <w:r>
        <w:rPr>
          <w:rFonts w:ascii="Arial" w:cs="Arial" w:eastAsia="Arial" w:hAnsi="Arial"/>
          <w:sz w:val="18"/>
          <w:szCs w:val="18"/>
          <w:color w:val="auto"/>
        </w:rPr>
        <w:t>—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amount approximates fair value because of the short maturity period;</w:t>
      </w:r>
    </w:p>
    <w:p>
      <w:pPr>
        <w:spacing w:after="0" w:line="116" w:lineRule="exact"/>
        <w:rPr>
          <w:rFonts w:ascii="Arial" w:cs="Arial" w:eastAsia="Arial" w:hAnsi="Arial"/>
          <w:sz w:val="18"/>
          <w:szCs w:val="18"/>
          <w:i w:val="1"/>
          <w:iCs w:val="1"/>
          <w:color w:val="auto"/>
        </w:rPr>
      </w:pPr>
    </w:p>
    <w:p>
      <w:pPr>
        <w:ind w:left="500" w:hanging="330"/>
        <w:spacing w:after="0" w:line="277" w:lineRule="auto"/>
        <w:tabs>
          <w:tab w:leader="none" w:pos="495"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inputs that are classified as Level 2 in the valuation hierarchy defined above;</w:t>
      </w:r>
    </w:p>
    <w:p>
      <w:pPr>
        <w:spacing w:after="0" w:line="116" w:lineRule="exact"/>
        <w:rPr>
          <w:rFonts w:ascii="Arial" w:cs="Arial" w:eastAsia="Arial" w:hAnsi="Arial"/>
          <w:sz w:val="18"/>
          <w:szCs w:val="18"/>
          <w:color w:val="auto"/>
        </w:rPr>
      </w:pPr>
    </w:p>
    <w:p>
      <w:pPr>
        <w:jc w:val="both"/>
        <w:ind w:left="500" w:hanging="330"/>
        <w:spacing w:after="0" w:line="263" w:lineRule="auto"/>
        <w:tabs>
          <w:tab w:leader="none" w:pos="495"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contracts, interest rate swap and collar agreements </w:t>
      </w:r>
      <w:r>
        <w:rPr>
          <w:rFonts w:ascii="Arial" w:cs="Arial" w:eastAsia="Arial" w:hAnsi="Arial"/>
          <w:sz w:val="18"/>
          <w:szCs w:val="18"/>
          <w:color w:val="auto"/>
        </w:rPr>
        <w:t>— fair values are determined through the use of models that consider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including time value, yield curves, as well as other relevant economic measures, which are inputs that are classified as Level 2 in the valuation hierarchy defined above; and</w:t>
      </w:r>
    </w:p>
    <w:p>
      <w:pPr>
        <w:spacing w:after="0" w:line="129" w:lineRule="exact"/>
        <w:rPr>
          <w:rFonts w:ascii="Arial" w:cs="Arial" w:eastAsia="Arial" w:hAnsi="Arial"/>
          <w:sz w:val="18"/>
          <w:szCs w:val="18"/>
          <w:color w:val="auto"/>
        </w:rPr>
      </w:pPr>
    </w:p>
    <w:p>
      <w:pPr>
        <w:jc w:val="both"/>
        <w:ind w:left="460" w:hanging="331"/>
        <w:spacing w:after="0" w:line="279" w:lineRule="auto"/>
        <w:tabs>
          <w:tab w:leader="none" w:pos="45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7"/>
          <w:szCs w:val="17"/>
          <w:color w:val="auto"/>
        </w:rPr>
        <w:t>— fair value of mutual funds and cash equivalents are based on quoted market prices in active markets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classified as Level 1 in the valuation hierarchy defined above; fair value of common/collective trusts are valued at net asset value (“NAV”), which is based on the fair value of the underlying securities owned by the fund and divided by the number of shares outstanding.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0" w:type="dxa"/>
            <w:vAlign w:val="bottom"/>
            <w:gridSpan w:val="12"/>
          </w:tcPr>
          <w:p>
            <w:pPr>
              <w:spacing w:after="0"/>
              <w:rPr>
                <w:sz w:val="20"/>
                <w:szCs w:val="20"/>
                <w:color w:val="auto"/>
              </w:rPr>
            </w:pPr>
            <w:r>
              <w:rPr>
                <w:rFonts w:ascii="Arial" w:cs="Arial" w:eastAsia="Arial" w:hAnsi="Arial"/>
                <w:sz w:val="18"/>
                <w:szCs w:val="18"/>
                <w:color w:val="auto"/>
                <w:w w:val="94"/>
              </w:rPr>
              <w:t>The recorded amounts and estimated fair values of total debt, excluding unamortized issuance costs and discounts, were as follows: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2"/>
        </w:trPr>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60" w:type="dxa"/>
            <w:vAlign w:val="bottom"/>
            <w:gridSpan w:val="4"/>
          </w:tcPr>
          <w:p>
            <w:pPr>
              <w:ind w:left="220"/>
              <w:spacing w:after="0" w:line="202" w:lineRule="exact"/>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3"/>
          </w:tcPr>
          <w:p>
            <w:pPr>
              <w:jc w:val="right"/>
              <w:ind w:right="65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39"/>
        </w:trPr>
        <w:tc>
          <w:tcPr>
            <w:tcW w:w="5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spacing w:after="0"/>
              <w:rPr>
                <w:sz w:val="20"/>
                <w:szCs w:val="20"/>
                <w:color w:val="auto"/>
              </w:rPr>
            </w:pPr>
          </w:p>
        </w:tc>
      </w:tr>
      <w:tr>
        <w:trPr>
          <w:trHeight w:val="173"/>
        </w:trPr>
        <w:tc>
          <w:tcPr>
            <w:tcW w:w="5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gridSpan w:val="2"/>
          </w:tcPr>
          <w:p>
            <w:pPr>
              <w:jc w:val="right"/>
              <w:ind w:right="110"/>
              <w:spacing w:after="0" w:line="173" w:lineRule="exact"/>
              <w:rPr>
                <w:sz w:val="20"/>
                <w:szCs w:val="20"/>
                <w:color w:val="auto"/>
              </w:rPr>
            </w:pPr>
            <w:r>
              <w:rPr>
                <w:rFonts w:ascii="Arial" w:cs="Arial" w:eastAsia="Arial" w:hAnsi="Arial"/>
                <w:sz w:val="18"/>
                <w:szCs w:val="18"/>
                <w:b w:val="1"/>
                <w:bCs w:val="1"/>
                <w:color w:val="auto"/>
              </w:rPr>
              <w:t>Recorded</w:t>
            </w:r>
          </w:p>
        </w:tc>
        <w:tc>
          <w:tcPr>
            <w:tcW w:w="480" w:type="dxa"/>
            <w:vAlign w:val="bottom"/>
          </w:tcPr>
          <w:p>
            <w:pPr>
              <w:spacing w:after="0"/>
              <w:rPr>
                <w:sz w:val="15"/>
                <w:szCs w:val="15"/>
                <w:color w:val="auto"/>
              </w:rPr>
            </w:pPr>
          </w:p>
        </w:tc>
        <w:tc>
          <w:tcPr>
            <w:tcW w:w="840" w:type="dxa"/>
            <w:vAlign w:val="bottom"/>
          </w:tcPr>
          <w:p>
            <w:pPr>
              <w:ind w:left="40"/>
              <w:spacing w:after="0" w:line="173" w:lineRule="exact"/>
              <w:rPr>
                <w:sz w:val="20"/>
                <w:szCs w:val="20"/>
                <w:color w:val="auto"/>
              </w:rPr>
            </w:pPr>
            <w:r>
              <w:rPr>
                <w:rFonts w:ascii="Arial" w:cs="Arial" w:eastAsia="Arial" w:hAnsi="Arial"/>
                <w:sz w:val="18"/>
                <w:szCs w:val="18"/>
                <w:b w:val="1"/>
                <w:bCs w:val="1"/>
                <w:color w:val="auto"/>
              </w:rPr>
              <w:t>Fair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90"/>
              <w:spacing w:after="0" w:line="173" w:lineRule="exact"/>
              <w:rPr>
                <w:sz w:val="20"/>
                <w:szCs w:val="20"/>
                <w:color w:val="auto"/>
              </w:rPr>
            </w:pPr>
            <w:r>
              <w:rPr>
                <w:rFonts w:ascii="Arial" w:cs="Arial" w:eastAsia="Arial" w:hAnsi="Arial"/>
                <w:sz w:val="18"/>
                <w:szCs w:val="18"/>
                <w:b w:val="1"/>
                <w:bCs w:val="1"/>
                <w:color w:val="auto"/>
                <w:w w:val="96"/>
              </w:rPr>
              <w:t>Recorded</w:t>
            </w:r>
          </w:p>
        </w:tc>
        <w:tc>
          <w:tcPr>
            <w:tcW w:w="280" w:type="dxa"/>
            <w:vAlign w:val="bottom"/>
          </w:tcPr>
          <w:p>
            <w:pPr>
              <w:spacing w:after="0"/>
              <w:rPr>
                <w:sz w:val="15"/>
                <w:szCs w:val="15"/>
                <w:color w:val="auto"/>
              </w:rPr>
            </w:pPr>
          </w:p>
        </w:tc>
        <w:tc>
          <w:tcPr>
            <w:tcW w:w="96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Fair</w:t>
            </w:r>
          </w:p>
        </w:tc>
      </w:tr>
      <w:tr>
        <w:trPr>
          <w:trHeight w:val="24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Value</w:t>
            </w: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w:t>
            </w:r>
          </w:p>
        </w:tc>
      </w:tr>
      <w:tr>
        <w:trPr>
          <w:trHeight w:val="22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Fixed rate debt</w:t>
            </w: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789.3</w:t>
            </w:r>
          </w:p>
        </w:tc>
      </w:tr>
      <w:tr>
        <w:trPr>
          <w:trHeight w:val="248"/>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2,013.1</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1,971.5</w:t>
            </w: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2,309.3</w:t>
            </w:r>
          </w:p>
        </w:tc>
      </w:tr>
      <w:tr>
        <w:trPr>
          <w:trHeight w:val="20"/>
        </w:trPr>
        <w:tc>
          <w:tcPr>
            <w:tcW w:w="6100" w:type="dxa"/>
            <w:vAlign w:val="bottom"/>
            <w:tcBorders>
              <w:top w:val="single" w:sz="8" w:color="CCEEFF"/>
              <w:bottom w:val="single" w:sz="8" w:color="auto"/>
            </w:tcBorders>
            <w:gridSpan w:val="3"/>
          </w:tcPr>
          <w:p>
            <w:pPr>
              <w:spacing w:after="0" w:line="20" w:lineRule="exact"/>
              <w:rPr>
                <w:sz w:val="1"/>
                <w:szCs w:val="1"/>
                <w:color w:val="auto"/>
              </w:rPr>
            </w:pPr>
          </w:p>
        </w:tc>
        <w:tc>
          <w:tcPr>
            <w:tcW w:w="1680" w:type="dxa"/>
            <w:vAlign w:val="bottom"/>
            <w:tcBorders>
              <w:top w:val="single" w:sz="8" w:color="CCEEFF"/>
              <w:bottom w:val="single" w:sz="8" w:color="auto"/>
            </w:tcBorders>
            <w:gridSpan w:val="3"/>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7780" w:type="dxa"/>
            <w:vAlign w:val="bottom"/>
            <w:gridSpan w:val="6"/>
          </w:tcPr>
          <w:p>
            <w:pPr>
              <w:spacing w:after="0"/>
              <w:rPr>
                <w:sz w:val="20"/>
                <w:szCs w:val="20"/>
                <w:color w:val="auto"/>
              </w:rPr>
            </w:pPr>
            <w:r>
              <w:rPr>
                <w:rFonts w:ascii="Arial" w:cs="Arial" w:eastAsia="Arial" w:hAnsi="Arial"/>
                <w:sz w:val="18"/>
                <w:szCs w:val="18"/>
                <w:color w:val="auto"/>
                <w:w w:val="90"/>
              </w:rPr>
              <w:t>Financial assets and liabilities measured at fair value on a recurring and nonrecurring basis were as follows: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7"/>
        </w:trPr>
        <w:tc>
          <w:tcPr>
            <w:tcW w:w="54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6"/>
          </w:tcPr>
          <w:p>
            <w:pPr>
              <w:jc w:val="center"/>
              <w:ind w:left="130"/>
              <w:spacing w:after="0"/>
              <w:rPr>
                <w:sz w:val="20"/>
                <w:szCs w:val="20"/>
                <w:color w:val="auto"/>
              </w:rPr>
            </w:pPr>
            <w:r>
              <w:rPr>
                <w:rFonts w:ascii="Arial" w:cs="Arial" w:eastAsia="Arial" w:hAnsi="Arial"/>
                <w:sz w:val="18"/>
                <w:szCs w:val="18"/>
                <w:b w:val="1"/>
                <w:bCs w:val="1"/>
                <w:color w:val="auto"/>
                <w:w w:val="89"/>
              </w:rPr>
              <w:t>September 30, 2023</w:t>
            </w:r>
          </w:p>
        </w:tc>
        <w:tc>
          <w:tcPr>
            <w:tcW w:w="7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11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8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b w:val="1"/>
                <w:bCs w:val="1"/>
                <w:color w:val="auto"/>
                <w:w w:val="91"/>
              </w:rPr>
              <w:t>Level 3</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Interest rate contract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w:t>
            </w:r>
          </w:p>
        </w:tc>
        <w:tc>
          <w:tcPr>
            <w:tcW w:w="84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 liabilities</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w:t>
            </w: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11.0</w:t>
            </w:r>
          </w:p>
        </w:tc>
        <w:tc>
          <w:tcPr>
            <w:tcW w:w="7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48"/>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7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(40.6)</w:t>
            </w:r>
          </w:p>
        </w:tc>
        <w:tc>
          <w:tcPr>
            <w:tcW w:w="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gridSpan w:val="6"/>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5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center"/>
              <w:ind w:left="130"/>
              <w:spacing w:after="0"/>
              <w:rPr>
                <w:sz w:val="20"/>
                <w:szCs w:val="20"/>
                <w:color w:val="auto"/>
              </w:rPr>
            </w:pPr>
            <w:r>
              <w:rPr>
                <w:rFonts w:ascii="Arial" w:cs="Arial" w:eastAsia="Arial" w:hAnsi="Arial"/>
                <w:sz w:val="18"/>
                <w:szCs w:val="18"/>
                <w:b w:val="1"/>
                <w:bCs w:val="1"/>
                <w:color w:val="auto"/>
                <w:w w:val="90"/>
              </w:rPr>
              <w:t>December 31, 2022</w:t>
            </w: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11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88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b w:val="1"/>
                <w:bCs w:val="1"/>
                <w:color w:val="auto"/>
                <w:w w:val="91"/>
              </w:rPr>
              <w:t>Level 3</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contract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9"/>
              </w:rPr>
              <w:t>(52.2)</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3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7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w:t>
            </w:r>
          </w:p>
        </w:tc>
        <w:tc>
          <w:tcPr>
            <w:tcW w:w="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(52.2)</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effective income tax rate for the nine months ended September 30, 2023 was 14.5%, compared to 13.9% for the nine months ended September 30, 2022. We continue to actively pursue initiatives to reduce our effective tax rate. The tax rate in any quarter can be affected positively or negatively by the mix of global earnings or adjustments that are required to be reported in the specific quarter of resolution.</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total gross liability for uncertain tax positions was $37.2 million and $39.6 million at September 30, 2023 and December 31, 2022, respectively. We record penalties and interest related to unrecognized tax benefits in </w:t>
      </w:r>
      <w:r>
        <w:rPr>
          <w:rFonts w:ascii="Arial" w:cs="Arial" w:eastAsia="Arial" w:hAnsi="Arial"/>
          <w:sz w:val="17"/>
          <w:szCs w:val="17"/>
          <w:i w:val="1"/>
          <w:iCs w:val="1"/>
          <w:color w:val="auto"/>
        </w:rPr>
        <w:t>Provision for income taxes</w:t>
      </w:r>
      <w:r>
        <w:rPr>
          <w:rFonts w:ascii="Arial" w:cs="Arial" w:eastAsia="Arial" w:hAnsi="Arial"/>
          <w:sz w:val="17"/>
          <w:szCs w:val="17"/>
          <w:color w:val="auto"/>
        </w:rPr>
        <w:t xml:space="preserve"> and </w:t>
      </w:r>
      <w:r>
        <w:rPr>
          <w:rFonts w:ascii="Arial" w:cs="Arial" w:eastAsia="Arial" w:hAnsi="Arial"/>
          <w:sz w:val="17"/>
          <w:szCs w:val="17"/>
          <w:i w:val="1"/>
          <w:iCs w:val="1"/>
          <w:color w:val="auto"/>
        </w:rPr>
        <w:t>Net interest expense</w:t>
      </w:r>
      <w:r>
        <w:rPr>
          <w:rFonts w:ascii="Arial" w:cs="Arial" w:eastAsia="Arial" w:hAnsi="Arial"/>
          <w:sz w:val="17"/>
          <w:szCs w:val="17"/>
          <w:color w:val="auto"/>
        </w:rPr>
        <w:t>, respectively, on the Condensed Consolidated Statements of Operations and Comprehensive Income, which is consistent with our past practices.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Components of net periodic benefit expense for our pension plans for the three and nine months ended September 30, 2023 and 2022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ind w:left="60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89"/>
              </w:rPr>
              <w:t>September 30,</w:t>
            </w:r>
          </w:p>
        </w:tc>
      </w:tr>
      <w:tr>
        <w:trPr>
          <w:trHeight w:val="24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7"/>
              </w:rPr>
              <w:t>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7"/>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7"/>
              </w:rPr>
              <w:t>1.8</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Arial" w:cs="Arial" w:eastAsia="Arial" w:hAnsi="Arial"/>
                <w:sz w:val="18"/>
                <w:szCs w:val="18"/>
                <w:color w:val="auto"/>
                <w:w w:val="87"/>
              </w:rPr>
              <w:t>1.0</w:t>
            </w: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Arial" w:cs="Arial" w:eastAsia="Arial" w:hAnsi="Arial"/>
                <w:sz w:val="18"/>
                <w:szCs w:val="18"/>
                <w:color w:val="auto"/>
                <w:w w:val="87"/>
              </w:rPr>
              <w:t>3.0</w:t>
            </w: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Arial" w:cs="Arial" w:eastAsia="Arial" w:hAnsi="Arial"/>
                <w:sz w:val="18"/>
                <w:szCs w:val="18"/>
                <w:color w:val="auto"/>
                <w:w w:val="87"/>
              </w:rPr>
              <w:t>1.8</w:t>
            </w: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91"/>
              </w:rPr>
              <w:t>(0.2)</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7"/>
              </w:rPr>
              <w:t>(0.6)</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7"/>
              </w:rPr>
              <w:t>(0.3)</w:t>
            </w: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7"/>
              </w:rPr>
              <w:t>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7"/>
              </w:rPr>
              <w:t>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7"/>
              </w:rPr>
              <w:t>3.3</w:t>
            </w: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Components of net periodic benefit expense for our other post-retirement plans for the three and nine months ended September 30, 2023 and 2022 were not material.</w:t>
      </w:r>
    </w:p>
    <w:p>
      <w:pPr>
        <w:spacing w:after="0" w:line="193" w:lineRule="exact"/>
        <w:rPr>
          <w:sz w:val="20"/>
          <w:szCs w:val="20"/>
          <w:color w:val="auto"/>
        </w:rPr>
      </w:pPr>
    </w:p>
    <w:p>
      <w:pPr>
        <w:ind w:right="8940" w:firstLine="8"/>
        <w:spacing w:after="0" w:line="261" w:lineRule="auto"/>
        <w:tabs>
          <w:tab w:leader="none" w:pos="643"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jc w:val="both"/>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December 2020, the Board of Directors authorized the repurchase of our ordinary shares up to a maximum dollar limit of $750.0 million. The authorization expires on December 31, 2025. During the three and nine months ended September 30, 2023, no ordinary shares were repurchased. As of September 30, 2023, we had $600.0 million available for share repurchases under this authorization.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On September 18, 2023, the Board of Directors declared a quarterly cash dividend of $0.22 per share, payable on November 3, 2023 to shareholders of record at the close of business on October 20, 2023. As a result, the balance of dividends payable included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on our Condensed Consolidated Balance Sheets was $36.4 million at September 30, 2023, compared to $36.2 million at December 31, 2022.</w:t>
      </w:r>
    </w:p>
    <w:p>
      <w:pPr>
        <w:spacing w:after="0" w:line="12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January 1, 2023, we reorganized our reporting segments to reflect how we are managing our business and to help us accelerate our efforts to improve customer experience, differentiate our products and drive profitability for our shareholders. All prior period amounts related to the segment change have been retrospectively reclassified to conform to the new presentation. As part of this reorganization, the legacy Consumer Solutions segment was divided into a Pool segment and a Water Solutions segment. The Industrial &amp; Flow Technologies segment remains the same. We classify our operations into the following reporting segments:</w:t>
      </w:r>
    </w:p>
    <w:p>
      <w:pPr>
        <w:spacing w:after="0" w:line="137" w:lineRule="exact"/>
        <w:rPr>
          <w:sz w:val="20"/>
          <w:szCs w:val="20"/>
          <w:color w:val="auto"/>
        </w:rPr>
      </w:pPr>
    </w:p>
    <w:p>
      <w:pPr>
        <w:jc w:val="both"/>
        <w:ind w:left="660" w:hanging="328"/>
        <w:spacing w:after="0" w:line="254" w:lineRule="auto"/>
        <w:tabs>
          <w:tab w:leader="none" w:pos="655"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Industrial &amp; Flow Technologies </w:t>
      </w:r>
      <w:r>
        <w:rPr>
          <w:rFonts w:ascii="Arial" w:cs="Arial" w:eastAsia="Arial" w:hAnsi="Arial"/>
          <w:sz w:val="18"/>
          <w:szCs w:val="18"/>
          <w:color w:val="auto"/>
        </w:rPr>
        <w:t>— The focus of this segment is to deliver water where it is needed, when it is needed and more efficiently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transforming waste into value. This segment designs, manufactures and sells a variety of fluid treatment and pump products and systems, including 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spacing w:after="0" w:line="137" w:lineRule="exact"/>
        <w:rPr>
          <w:rFonts w:ascii="Arial" w:cs="Arial" w:eastAsia="Arial" w:hAnsi="Arial"/>
          <w:sz w:val="18"/>
          <w:szCs w:val="18"/>
          <w:b w:val="1"/>
          <w:bCs w:val="1"/>
          <w:i w:val="1"/>
          <w:iCs w:val="1"/>
          <w:color w:val="auto"/>
        </w:rPr>
      </w:pPr>
    </w:p>
    <w:p>
      <w:pPr>
        <w:jc w:val="both"/>
        <w:ind w:left="660" w:hanging="328"/>
        <w:spacing w:after="0" w:line="293" w:lineRule="auto"/>
        <w:tabs>
          <w:tab w:leader="none" w:pos="655" w:val="left"/>
        </w:tabs>
        <w:numPr>
          <w:ilvl w:val="0"/>
          <w:numId w:val="2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Water Solutions </w:t>
      </w:r>
      <w:r>
        <w:rPr>
          <w:rFonts w:ascii="Arial" w:cs="Arial" w:eastAsia="Arial" w:hAnsi="Arial"/>
          <w:sz w:val="16"/>
          <w:szCs w:val="16"/>
          <w:color w:val="auto"/>
        </w:rPr>
        <w:t>— The focus of this segment is to provide great tasting, higher-quality water and ice while helping end-users use water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used in residential whole home water filtration, drinking water filtration and water softening solutions in addition to commercial total water management and filtration in foodservice operations. In addition, our water solutions business also provides installation and preventative services for water management solutions for commercial operators.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660" w:hanging="328"/>
        <w:spacing w:after="0" w:line="301" w:lineRule="auto"/>
        <w:tabs>
          <w:tab w:leader="none" w:pos="655"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Pool </w:t>
      </w:r>
      <w:r>
        <w:rPr>
          <w:rFonts w:ascii="Arial" w:cs="Arial" w:eastAsia="Arial" w:hAnsi="Arial"/>
          <w:sz w:val="16"/>
          <w:szCs w:val="16"/>
          <w:color w:val="auto"/>
        </w:rPr>
        <w:t>— The focus of this segment is to provide innovative, energy-efficient pool solutions to help end-users more sustainably enjoy water.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and construction and aquaculture solutions.</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and transformation activities, impairments and other unusual non-operating items.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8"/>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8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r>
      <w:tr>
        <w:trPr>
          <w:trHeight w:val="24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1,203.6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1,125.0</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Solutions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Pool</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308.8</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1,007.4</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1,289.4</w:t>
            </w: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3,118.9</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 (loss)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177.0</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Solutions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Pool</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90.6</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311.9</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362.3</w:t>
            </w: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consolidated segment income to consolidated income from continuing operations before income 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178"/>
        </w:trPr>
        <w:tc>
          <w:tcPr>
            <w:tcW w:w="5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w w:val="90"/>
              </w:rPr>
              <w:t>September 30,</w:t>
            </w: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w w:val="90"/>
              </w:rPr>
              <w:t>September 30,</w:t>
            </w: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10"/>
              <w:spacing w:after="0" w:line="177" w:lineRule="exact"/>
              <w:rPr>
                <w:sz w:val="20"/>
                <w:szCs w:val="20"/>
                <w:color w:val="auto"/>
              </w:rPr>
            </w:pPr>
            <w:r>
              <w:rPr>
                <w:rFonts w:ascii="Arial" w:cs="Arial" w:eastAsia="Arial" w:hAnsi="Arial"/>
                <w:sz w:val="18"/>
                <w:szCs w:val="18"/>
                <w:b w:val="1"/>
                <w:bCs w:val="1"/>
                <w:color w:val="auto"/>
                <w:w w:val="90"/>
              </w:rPr>
              <w:t>September 30,</w:t>
            </w:r>
          </w:p>
        </w:tc>
      </w:tr>
      <w:tr>
        <w:trPr>
          <w:trHeight w:val="234"/>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Deal-related costs and expenses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step-up</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Asset impairment and write-offs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Transformation costs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amortization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Gain on sale of businesses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Russia business exit impact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Legal accrual adjustments and settlements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(expense) income</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40" w:firstLine="8"/>
        <w:spacing w:after="0" w:line="261" w:lineRule="auto"/>
        <w:tabs>
          <w:tab w:leader="none" w:pos="643"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Warranties</w:t>
      </w:r>
    </w:p>
    <w:p>
      <w:pPr>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changes in the carrying amount of service and product warranties from continuing operations for the nine months ended September 30, 2023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September 30,</w:t>
            </w:r>
          </w:p>
        </w:tc>
      </w:tr>
      <w:tr>
        <w:trPr>
          <w:trHeight w:val="24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5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Service and product warranty provision</w:t>
            </w:r>
          </w:p>
        </w:tc>
        <w:tc>
          <w:tcPr>
            <w:tcW w:w="3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29"/>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3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0"/>
        </w:trPr>
        <w:tc>
          <w:tcPr>
            <w:tcW w:w="6260" w:type="dxa"/>
            <w:vAlign w:val="bottom"/>
            <w:tcBorders>
              <w:top w:val="single" w:sz="8" w:color="CCEEFF"/>
              <w:bottom w:val="single" w:sz="8" w:color="auto"/>
            </w:tcBorders>
          </w:tcPr>
          <w:p>
            <w:pPr>
              <w:spacing w:after="0" w:line="20" w:lineRule="exact"/>
              <w:rPr>
                <w:sz w:val="1"/>
                <w:szCs w:val="1"/>
                <w:color w:val="auto"/>
              </w:rPr>
            </w:pPr>
          </w:p>
        </w:tc>
        <w:tc>
          <w:tcPr>
            <w:tcW w:w="3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and December 31, 2022, the outstanding value of bonds, letters of credit and bank guarantees totaled $106.9 million and $99.7 million, respectively.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00"/>
        <w:spacing w:after="0" w:line="34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jc w:val="both"/>
        <w:spacing w:after="0" w:line="249" w:lineRule="auto"/>
        <w:rPr>
          <w:sz w:val="20"/>
          <w:szCs w:val="20"/>
          <w:color w:val="auto"/>
        </w:rPr>
      </w:pPr>
      <w:r>
        <w:rPr>
          <w:rFonts w:ascii="Arial" w:cs="Arial" w:eastAsia="Arial" w:hAnsi="Arial"/>
          <w:sz w:val="17"/>
          <w:szCs w:val="17"/>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ESG goals. Additional information concerning these and other factors is contained in our filings with the U.S. Securities and Exchange Commission, including this Form 10-Q and our Annual Report on Form 10-K for the year ended December 31, 2022. All forward-looking statements speak only as of the date of this report. Pentair assumes no obligation, and disclaims any obligation, to update the information contained in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businesses and industries around the world. Our industry-leading and proven portfolio of solutions enables our customers to access clean, safe water; reduce water consumption; and recover and reuse water. Whether it’s improving, moving or helping people enjoy water, we help manage the world’s most precious resource. We are comprised of three reporting segments: Industrial &amp; Flow Technologies, Water Solutions and Pool. For the first nine months of 2023, the Industrial &amp; Flow Technologies, Water Solutions and Pool segments represented approximately 39%, 29% and 32% of total revenues, respectively. We classify our operations into reporting segments based primarily on types of products offered and markets served:</w:t>
      </w:r>
    </w:p>
    <w:p>
      <w:pPr>
        <w:spacing w:after="0" w:line="126" w:lineRule="exact"/>
        <w:rPr>
          <w:sz w:val="20"/>
          <w:szCs w:val="20"/>
          <w:color w:val="auto"/>
        </w:rPr>
      </w:pPr>
    </w:p>
    <w:p>
      <w:pPr>
        <w:jc w:val="both"/>
        <w:ind w:left="660" w:hanging="328"/>
        <w:spacing w:after="0" w:line="254" w:lineRule="auto"/>
        <w:tabs>
          <w:tab w:leader="none" w:pos="655"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Industrial &amp; Flow Technologies </w:t>
      </w:r>
      <w:r>
        <w:rPr>
          <w:rFonts w:ascii="Arial" w:cs="Arial" w:eastAsia="Arial" w:hAnsi="Arial"/>
          <w:sz w:val="18"/>
          <w:szCs w:val="18"/>
          <w:color w:val="auto"/>
        </w:rPr>
        <w:t>— The focus of this segment is to deliver water where it is needed, when it is needed and more efficiently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transforming waste into value. This segment designs, manufactures and sells a variety of fluid treatment and pump products and systems, including 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spacing w:after="0" w:line="137" w:lineRule="exact"/>
        <w:rPr>
          <w:rFonts w:ascii="Arial" w:cs="Arial" w:eastAsia="Arial" w:hAnsi="Arial"/>
          <w:sz w:val="18"/>
          <w:szCs w:val="18"/>
          <w:b w:val="1"/>
          <w:bCs w:val="1"/>
          <w:i w:val="1"/>
          <w:iCs w:val="1"/>
          <w:color w:val="auto"/>
        </w:rPr>
      </w:pPr>
    </w:p>
    <w:p>
      <w:pPr>
        <w:jc w:val="both"/>
        <w:ind w:left="660" w:hanging="328"/>
        <w:spacing w:after="0" w:line="293" w:lineRule="auto"/>
        <w:tabs>
          <w:tab w:leader="none" w:pos="655" w:val="left"/>
        </w:tabs>
        <w:numPr>
          <w:ilvl w:val="0"/>
          <w:numId w:val="2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Water Solutions </w:t>
      </w:r>
      <w:r>
        <w:rPr>
          <w:rFonts w:ascii="Arial" w:cs="Arial" w:eastAsia="Arial" w:hAnsi="Arial"/>
          <w:sz w:val="16"/>
          <w:szCs w:val="16"/>
          <w:color w:val="auto"/>
        </w:rPr>
        <w:t>— The focus of this segment is to provide great tasting, higher-quality water and ice while helping end-users use water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used in residential whole home water filtration, drinking water filtration and water softening solutions in addition to commercial total water management and filtration in foodservice operations. In addition, our water solutions business also provides installation and preventative services for water management solutions for commercial operators.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660" w:hanging="328"/>
        <w:spacing w:after="0" w:line="301" w:lineRule="auto"/>
        <w:tabs>
          <w:tab w:leader="none" w:pos="655" w:val="left"/>
        </w:tabs>
        <w:numPr>
          <w:ilvl w:val="0"/>
          <w:numId w:val="2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Pool </w:t>
      </w:r>
      <w:r>
        <w:rPr>
          <w:rFonts w:ascii="Arial" w:cs="Arial" w:eastAsia="Arial" w:hAnsi="Arial"/>
          <w:sz w:val="16"/>
          <w:szCs w:val="16"/>
          <w:color w:val="auto"/>
        </w:rPr>
        <w:t>— The focus of this segment is to provide innovative, energy-efficient pool solutions to help end-users more sustainably enjoy water.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and construction and aquaculture solutions.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July 2022, as part of our Water Solutions reporting segment, we acquired the issued and outstanding equity securities of certain subsidiaries of Welbilt, Inc. (“Welbilt”) and certain other assets, rights, and properties, and assumed certain liabilities, comprising Welbilt’s Manitowoc Ice business (“Manitowoc Ice”), for approximately $1.6 billion in cash.</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following trends and uncertainties affected our financial performance in the first nine months of 2023 and are reasonably likely to impact our results in the future:</w:t>
      </w:r>
    </w:p>
    <w:p>
      <w:pPr>
        <w:spacing w:after="0" w:line="131" w:lineRule="exact"/>
        <w:rPr>
          <w:sz w:val="20"/>
          <w:szCs w:val="20"/>
          <w:color w:val="auto"/>
        </w:rPr>
      </w:pPr>
    </w:p>
    <w:p>
      <w:pPr>
        <w:jc w:val="both"/>
        <w:ind w:left="660" w:hanging="328"/>
        <w:spacing w:after="0" w:line="296" w:lineRule="auto"/>
        <w:tabs>
          <w:tab w:leader="none" w:pos="655"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color w:val="auto"/>
        </w:rPr>
        <w:t>In 2021, we created a transformation office and launched and committed resources to the Transformation Program designed to accelerate growth and drive margin expansion by driving operational excellence, reducing complexity and streamlining our processes. During 2022 and the first nine months of 2023, we made strategic progress on our Transformation Program initiatives with a focus on our four key themes of pricing excellence, strategic sourcing, operations excellence and organizational effectiveness. We expect to continue to execute on our key Transformation Program initiatives to drive margin expansion and to continue to incur transformation costs throughout the remainder of 2023 and beyond.</w:t>
      </w:r>
    </w:p>
    <w:p>
      <w:pPr>
        <w:spacing w:after="0" w:line="107" w:lineRule="exact"/>
        <w:rPr>
          <w:rFonts w:ascii="Arial" w:cs="Arial" w:eastAsia="Arial" w:hAnsi="Arial"/>
          <w:sz w:val="16"/>
          <w:szCs w:val="16"/>
          <w:b w:val="1"/>
          <w:bCs w:val="1"/>
          <w:i w:val="1"/>
          <w:iCs w:val="1"/>
          <w:color w:val="auto"/>
        </w:rPr>
      </w:pPr>
    </w:p>
    <w:p>
      <w:pPr>
        <w:ind w:left="660" w:hanging="328"/>
        <w:spacing w:after="0" w:line="30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During 2022 and the first nine months of 2023, we executed certain business restructuring initiatives aimed at reducing our fixed cost structure and realigning our business. We expect these actions to continue throughout the remainder of 2023 and to drive margin growth.</w:t>
      </w:r>
    </w:p>
    <w:p>
      <w:pPr>
        <w:spacing w:after="0" w:line="92"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During the first nine months of 2023, we continued to experience supply chain challenges and inflationary cost increases of certain raw materials due to availability constraints and high demand. While we have taken pricing actions and implemented transformation initiatives that we expect to improve productivity and offset these cost increases, we expect supply chain pressures and inflationary cost increases to continue for the remainder of 2023, which may continue thereafter and could negatively impact our results of operations.</w:t>
      </w:r>
    </w:p>
    <w:p>
      <w:pPr>
        <w:spacing w:after="0" w:line="117"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second half of 2022 and the first nine months of 2023, we have seen inventory correcting within our residential distributor channels. We anticipate channel inventories to approach more normalized levels by the end of 2023.</w:t>
      </w:r>
    </w:p>
    <w:p>
      <w:pPr>
        <w:spacing w:after="0" w:line="116"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Organization for Economic Co-operation and Development Pillar Two Model Rules (“Pillar Two”) for a global 15.0% minimum tax are in the process of being adopted by a number of jurisdictions in which we operate. In particular, the United Kingdom has completed passage of legislation to comply with the Pillar Two framework which becomes effective beginning in 2024. Pillar Two could negatively impact our effective tax rate beginning in 2024. We are continuing to evaluate the impact of proposed and enacted legislative changes as new guidance becomes available.</w:t>
      </w:r>
    </w:p>
    <w:p>
      <w:pPr>
        <w:spacing w:after="0" w:line="103" w:lineRule="exact"/>
        <w:rPr>
          <w:rFonts w:ascii="Arial" w:cs="Arial" w:eastAsia="Arial" w:hAnsi="Arial"/>
          <w:sz w:val="16"/>
          <w:szCs w:val="16"/>
          <w:color w:val="auto"/>
        </w:rPr>
      </w:pPr>
    </w:p>
    <w:p>
      <w:pPr>
        <w:jc w:val="both"/>
        <w:ind w:left="660" w:hanging="328"/>
        <w:spacing w:after="0" w:line="311" w:lineRule="auto"/>
        <w:tabs>
          <w:tab w:leader="none" w:pos="655" w:val="left"/>
        </w:tabs>
        <w:numPr>
          <w:ilvl w:val="0"/>
          <w:numId w:val="27"/>
        </w:numPr>
        <w:rPr>
          <w:rFonts w:ascii="Arial" w:cs="Arial" w:eastAsia="Arial" w:hAnsi="Arial"/>
          <w:sz w:val="16"/>
          <w:szCs w:val="16"/>
          <w:i w:val="1"/>
          <w:iCs w:val="1"/>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expect to continue investing in our businesses to drive these opportunities through research and development and additional sales and marketing resources. Unless we successfully penetrate these markets, our core sales growth will likely be limited or may decline.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2023, our operating objectives focus on delivering our core and building our future. We expect to execute these objectives by:</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Delivering profitable revenue growth and productivity for customers and shareholders;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Continuing to focus on capital allocation through:</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Committing to maintain our investment grade rating;</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Focusing on reducing our long-term debt;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Returning cash to shareholders through dividends and share repurchases;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Accelerating our performance with strategically aligned mergers and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Focusing growth initiatives that accelerate our investments in digital, technology and services expansion;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Continuing to implement our Transformation Program initiatives that will drive operational excellence, reduce complexity and improve our organizational structure; and</w:t>
      </w:r>
    </w:p>
    <w:p>
      <w:pPr>
        <w:spacing w:after="0" w:line="116"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Building a high-performance growth culture and delivering on our commitments while living our Win Right values.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three months ended September 30, 2023 and 2022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169"/>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220" w:type="dxa"/>
            <w:vAlign w:val="bottom"/>
          </w:tcPr>
          <w:p>
            <w:pPr>
              <w:spacing w:after="0"/>
              <w:rPr>
                <w:sz w:val="14"/>
                <w:szCs w:val="14"/>
                <w:color w:val="auto"/>
              </w:rPr>
            </w:pPr>
          </w:p>
        </w:tc>
        <w:tc>
          <w:tcPr>
            <w:tcW w:w="1240" w:type="dxa"/>
            <w:vAlign w:val="bottom"/>
          </w:tcPr>
          <w:p>
            <w:pPr>
              <w:jc w:val="right"/>
              <w:ind w:right="710"/>
              <w:spacing w:after="0" w:line="169"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 / Point</w:t>
            </w:r>
          </w:p>
        </w:tc>
        <w:tc>
          <w:tcPr>
            <w:tcW w:w="260" w:type="dxa"/>
            <w:vAlign w:val="bottom"/>
          </w:tcPr>
          <w:p>
            <w:pPr>
              <w:spacing w:after="0"/>
              <w:rPr>
                <w:sz w:val="14"/>
                <w:szCs w:val="14"/>
                <w:color w:val="auto"/>
              </w:rPr>
            </w:pPr>
          </w:p>
        </w:tc>
      </w:tr>
      <w:tr>
        <w:trPr>
          <w:trHeight w:val="243"/>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21"/>
                <w:szCs w:val="2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1,055.1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(46.3)</w:t>
            </w: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7"/>
              </w:rPr>
              <w:t>(4.4)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637.0</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707.0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(70.0)</w:t>
            </w: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7"/>
              </w:rPr>
              <w:t>(9.9)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371.8</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348.1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36.9 %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33.0 %</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3.9</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r>
      <w:tr>
        <w:trPr>
          <w:trHeight w:val="229"/>
        </w:trPr>
        <w:tc>
          <w:tcPr>
            <w:tcW w:w="5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166.2</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177.3</w:t>
            </w:r>
          </w:p>
        </w:tc>
        <w:tc>
          <w:tcPr>
            <w:tcW w:w="22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(11.1)</w:t>
            </w:r>
          </w:p>
        </w:tc>
        <w:tc>
          <w:tcPr>
            <w:tcW w:w="1080" w:type="dxa"/>
            <w:vAlign w:val="bottom"/>
          </w:tcPr>
          <w:p>
            <w:pPr>
              <w:ind w:left="700"/>
              <w:spacing w:after="0"/>
              <w:rPr>
                <w:sz w:val="20"/>
                <w:szCs w:val="20"/>
                <w:color w:val="auto"/>
              </w:rPr>
            </w:pPr>
            <w:r>
              <w:rPr>
                <w:rFonts w:ascii="Arial" w:cs="Arial" w:eastAsia="Arial" w:hAnsi="Arial"/>
                <w:sz w:val="18"/>
                <w:szCs w:val="18"/>
                <w:color w:val="auto"/>
                <w:w w:val="97"/>
              </w:rPr>
              <w:t>(6.3)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16.5 %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16.8 %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w w:val="93"/>
              </w:rPr>
              <w:t>(0.3) pts</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pts</w:t>
            </w:r>
          </w:p>
        </w:tc>
      </w:tr>
      <w:tr>
        <w:trPr>
          <w:trHeight w:val="256"/>
        </w:trPr>
        <w:tc>
          <w:tcPr>
            <w:tcW w:w="5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180.1</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17.9 %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13.9 %</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4.0</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r>
      <w:tr>
        <w:trPr>
          <w:trHeight w:val="256"/>
        </w:trPr>
        <w:tc>
          <w:tcPr>
            <w:tcW w:w="5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spacing w:after="0"/>
              <w:rPr>
                <w:sz w:val="22"/>
                <w:szCs w:val="22"/>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Gain on sale of businesses</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0.2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8.2</w:t>
            </w:r>
          </w:p>
        </w:tc>
        <w:tc>
          <w:tcPr>
            <w:tcW w:w="108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152.9</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127.7</w:t>
            </w:r>
          </w:p>
        </w:tc>
        <w:tc>
          <w:tcPr>
            <w:tcW w:w="22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25.2</w:t>
            </w:r>
          </w:p>
        </w:tc>
        <w:tc>
          <w:tcPr>
            <w:tcW w:w="1080" w:type="dxa"/>
            <w:vAlign w:val="bottom"/>
          </w:tcPr>
          <w:p>
            <w:pPr>
              <w:jc w:val="right"/>
              <w:spacing w:after="0"/>
              <w:rPr>
                <w:sz w:val="20"/>
                <w:szCs w:val="20"/>
                <w:color w:val="auto"/>
              </w:rPr>
            </w:pPr>
            <w:r>
              <w:rPr>
                <w:rFonts w:ascii="Arial" w:cs="Arial" w:eastAsia="Arial" w:hAnsi="Arial"/>
                <w:sz w:val="18"/>
                <w:szCs w:val="18"/>
                <w:color w:val="auto"/>
              </w:rPr>
              <w:t>19.7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13.6 %</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9.6 %</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4.0</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nine months ended September 30, 2023 and September 30, 2022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Nine months ended</w:t>
            </w: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169"/>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4"/>
              </w:rPr>
              <w:t>September 30,</w:t>
            </w:r>
          </w:p>
        </w:tc>
        <w:tc>
          <w:tcPr>
            <w:tcW w:w="160" w:type="dxa"/>
            <w:vAlign w:val="bottom"/>
          </w:tcPr>
          <w:p>
            <w:pPr>
              <w:spacing w:after="0"/>
              <w:rPr>
                <w:sz w:val="14"/>
                <w:szCs w:val="14"/>
                <w:color w:val="auto"/>
              </w:rPr>
            </w:pPr>
          </w:p>
        </w:tc>
        <w:tc>
          <w:tcPr>
            <w:tcW w:w="142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4"/>
              </w:rPr>
              <w:t>September 30,</w:t>
            </w:r>
          </w:p>
        </w:tc>
        <w:tc>
          <w:tcPr>
            <w:tcW w:w="220" w:type="dxa"/>
            <w:vAlign w:val="bottom"/>
          </w:tcPr>
          <w:p>
            <w:pPr>
              <w:spacing w:after="0"/>
              <w:rPr>
                <w:sz w:val="14"/>
                <w:szCs w:val="14"/>
                <w:color w:val="auto"/>
              </w:rPr>
            </w:pPr>
          </w:p>
        </w:tc>
        <w:tc>
          <w:tcPr>
            <w:tcW w:w="1220" w:type="dxa"/>
            <w:vAlign w:val="bottom"/>
          </w:tcPr>
          <w:p>
            <w:pPr>
              <w:jc w:val="right"/>
              <w:ind w:right="710"/>
              <w:spacing w:after="0" w:line="169"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 / Point</w:t>
            </w:r>
          </w:p>
        </w:tc>
        <w:tc>
          <w:tcPr>
            <w:tcW w:w="260" w:type="dxa"/>
            <w:vAlign w:val="bottom"/>
          </w:tcPr>
          <w:p>
            <w:pPr>
              <w:spacing w:after="0"/>
              <w:rPr>
                <w:sz w:val="14"/>
                <w:szCs w:val="14"/>
                <w:color w:val="auto"/>
              </w:rPr>
            </w:pPr>
          </w:p>
        </w:tc>
      </w:tr>
      <w:tr>
        <w:trPr>
          <w:trHeight w:val="243"/>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21"/>
                <w:szCs w:val="2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1,966.8</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2,079.1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1,153.1</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1,039.8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113.3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37.0 %</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33.3 %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3.7</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r>
      <w:tr>
        <w:trPr>
          <w:trHeight w:val="257"/>
        </w:trPr>
        <w:tc>
          <w:tcPr>
            <w:tcW w:w="5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504.6</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487.0</w:t>
            </w:r>
          </w:p>
        </w:tc>
        <w:tc>
          <w:tcPr>
            <w:tcW w:w="220" w:type="dxa"/>
            <w:vAlign w:val="bottom"/>
          </w:tcPr>
          <w:p>
            <w:pPr>
              <w:spacing w:after="0"/>
              <w:rPr>
                <w:sz w:val="19"/>
                <w:szCs w:val="19"/>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17.6</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16.2 %</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15.6 %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pts</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76.3</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69.1</w:t>
            </w:r>
          </w:p>
        </w:tc>
        <w:tc>
          <w:tcPr>
            <w:tcW w:w="220" w:type="dxa"/>
            <w:vAlign w:val="bottom"/>
          </w:tcPr>
          <w:p>
            <w:pPr>
              <w:spacing w:after="0"/>
              <w:rPr>
                <w:sz w:val="19"/>
                <w:szCs w:val="19"/>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7.2</w:t>
            </w: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2.4 %</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pts</w:t>
            </w:r>
          </w:p>
        </w:tc>
      </w:tr>
      <w:tr>
        <w:trPr>
          <w:trHeight w:val="257"/>
        </w:trPr>
        <w:tc>
          <w:tcPr>
            <w:tcW w:w="5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572.2</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483.7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88.5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18.3 %</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15.5 %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2.8</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r>
      <w:tr>
        <w:trPr>
          <w:trHeight w:val="256"/>
        </w:trPr>
        <w:tc>
          <w:tcPr>
            <w:tcW w:w="5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spacing w:after="0"/>
              <w:rPr>
                <w:sz w:val="22"/>
                <w:szCs w:val="22"/>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Gain on sale of businesses</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0.2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9"/>
                <w:szCs w:val="19"/>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N.M.</w:t>
            </w:r>
          </w:p>
        </w:tc>
      </w:tr>
      <w:tr>
        <w:trPr>
          <w:trHeight w:val="256"/>
        </w:trPr>
        <w:tc>
          <w:tcPr>
            <w:tcW w:w="5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484.9</w:t>
            </w:r>
          </w:p>
        </w:tc>
        <w:tc>
          <w:tcPr>
            <w:tcW w:w="16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449.2</w:t>
            </w:r>
          </w:p>
        </w:tc>
        <w:tc>
          <w:tcPr>
            <w:tcW w:w="220" w:type="dxa"/>
            <w:vAlign w:val="bottom"/>
          </w:tcPr>
          <w:p>
            <w:pPr>
              <w:spacing w:after="0"/>
              <w:rPr>
                <w:sz w:val="19"/>
                <w:szCs w:val="19"/>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35.7</w:t>
            </w: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70.1</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14.5 %</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13.9 %</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0.6</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consolidated net sales change from the prior period were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4740" w:type="dxa"/>
            <w:vAlign w:val="bottom"/>
          </w:tcPr>
          <w:p>
            <w:pPr>
              <w:jc w:val="right"/>
              <w:ind w:right="550"/>
              <w:spacing w:after="0"/>
              <w:rPr>
                <w:sz w:val="20"/>
                <w:szCs w:val="20"/>
                <w:color w:val="auto"/>
              </w:rPr>
            </w:pPr>
            <w:r>
              <w:rPr>
                <w:rFonts w:ascii="Arial" w:cs="Arial" w:eastAsia="Arial" w:hAnsi="Arial"/>
                <w:sz w:val="18"/>
                <w:szCs w:val="18"/>
                <w:b w:val="1"/>
                <w:bCs w:val="1"/>
                <w:color w:val="auto"/>
              </w:rPr>
              <w:t>Three months ended September 30, 2023</w:t>
            </w:r>
          </w:p>
        </w:tc>
        <w:tc>
          <w:tcPr>
            <w:tcW w:w="3760" w:type="dxa"/>
            <w:vAlign w:val="bottom"/>
          </w:tcPr>
          <w:p>
            <w:pPr>
              <w:jc w:val="right"/>
              <w:ind w:right="390"/>
              <w:spacing w:after="0"/>
              <w:rPr>
                <w:sz w:val="20"/>
                <w:szCs w:val="20"/>
                <w:color w:val="auto"/>
              </w:rPr>
            </w:pPr>
            <w:r>
              <w:rPr>
                <w:rFonts w:ascii="Arial" w:cs="Arial" w:eastAsia="Arial" w:hAnsi="Arial"/>
                <w:sz w:val="18"/>
                <w:szCs w:val="18"/>
                <w:b w:val="1"/>
                <w:bCs w:val="1"/>
                <w:color w:val="auto"/>
                <w:w w:val="95"/>
              </w:rPr>
              <w:t>Nine months ended September 30, 2023</w:t>
            </w:r>
          </w:p>
        </w:tc>
      </w:tr>
      <w:tr>
        <w:trPr>
          <w:trHeight w:val="234"/>
        </w:trPr>
        <w:tc>
          <w:tcPr>
            <w:tcW w:w="274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over the prior year period</w:t>
            </w:r>
          </w:p>
        </w:tc>
        <w:tc>
          <w:tcPr>
            <w:tcW w:w="37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over the prior year period</w:t>
            </w:r>
          </w:p>
        </w:tc>
      </w:tr>
      <w:tr>
        <w:trPr>
          <w:trHeight w:val="22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4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(12.6)%</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47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5.3</w:t>
            </w:r>
          </w:p>
        </w:tc>
        <w:tc>
          <w:tcPr>
            <w:tcW w:w="3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w:t>
            </w:r>
          </w:p>
        </w:tc>
      </w:tr>
      <w:tr>
        <w:trPr>
          <w:trHeight w:val="223"/>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4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(7.3)</w:t>
            </w:r>
          </w:p>
        </w:tc>
        <w:tc>
          <w:tcPr>
            <w:tcW w:w="3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Acquisition/Divestitures</w:t>
            </w:r>
          </w:p>
        </w:tc>
        <w:tc>
          <w:tcPr>
            <w:tcW w:w="4740" w:type="dxa"/>
            <w:vAlign w:val="bottom"/>
          </w:tcPr>
          <w:p>
            <w:pPr>
              <w:jc w:val="right"/>
              <w:ind w:right="350"/>
              <w:spacing w:after="0"/>
              <w:rPr>
                <w:sz w:val="20"/>
                <w:szCs w:val="20"/>
                <w:color w:val="auto"/>
              </w:rPr>
            </w:pPr>
            <w:r>
              <w:rPr>
                <w:rFonts w:ascii="Arial" w:cs="Arial" w:eastAsia="Arial" w:hAnsi="Arial"/>
                <w:sz w:val="18"/>
                <w:szCs w:val="18"/>
                <w:color w:val="auto"/>
              </w:rPr>
              <w:t>2.3</w:t>
            </w:r>
          </w:p>
        </w:tc>
        <w:tc>
          <w:tcPr>
            <w:tcW w:w="3760" w:type="dxa"/>
            <w:vAlign w:val="bottom"/>
          </w:tcPr>
          <w:p>
            <w:pPr>
              <w:jc w:val="right"/>
              <w:ind w:right="130"/>
              <w:spacing w:after="0"/>
              <w:rPr>
                <w:sz w:val="20"/>
                <w:szCs w:val="20"/>
                <w:color w:val="auto"/>
              </w:rPr>
            </w:pPr>
            <w:r>
              <w:rPr>
                <w:rFonts w:ascii="Arial" w:cs="Arial" w:eastAsia="Arial" w:hAnsi="Arial"/>
                <w:sz w:val="18"/>
                <w:szCs w:val="18"/>
                <w:color w:val="auto"/>
              </w:rPr>
              <w:t>5.9</w:t>
            </w:r>
          </w:p>
        </w:tc>
      </w:tr>
      <w:tr>
        <w:trPr>
          <w:trHeight w:val="229"/>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47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0.6</w:t>
            </w:r>
          </w:p>
        </w:tc>
        <w:tc>
          <w:tcPr>
            <w:tcW w:w="3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2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w:t>
            </w:r>
          </w:p>
        </w:tc>
        <w:tc>
          <w:tcPr>
            <w:tcW w:w="3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1"/>
        </w:trPr>
        <w:tc>
          <w:tcPr>
            <w:tcW w:w="274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4.4 percent decrease in net sales in the third quarter of 2023 from 2022 was primarily driven by:</w:t>
      </w:r>
    </w:p>
    <w:p>
      <w:pPr>
        <w:spacing w:after="0" w:line="171" w:lineRule="exact"/>
        <w:rPr>
          <w:sz w:val="20"/>
          <w:szCs w:val="20"/>
          <w:color w:val="auto"/>
        </w:rPr>
      </w:pPr>
    </w:p>
    <w:p>
      <w:pPr>
        <w:ind w:left="480" w:hanging="310"/>
        <w:spacing w:after="0"/>
        <w:tabs>
          <w:tab w:leader="none" w:pos="480"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decreased sales volume in our residential flow business within our Industrial &amp; Flow Technologies segment compared to the prior year;</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3" w:lineRule="exact"/>
        <w:rPr>
          <w:rFonts w:ascii="Arial" w:cs="Arial" w:eastAsia="Arial" w:hAnsi="Arial"/>
          <w:sz w:val="18"/>
          <w:szCs w:val="18"/>
          <w:i w:val="1"/>
          <w:iCs w:val="1"/>
          <w:color w:val="auto"/>
        </w:rPr>
      </w:pPr>
    </w:p>
    <w:p>
      <w:pPr>
        <w:ind w:left="5540"/>
        <w:spacing w:after="0"/>
        <w:rPr>
          <w:rFonts w:ascii="Arial" w:cs="Arial" w:eastAsia="Arial" w:hAnsi="Arial"/>
          <w:sz w:val="18"/>
          <w:szCs w:val="18"/>
          <w:i w:val="1"/>
          <w:iCs w:val="1"/>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00" w:right="20" w:hanging="330"/>
        <w:spacing w:after="0" w:line="277" w:lineRule="auto"/>
        <w:tabs>
          <w:tab w:leader="none" w:pos="495" w:val="left"/>
        </w:tabs>
        <w:numPr>
          <w:ilvl w:val="0"/>
          <w:numId w:val="31"/>
        </w:numPr>
        <w:rPr>
          <w:rFonts w:ascii="Arial" w:cs="Arial" w:eastAsia="Arial" w:hAnsi="Arial"/>
          <w:sz w:val="18"/>
          <w:szCs w:val="18"/>
          <w:i w:val="1"/>
          <w:iCs w:val="1"/>
          <w:color w:val="auto"/>
        </w:rPr>
      </w:pPr>
      <w:r>
        <w:rPr>
          <w:rFonts w:ascii="Arial" w:cs="Arial" w:eastAsia="Arial" w:hAnsi="Arial"/>
          <w:sz w:val="18"/>
          <w:szCs w:val="18"/>
          <w:color w:val="auto"/>
        </w:rPr>
        <w:t>decreased sales volume in our residential business within our Water Solutions segment driven by lower demand compared to the prior year and certain business exits announced in the second half of 2022; and</w:t>
      </w:r>
    </w:p>
    <w:p>
      <w:pPr>
        <w:spacing w:after="0" w:line="116" w:lineRule="exact"/>
        <w:rPr>
          <w:rFonts w:ascii="Arial" w:cs="Arial" w:eastAsia="Arial" w:hAnsi="Arial"/>
          <w:sz w:val="18"/>
          <w:szCs w:val="18"/>
          <w:i w:val="1"/>
          <w:iCs w:val="1"/>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volume decreases in our Pool segment primarily due to higher channel inventory and lower demand compared to the prior year.</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selling prices to mitigate a rise in inflationary costs and lower rebates and incentives in our Pool segment;</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increased sales within our Water Solutions segment from the acquisition of Manitowoc Ice, which was completed in the third quarter of 2022;</w:t>
      </w:r>
    </w:p>
    <w:p>
      <w:pPr>
        <w:spacing w:after="0" w:line="182" w:lineRule="exact"/>
        <w:rPr>
          <w:rFonts w:ascii="Arial" w:cs="Arial" w:eastAsia="Arial" w:hAnsi="Arial"/>
          <w:sz w:val="17"/>
          <w:szCs w:val="17"/>
          <w:color w:val="auto"/>
        </w:rPr>
      </w:pPr>
    </w:p>
    <w:p>
      <w:pPr>
        <w:ind w:left="500" w:right="20" w:hanging="330"/>
        <w:spacing w:after="0" w:line="277"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sales volume in our commercial business within our Water Solutions segment driven by higher demand and easing of supply chain pressures, which allowed increased production and delivery to market; and</w:t>
      </w:r>
    </w:p>
    <w:p>
      <w:pPr>
        <w:spacing w:after="0" w:line="116"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sales volume in our commercial flow and industrial solutions businesses within our Industrial &amp; Flow Technologies segment compared to the prior year.</w:t>
      </w:r>
    </w:p>
    <w:p>
      <w:pPr>
        <w:spacing w:after="0" w:line="200" w:lineRule="exact"/>
        <w:rPr>
          <w:sz w:val="20"/>
          <w:szCs w:val="20"/>
          <w:color w:val="auto"/>
        </w:rPr>
      </w:pPr>
    </w:p>
    <w:p>
      <w:pPr>
        <w:spacing w:after="0" w:line="294" w:lineRule="exact"/>
        <w:rPr>
          <w:sz w:val="20"/>
          <w:szCs w:val="20"/>
          <w:color w:val="auto"/>
        </w:rPr>
      </w:pPr>
    </w:p>
    <w:p>
      <w:pPr>
        <w:ind w:left="480" w:hanging="310"/>
        <w:spacing w:after="0"/>
        <w:tabs>
          <w:tab w:leader="none" w:pos="480" w:val="left"/>
        </w:tabs>
        <w:numPr>
          <w:ilvl w:val="0"/>
          <w:numId w:val="33"/>
        </w:numPr>
        <w:rPr>
          <w:rFonts w:ascii="Arial" w:cs="Arial" w:eastAsia="Arial" w:hAnsi="Arial"/>
          <w:sz w:val="18"/>
          <w:szCs w:val="18"/>
          <w:i w:val="1"/>
          <w:iCs w:val="1"/>
          <w:color w:val="auto"/>
        </w:rPr>
      </w:pPr>
      <w:r>
        <w:rPr>
          <w:rFonts w:ascii="Arial" w:cs="Arial" w:eastAsia="Arial" w:hAnsi="Arial"/>
          <w:sz w:val="18"/>
          <w:szCs w:val="18"/>
          <w:color w:val="auto"/>
        </w:rPr>
        <w:t>sales volume decreases in our Pool segment primarily due to higher channel inventory and lower demand compared to the prior year;</w:t>
      </w:r>
    </w:p>
    <w:p>
      <w:pPr>
        <w:spacing w:after="0" w:line="171" w:lineRule="exact"/>
        <w:rPr>
          <w:rFonts w:ascii="Arial" w:cs="Arial" w:eastAsia="Arial" w:hAnsi="Arial"/>
          <w:sz w:val="18"/>
          <w:szCs w:val="18"/>
          <w:i w:val="1"/>
          <w:iCs w:val="1"/>
          <w:color w:val="auto"/>
        </w:rPr>
      </w:pPr>
    </w:p>
    <w:p>
      <w:pPr>
        <w:ind w:left="500" w:right="20" w:hanging="330"/>
        <w:spacing w:after="0" w:line="277" w:lineRule="auto"/>
        <w:tabs>
          <w:tab w:leader="none" w:pos="495" w:val="left"/>
        </w:tabs>
        <w:numPr>
          <w:ilvl w:val="0"/>
          <w:numId w:val="33"/>
        </w:numPr>
        <w:rPr>
          <w:rFonts w:ascii="Arial" w:cs="Arial" w:eastAsia="Arial" w:hAnsi="Arial"/>
          <w:sz w:val="18"/>
          <w:szCs w:val="18"/>
          <w:i w:val="1"/>
          <w:iCs w:val="1"/>
          <w:color w:val="auto"/>
        </w:rPr>
      </w:pPr>
      <w:r>
        <w:rPr>
          <w:rFonts w:ascii="Arial" w:cs="Arial" w:eastAsia="Arial" w:hAnsi="Arial"/>
          <w:sz w:val="18"/>
          <w:szCs w:val="18"/>
          <w:color w:val="auto"/>
        </w:rPr>
        <w:t>decreased sales volume in our residential business within our Water Solutions segment driven by lower demand compared to the prior year and certain business exits announced in the second half of 2022;</w:t>
      </w:r>
    </w:p>
    <w:p>
      <w:pPr>
        <w:spacing w:after="0" w:line="116" w:lineRule="exact"/>
        <w:rPr>
          <w:rFonts w:ascii="Arial" w:cs="Arial" w:eastAsia="Arial" w:hAnsi="Arial"/>
          <w:sz w:val="18"/>
          <w:szCs w:val="18"/>
          <w:i w:val="1"/>
          <w:iCs w:val="1"/>
          <w:color w:val="auto"/>
        </w:rPr>
      </w:pPr>
    </w:p>
    <w:p>
      <w:pPr>
        <w:ind w:left="480" w:hanging="310"/>
        <w:spacing w:after="0"/>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increased sales within our Water Solutions segment from the acquisition of Manitowoc Ice, which was completed in the third quarter of 2022;</w:t>
      </w:r>
    </w:p>
    <w:p>
      <w:pPr>
        <w:spacing w:after="0" w:line="182" w:lineRule="exact"/>
        <w:rPr>
          <w:rFonts w:ascii="Arial" w:cs="Arial" w:eastAsia="Arial" w:hAnsi="Arial"/>
          <w:sz w:val="17"/>
          <w:szCs w:val="17"/>
          <w:color w:val="auto"/>
        </w:rPr>
      </w:pPr>
    </w:p>
    <w:p>
      <w:pPr>
        <w:ind w:left="500" w:hanging="330"/>
        <w:spacing w:after="0" w:line="277" w:lineRule="auto"/>
        <w:tabs>
          <w:tab w:leader="none" w:pos="4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sales volume in our commercial business within our Water Solutions segment driven by higher demand and easing of supply chain pressures which allowed increased production and delivery to market; and</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selling prices to mitigate a rise in inflationary costs and lower rebates and incentives in our Pool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3.9 and 3.7 percentage point increases in gross profit as a percentage of net sales in the third quarter and first nine months, respectively, of 2023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were primarily driven by:</w:t>
      </w:r>
    </w:p>
    <w:p>
      <w:pPr>
        <w:spacing w:after="0" w:line="157" w:lineRule="exact"/>
        <w:rPr>
          <w:sz w:val="20"/>
          <w:szCs w:val="20"/>
          <w:color w:val="auto"/>
        </w:rPr>
      </w:pPr>
    </w:p>
    <w:p>
      <w:pPr>
        <w:ind w:left="480" w:hanging="310"/>
        <w:spacing w:after="0"/>
        <w:tabs>
          <w:tab w:leader="none" w:pos="48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color w:val="auto"/>
        </w:rPr>
        <w:t>increases in selling prices to mitigate impacts of inflationary costs and lower rebates and incentives in our Pool segment;</w:t>
      </w:r>
    </w:p>
    <w:p>
      <w:pPr>
        <w:spacing w:after="0" w:line="171" w:lineRule="exact"/>
        <w:rPr>
          <w:rFonts w:ascii="Arial" w:cs="Arial" w:eastAsia="Arial" w:hAnsi="Arial"/>
          <w:sz w:val="18"/>
          <w:szCs w:val="18"/>
          <w:b w:val="1"/>
          <w:bCs w:val="1"/>
          <w:i w:val="1"/>
          <w:iCs w:val="1"/>
          <w:color w:val="auto"/>
        </w:rPr>
      </w:pPr>
    </w:p>
    <w:p>
      <w:pPr>
        <w:ind w:left="480" w:hanging="310"/>
        <w:spacing w:after="0"/>
        <w:tabs>
          <w:tab w:leader="none" w:pos="480" w:val="left"/>
        </w:tabs>
        <w:numPr>
          <w:ilvl w:val="0"/>
          <w:numId w:val="34"/>
        </w:numPr>
        <w:rPr>
          <w:rFonts w:ascii="Arial" w:cs="Arial" w:eastAsia="Arial" w:hAnsi="Arial"/>
          <w:sz w:val="18"/>
          <w:szCs w:val="18"/>
          <w:i w:val="1"/>
          <w:iCs w:val="1"/>
          <w:color w:val="auto"/>
        </w:rPr>
      </w:pPr>
      <w:r>
        <w:rPr>
          <w:rFonts w:ascii="Arial" w:cs="Arial" w:eastAsia="Arial" w:hAnsi="Arial"/>
          <w:sz w:val="18"/>
          <w:szCs w:val="18"/>
          <w:color w:val="auto"/>
        </w:rPr>
        <w:t>increased productivity within our Water Solutions segment as a result of certain transformation and restructuring initiatives; and</w:t>
      </w:r>
    </w:p>
    <w:p>
      <w:pPr>
        <w:spacing w:after="0" w:line="171" w:lineRule="exact"/>
        <w:rPr>
          <w:rFonts w:ascii="Arial" w:cs="Arial" w:eastAsia="Arial" w:hAnsi="Arial"/>
          <w:sz w:val="18"/>
          <w:szCs w:val="18"/>
          <w:i w:val="1"/>
          <w:iCs w:val="1"/>
          <w:color w:val="auto"/>
        </w:rPr>
      </w:pPr>
    </w:p>
    <w:p>
      <w:pPr>
        <w:ind w:left="480" w:hanging="310"/>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increased productivity in our Industrial &amp; Flow Technologies segment mainly driven by manufacturing leverage and transformation initiatives.</w:t>
      </w:r>
    </w:p>
    <w:p>
      <w:pPr>
        <w:spacing w:after="0" w:line="200" w:lineRule="exact"/>
        <w:rPr>
          <w:sz w:val="20"/>
          <w:szCs w:val="20"/>
          <w:color w:val="auto"/>
        </w:rPr>
      </w:pPr>
    </w:p>
    <w:p>
      <w:pPr>
        <w:spacing w:after="0" w:line="361" w:lineRule="exact"/>
        <w:rPr>
          <w:sz w:val="20"/>
          <w:szCs w:val="20"/>
          <w:color w:val="auto"/>
        </w:rPr>
      </w:pPr>
    </w:p>
    <w:p>
      <w:pPr>
        <w:ind w:left="480" w:hanging="310"/>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inflationary cost increases related to labor costs and certain raw materials;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5"/>
        </w:numPr>
        <w:rPr>
          <w:rFonts w:ascii="Arial" w:cs="Arial" w:eastAsia="Arial" w:hAnsi="Arial"/>
          <w:sz w:val="18"/>
          <w:szCs w:val="18"/>
          <w:i w:val="1"/>
          <w:iCs w:val="1"/>
          <w:color w:val="auto"/>
        </w:rPr>
      </w:pPr>
      <w:r>
        <w:rPr>
          <w:rFonts w:ascii="Arial" w:cs="Arial" w:eastAsia="Arial" w:hAnsi="Arial"/>
          <w:sz w:val="18"/>
          <w:szCs w:val="18"/>
          <w:color w:val="auto"/>
        </w:rPr>
        <w:t>inventory impairments and write-offs of $1.4 million in the third quarter of 2023 and $5.3 million in the first nine months of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0.3 percentage point decrease in SG&amp;A as a percentage of net sales in the third quarter of 2023 from 2022 was primarily driven by:</w:t>
      </w:r>
    </w:p>
    <w:p>
      <w:pPr>
        <w:spacing w:after="0" w:line="157" w:lineRule="exact"/>
        <w:rPr>
          <w:sz w:val="20"/>
          <w:szCs w:val="20"/>
          <w:color w:val="auto"/>
        </w:rPr>
      </w:pPr>
    </w:p>
    <w:p>
      <w:pPr>
        <w:ind w:left="500" w:hanging="330"/>
        <w:spacing w:after="0" w:line="277" w:lineRule="auto"/>
        <w:tabs>
          <w:tab w:leader="none" w:pos="495"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color w:val="auto"/>
        </w:rPr>
        <w:t>identifiable intangible asset amortization expense of $13.8 million in the third quarter of 2023, compared to $18.5 million in the third quarter of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restructuring and other costs of $1.6 million in the third quarter of 2023, compared to $12.5 million in the third quarter of 2022;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no deal-related costs and expenses in the third quarter of 2023, compared to $13.4 million in the third quarter of 2022.</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transformation costs of $13.5 million in the third quarter of 2023, compared to $10.1 million in the third quarter of 2022; and</w:t>
      </w:r>
    </w:p>
    <w:p>
      <w:pPr>
        <w:spacing w:after="0" w:line="171" w:lineRule="exact"/>
        <w:rPr>
          <w:rFonts w:ascii="Arial" w:cs="Arial" w:eastAsia="Arial" w:hAnsi="Arial"/>
          <w:sz w:val="18"/>
          <w:szCs w:val="18"/>
          <w:i w:val="1"/>
          <w:iCs w:val="1"/>
          <w:color w:val="auto"/>
        </w:rPr>
      </w:pPr>
    </w:p>
    <w:p>
      <w:pPr>
        <w:ind w:left="480" w:hanging="310"/>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employee compensation costs compared to the same period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0.6 percentage point increase in SG&amp;A as a percentage of net sales in the first nine months of 2023 from 2022 was primarily driven by:</w:t>
      </w:r>
    </w:p>
    <w:p>
      <w:pPr>
        <w:spacing w:after="0" w:line="171" w:lineRule="exact"/>
        <w:rPr>
          <w:sz w:val="20"/>
          <w:szCs w:val="20"/>
          <w:color w:val="auto"/>
        </w:rPr>
      </w:pPr>
    </w:p>
    <w:p>
      <w:pPr>
        <w:ind w:left="500" w:right="20" w:hanging="330"/>
        <w:spacing w:after="0" w:line="277" w:lineRule="auto"/>
        <w:tabs>
          <w:tab w:leader="none" w:pos="495" w:val="left"/>
        </w:tabs>
        <w:numPr>
          <w:ilvl w:val="0"/>
          <w:numId w:val="39"/>
        </w:numPr>
        <w:rPr>
          <w:rFonts w:ascii="Arial" w:cs="Arial" w:eastAsia="Arial" w:hAnsi="Arial"/>
          <w:sz w:val="18"/>
          <w:szCs w:val="18"/>
          <w:i w:val="1"/>
          <w:iCs w:val="1"/>
          <w:color w:val="auto"/>
        </w:rPr>
      </w:pPr>
      <w:r>
        <w:rPr>
          <w:rFonts w:ascii="Arial" w:cs="Arial" w:eastAsia="Arial" w:hAnsi="Arial"/>
          <w:sz w:val="18"/>
          <w:szCs w:val="18"/>
          <w:color w:val="auto"/>
        </w:rPr>
        <w:t>increased identifiable intangible asset amortization expense of $12.7 million in the first nine months of 2023 related to the addition of Manitowoc Ice’s definite-lived intangible assets in the third quarter of 2022;</w:t>
      </w:r>
    </w:p>
    <w:p>
      <w:pPr>
        <w:spacing w:after="0" w:line="116" w:lineRule="exact"/>
        <w:rPr>
          <w:rFonts w:ascii="Arial" w:cs="Arial" w:eastAsia="Arial" w:hAnsi="Arial"/>
          <w:sz w:val="18"/>
          <w:szCs w:val="18"/>
          <w:i w:val="1"/>
          <w:iCs w:val="1"/>
          <w:color w:val="auto"/>
        </w:rPr>
      </w:pPr>
    </w:p>
    <w:p>
      <w:pPr>
        <w:ind w:left="480" w:hanging="310"/>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transformation costs of $28.0 million in the first nine months of 2023, compared to $20.8 million in the first nine months of 2022;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employee compensation costs compared to the same period of the prior year.</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40"/>
        </w:numPr>
        <w:rPr>
          <w:rFonts w:ascii="Arial" w:cs="Arial" w:eastAsia="Arial" w:hAnsi="Arial"/>
          <w:sz w:val="18"/>
          <w:szCs w:val="18"/>
          <w:i w:val="1"/>
          <w:iCs w:val="1"/>
          <w:color w:val="auto"/>
        </w:rPr>
      </w:pPr>
      <w:r>
        <w:rPr>
          <w:rFonts w:ascii="Arial" w:cs="Arial" w:eastAsia="Arial" w:hAnsi="Arial"/>
          <w:sz w:val="18"/>
          <w:szCs w:val="18"/>
          <w:color w:val="auto"/>
        </w:rPr>
        <w:t>no deal-related costs and expenses in the first nine months of 2023, compared to $21.4 million in the first nine months of 2022; and</w:t>
      </w:r>
    </w:p>
    <w:p>
      <w:pPr>
        <w:spacing w:after="0" w:line="171" w:lineRule="exact"/>
        <w:rPr>
          <w:rFonts w:ascii="Arial" w:cs="Arial" w:eastAsia="Arial" w:hAnsi="Arial"/>
          <w:sz w:val="18"/>
          <w:szCs w:val="18"/>
          <w:i w:val="1"/>
          <w:iCs w:val="1"/>
          <w:color w:val="auto"/>
        </w:rPr>
      </w:pPr>
    </w:p>
    <w:p>
      <w:pPr>
        <w:ind w:left="480" w:hanging="310"/>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restructuring and other costs of $5.1 million in the first nine months of 2023, compared to $15.7 million in the first nine months of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increases in net interest expense in the third quarter and first nine months, respectively, of 2023 from 2022 were primarily driven by:</w:t>
      </w:r>
    </w:p>
    <w:p>
      <w:pPr>
        <w:spacing w:after="0" w:line="157" w:lineRule="exact"/>
        <w:rPr>
          <w:sz w:val="20"/>
          <w:szCs w:val="20"/>
          <w:color w:val="auto"/>
        </w:rPr>
      </w:pPr>
    </w:p>
    <w:p>
      <w:pPr>
        <w:ind w:left="480" w:hanging="310"/>
        <w:spacing w:after="0"/>
        <w:tabs>
          <w:tab w:leader="none" w:pos="480"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increased variable interest rates compared to the same periods of the prior year; and</w:t>
      </w:r>
    </w:p>
    <w:p>
      <w:pPr>
        <w:spacing w:after="0" w:line="171" w:lineRule="exact"/>
        <w:rPr>
          <w:rFonts w:ascii="Arial" w:cs="Arial" w:eastAsia="Arial" w:hAnsi="Arial"/>
          <w:sz w:val="18"/>
          <w:szCs w:val="18"/>
          <w:i w:val="1"/>
          <w:iCs w:val="1"/>
          <w:color w:val="auto"/>
        </w:rPr>
      </w:pPr>
    </w:p>
    <w:p>
      <w:pPr>
        <w:ind w:left="480" w:hanging="310"/>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debt due to the acquisition of Manitowoc Ice in the third quarter of 2022.</w:t>
      </w:r>
    </w:p>
    <w:p>
      <w:pPr>
        <w:spacing w:after="0" w:line="200" w:lineRule="exact"/>
        <w:rPr>
          <w:sz w:val="20"/>
          <w:szCs w:val="20"/>
          <w:color w:val="auto"/>
        </w:rPr>
      </w:pPr>
    </w:p>
    <w:p>
      <w:pPr>
        <w:spacing w:after="0" w:line="349" w:lineRule="exact"/>
        <w:rPr>
          <w:sz w:val="20"/>
          <w:szCs w:val="20"/>
          <w:color w:val="auto"/>
        </w:rPr>
      </w:pPr>
    </w:p>
    <w:p>
      <w:pPr>
        <w:jc w:val="both"/>
        <w:ind w:left="500" w:hanging="330"/>
        <w:spacing w:after="0" w:line="263" w:lineRule="auto"/>
        <w:tabs>
          <w:tab w:leader="none" w:pos="4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amortization of debt issuance costs of $1.3 million during the third quarter of 2022 and $9.0 million during the first nine months of 2022 related to financing commitments for a bridge loan facility established in connection with the acquisition of Manitowoc Ice that did not recur in the first nine months of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i w:val="1"/>
          <w:iCs w:val="1"/>
          <w:color w:val="auto"/>
        </w:rPr>
        <w:t>The 4.0 and 0.6 percentage point increases in the effective tax rate in the third quarter and first nine months, respectively, of 2023 from 2022 were primarily driven b</w:t>
      </w:r>
      <w:r>
        <w:rPr>
          <w:rFonts w:ascii="Arial" w:cs="Arial" w:eastAsia="Arial" w:hAnsi="Arial"/>
          <w:sz w:val="18"/>
          <w:szCs w:val="18"/>
          <w:color w:val="auto"/>
        </w:rPr>
        <w:t>y:</w:t>
      </w:r>
    </w:p>
    <w:p>
      <w:pPr>
        <w:spacing w:after="0" w:line="131" w:lineRule="exact"/>
        <w:rPr>
          <w:sz w:val="20"/>
          <w:szCs w:val="20"/>
          <w:color w:val="auto"/>
        </w:rPr>
      </w:pPr>
    </w:p>
    <w:p>
      <w:pPr>
        <w:ind w:left="480" w:hanging="310"/>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unfavorable mix of global earnings.</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the impact of favorable discrete items that occurred during the third quarter and first nine months of 2023 that did not occur in 2022.</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3" w:lineRule="exact"/>
        <w:rPr>
          <w:rFonts w:ascii="Arial" w:cs="Arial" w:eastAsia="Arial" w:hAnsi="Arial"/>
          <w:sz w:val="18"/>
          <w:szCs w:val="18"/>
          <w:i w:val="1"/>
          <w:iCs w:val="1"/>
          <w:color w:val="auto"/>
        </w:rPr>
      </w:pPr>
    </w:p>
    <w:p>
      <w:pPr>
        <w:ind w:left="5540"/>
        <w:spacing w:after="0"/>
        <w:rPr>
          <w:rFonts w:ascii="Arial" w:cs="Arial" w:eastAsia="Arial" w:hAnsi="Arial"/>
          <w:sz w:val="18"/>
          <w:szCs w:val="18"/>
          <w:i w:val="1"/>
          <w:iCs w:val="1"/>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summary that follows provides a discussion of the results of operations of our three reportable segments (Industrial &amp; Flow Technologies, Water Solutions and Pool). Each of these segments is comprised of various product offerings that serve multiple end users.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and transformation activities, impairments, legal accrual adjustments and settlements and other unusual non-operating items.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&amp; Flow Technologies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Industrial &amp; Flow Technologies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1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1340" w:type="dxa"/>
            <w:vAlign w:val="bottom"/>
          </w:tcPr>
          <w:p>
            <w:pPr>
              <w:spacing w:after="0"/>
              <w:rPr>
                <w:sz w:val="20"/>
                <w:szCs w:val="20"/>
                <w:color w:val="auto"/>
              </w:rPr>
            </w:pPr>
          </w:p>
        </w:tc>
      </w:tr>
      <w:tr>
        <w:trPr>
          <w:trHeight w:val="169"/>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26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44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 / Point</w:t>
            </w:r>
          </w:p>
        </w:tc>
        <w:tc>
          <w:tcPr>
            <w:tcW w:w="160" w:type="dxa"/>
            <w:vAlign w:val="bottom"/>
          </w:tcPr>
          <w:p>
            <w:pPr>
              <w:spacing w:after="0"/>
              <w:rPr>
                <w:sz w:val="14"/>
                <w:szCs w:val="14"/>
                <w:color w:val="auto"/>
              </w:rPr>
            </w:pPr>
          </w:p>
        </w:tc>
        <w:tc>
          <w:tcPr>
            <w:tcW w:w="126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240" w:type="dxa"/>
            <w:vAlign w:val="bottom"/>
          </w:tcPr>
          <w:p>
            <w:pPr>
              <w:spacing w:after="0"/>
              <w:rPr>
                <w:sz w:val="14"/>
                <w:szCs w:val="14"/>
                <w:color w:val="auto"/>
              </w:rPr>
            </w:pPr>
          </w:p>
        </w:tc>
        <w:tc>
          <w:tcPr>
            <w:tcW w:w="136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3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 / Point</w:t>
            </w:r>
          </w:p>
        </w:tc>
      </w:tr>
      <w:tr>
        <w:trPr>
          <w:trHeight w:val="243"/>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389.5</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1,125.0</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77.5</w:t>
            </w:r>
          </w:p>
        </w:tc>
        <w:tc>
          <w:tcPr>
            <w:tcW w:w="2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65.7</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217.3</w:t>
            </w:r>
          </w:p>
        </w:tc>
        <w:tc>
          <w:tcPr>
            <w:tcW w:w="24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177.0</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22.8%</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2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i w:val="1"/>
                <w:iCs w:val="1"/>
                <w:color w:val="auto"/>
              </w:rPr>
              <w:t>19.4 %</w:t>
            </w:r>
          </w:p>
        </w:tc>
        <w:tc>
          <w:tcPr>
            <w:tcW w:w="1760" w:type="dxa"/>
            <w:vAlign w:val="bottom"/>
            <w:shd w:val="clear" w:color="auto" w:fill="CCEEFF"/>
          </w:tcPr>
          <w:p>
            <w:pPr>
              <w:jc w:val="right"/>
              <w:ind w:right="310"/>
              <w:spacing w:after="0"/>
              <w:rPr>
                <w:sz w:val="20"/>
                <w:szCs w:val="20"/>
                <w:color w:val="auto"/>
              </w:rPr>
            </w:pPr>
            <w:r>
              <w:rPr>
                <w:rFonts w:ascii="Arial" w:cs="Arial" w:eastAsia="Arial" w:hAnsi="Arial"/>
                <w:sz w:val="18"/>
                <w:szCs w:val="18"/>
                <w:i w:val="1"/>
                <w:iCs w:val="1"/>
                <w:color w:val="auto"/>
              </w:rPr>
              <w:t>16.9 %</w:t>
            </w:r>
          </w:p>
        </w:tc>
        <w:tc>
          <w:tcPr>
            <w:tcW w:w="166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2.5 pts</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18.1 %</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15.7 %</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w w:val="99"/>
              </w:rPr>
              <w:t>2.4 pts</w:t>
            </w:r>
          </w:p>
        </w:tc>
      </w:tr>
      <w:tr>
        <w:trPr>
          <w:trHeight w:val="458"/>
        </w:trPr>
        <w:tc>
          <w:tcPr>
            <w:tcW w:w="232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8880" w:type="dxa"/>
            <w:vAlign w:val="bottom"/>
            <w:gridSpan w:val="5"/>
          </w:tcPr>
          <w:p>
            <w:pPr>
              <w:spacing w:after="0"/>
              <w:rPr>
                <w:sz w:val="20"/>
                <w:szCs w:val="20"/>
                <w:color w:val="auto"/>
              </w:rPr>
            </w:pPr>
            <w:r>
              <w:rPr>
                <w:rFonts w:ascii="Arial" w:cs="Arial" w:eastAsia="Arial" w:hAnsi="Arial"/>
                <w:sz w:val="18"/>
                <w:szCs w:val="18"/>
                <w:color w:val="auto"/>
                <w:w w:val="99"/>
              </w:rPr>
              <w:t>The components of the change in Industrial &amp; Flow Technologies net sales from the prior period were as follows:</w:t>
            </w:r>
          </w:p>
        </w:tc>
        <w:tc>
          <w:tcPr>
            <w:tcW w:w="15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3"/>
        </w:trPr>
        <w:tc>
          <w:tcPr>
            <w:tcW w:w="2320" w:type="dxa"/>
            <w:vAlign w:val="bottom"/>
          </w:tcPr>
          <w:p>
            <w:pPr>
              <w:spacing w:after="0"/>
              <w:rPr>
                <w:sz w:val="24"/>
                <w:szCs w:val="24"/>
                <w:color w:val="auto"/>
              </w:rPr>
            </w:pPr>
          </w:p>
        </w:tc>
        <w:tc>
          <w:tcPr>
            <w:tcW w:w="516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9"/>
              </w:rPr>
              <w:t>Three months ended September 30, 2023</w:t>
            </w:r>
          </w:p>
        </w:tc>
        <w:tc>
          <w:tcPr>
            <w:tcW w:w="37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9"/>
              </w:rPr>
              <w:t>Nine months ended September 30, 2023</w:t>
            </w:r>
          </w:p>
        </w:tc>
      </w:tr>
      <w:tr>
        <w:trPr>
          <w:trHeight w:val="234"/>
        </w:trPr>
        <w:tc>
          <w:tcPr>
            <w:tcW w:w="2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2"/>
          </w:tcPr>
          <w:p>
            <w:pPr>
              <w:jc w:val="center"/>
              <w:ind w:right="970"/>
              <w:spacing w:after="0"/>
              <w:rPr>
                <w:sz w:val="20"/>
                <w:szCs w:val="20"/>
                <w:color w:val="auto"/>
              </w:rPr>
            </w:pPr>
            <w:r>
              <w:rPr>
                <w:rFonts w:ascii="Arial" w:cs="Arial" w:eastAsia="Arial" w:hAnsi="Arial"/>
                <w:sz w:val="18"/>
                <w:szCs w:val="18"/>
                <w:b w:val="1"/>
                <w:bCs w:val="1"/>
                <w:color w:val="auto"/>
                <w:w w:val="91"/>
              </w:rPr>
              <w:t>over the prior year period</w:t>
            </w:r>
          </w:p>
        </w:tc>
        <w:tc>
          <w:tcPr>
            <w:tcW w:w="298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b w:val="1"/>
                <w:bCs w:val="1"/>
                <w:color w:val="auto"/>
                <w:w w:val="91"/>
              </w:rPr>
              <w:t>over the prior year period</w:t>
            </w:r>
          </w:p>
        </w:tc>
        <w:tc>
          <w:tcPr>
            <w:tcW w:w="780" w:type="dxa"/>
            <w:vAlign w:val="bottom"/>
            <w:tcBorders>
              <w:bottom w:val="single" w:sz="8" w:color="auto"/>
            </w:tcBorders>
          </w:tcPr>
          <w:p>
            <w:pPr>
              <w:spacing w:after="0"/>
              <w:rPr>
                <w:sz w:val="20"/>
                <w:szCs w:val="20"/>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17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(3.8)%</w:t>
            </w:r>
          </w:p>
        </w:tc>
        <w:tc>
          <w:tcPr>
            <w:tcW w:w="1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(1.2)%</w:t>
            </w:r>
          </w:p>
        </w:tc>
      </w:tr>
      <w:tr>
        <w:trPr>
          <w:trHeight w:val="230"/>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17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4.9</w:t>
            </w:r>
          </w:p>
        </w:tc>
        <w:tc>
          <w:tcPr>
            <w:tcW w:w="1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8.3</w:t>
            </w:r>
          </w:p>
        </w:tc>
      </w:tr>
      <w:tr>
        <w:trPr>
          <w:trHeight w:val="223"/>
        </w:trPr>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17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1.1</w:t>
            </w:r>
          </w:p>
        </w:tc>
        <w:tc>
          <w:tcPr>
            <w:tcW w:w="1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7.1</w:t>
            </w:r>
          </w:p>
        </w:tc>
      </w:tr>
      <w:tr>
        <w:trPr>
          <w:trHeight w:val="230"/>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w:t>
            </w:r>
          </w:p>
        </w:tc>
        <w:tc>
          <w:tcPr>
            <w:tcW w:w="17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1.6</w:t>
            </w:r>
          </w:p>
        </w:tc>
        <w:tc>
          <w:tcPr>
            <w:tcW w:w="1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(0.1)</w:t>
            </w:r>
          </w:p>
        </w:tc>
      </w:tr>
      <w:tr>
        <w:trPr>
          <w:trHeight w:val="248"/>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2.7 %</w:t>
            </w:r>
          </w:p>
        </w:tc>
        <w:tc>
          <w:tcPr>
            <w:tcW w:w="14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1"/>
              </w:rPr>
              <w:t>7.0 %</w:t>
            </w:r>
          </w:p>
        </w:tc>
      </w:tr>
      <w:tr>
        <w:trPr>
          <w:trHeight w:val="20"/>
        </w:trPr>
        <w:tc>
          <w:tcPr>
            <w:tcW w:w="2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2.7 and 7.0 percent increases in net sales for Industrial &amp; Flow Technologies in the third quarter and first nine months, respectively, of 2023 from 2022 were primarily driven by:</w:t>
      </w:r>
    </w:p>
    <w:p>
      <w:pPr>
        <w:spacing w:after="0" w:line="116" w:lineRule="exact"/>
        <w:rPr>
          <w:sz w:val="20"/>
          <w:szCs w:val="20"/>
          <w:color w:val="auto"/>
        </w:rPr>
      </w:pPr>
    </w:p>
    <w:p>
      <w:pPr>
        <w:ind w:left="480" w:hanging="310"/>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in selling prices to mitigate inflationary cost increases;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sales volume in our commercial flow and industrial solutions businesses compared to the prior year;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favorable foreign currency effects compared to the third quarter of the prior year.</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decreased sales volume in our residential flow business compared to the prior year.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change in Industrial &amp; Flow Technologies segment income as a percentage of net sales from the prior period were as follows: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280" w:type="dxa"/>
            <w:vAlign w:val="bottom"/>
          </w:tcPr>
          <w:p>
            <w:pPr>
              <w:spacing w:after="0"/>
              <w:rPr>
                <w:sz w:val="19"/>
                <w:szCs w:val="19"/>
                <w:color w:val="auto"/>
              </w:rPr>
            </w:pPr>
          </w:p>
        </w:tc>
        <w:tc>
          <w:tcPr>
            <w:tcW w:w="462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Three months ended September 30, 2023</w:t>
            </w:r>
          </w:p>
        </w:tc>
        <w:tc>
          <w:tcPr>
            <w:tcW w:w="5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8"/>
              </w:rPr>
              <w:t>Nine months ended September 30, 2023</w:t>
            </w:r>
          </w:p>
        </w:tc>
        <w:tc>
          <w:tcPr>
            <w:tcW w:w="260" w:type="dxa"/>
            <w:vAlign w:val="bottom"/>
          </w:tcPr>
          <w:p>
            <w:pPr>
              <w:spacing w:after="0"/>
              <w:rPr>
                <w:sz w:val="19"/>
                <w:szCs w:val="19"/>
                <w:color w:val="auto"/>
              </w:rPr>
            </w:pPr>
          </w:p>
        </w:tc>
      </w:tr>
      <w:tr>
        <w:trPr>
          <w:trHeight w:val="234"/>
        </w:trPr>
        <w:tc>
          <w:tcPr>
            <w:tcW w:w="228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b w:val="1"/>
                <w:bCs w:val="1"/>
                <w:color w:val="auto"/>
                <w:w w:val="91"/>
              </w:rPr>
              <w:t>over the prior year period</w:t>
            </w:r>
          </w:p>
        </w:tc>
        <w:tc>
          <w:tcPr>
            <w:tcW w:w="5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over the prior year period</w:t>
            </w:r>
          </w:p>
        </w:tc>
        <w:tc>
          <w:tcPr>
            <w:tcW w:w="260" w:type="dxa"/>
            <w:vAlign w:val="bottom"/>
            <w:tcBorders>
              <w:bottom w:val="single" w:sz="8" w:color="auto"/>
            </w:tcBorders>
          </w:tcPr>
          <w:p>
            <w:pPr>
              <w:spacing w:after="0"/>
              <w:rPr>
                <w:sz w:val="20"/>
                <w:szCs w:val="20"/>
                <w:color w:val="auto"/>
              </w:rPr>
            </w:pPr>
          </w:p>
        </w:tc>
      </w:tr>
      <w:tr>
        <w:trPr>
          <w:trHeight w:val="223"/>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Growth/Price</w:t>
            </w:r>
          </w:p>
        </w:tc>
        <w:tc>
          <w:tcPr>
            <w:tcW w:w="4620" w:type="dxa"/>
            <w:vAlign w:val="bottom"/>
            <w:shd w:val="clear" w:color="auto" w:fill="CCEEFF"/>
          </w:tcPr>
          <w:p>
            <w:pPr>
              <w:jc w:val="center"/>
              <w:ind w:left="4150"/>
              <w:spacing w:after="0"/>
              <w:rPr>
                <w:sz w:val="20"/>
                <w:szCs w:val="20"/>
                <w:color w:val="auto"/>
              </w:rPr>
            </w:pPr>
            <w:r>
              <w:rPr>
                <w:rFonts w:ascii="Arial" w:cs="Arial" w:eastAsia="Arial" w:hAnsi="Arial"/>
                <w:sz w:val="18"/>
                <w:szCs w:val="18"/>
                <w:color w:val="auto"/>
                <w:w w:val="87"/>
              </w:rPr>
              <w:t>4.2</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pts</w:t>
            </w:r>
          </w:p>
        </w:tc>
        <w:tc>
          <w:tcPr>
            <w:tcW w:w="3520" w:type="dxa"/>
            <w:vAlign w:val="bottom"/>
            <w:shd w:val="clear" w:color="auto" w:fill="CCEEFF"/>
          </w:tcPr>
          <w:p>
            <w:pPr>
              <w:jc w:val="center"/>
              <w:ind w:left="3070"/>
              <w:spacing w:after="0"/>
              <w:rPr>
                <w:sz w:val="20"/>
                <w:szCs w:val="20"/>
                <w:color w:val="auto"/>
              </w:rPr>
            </w:pPr>
            <w:r>
              <w:rPr>
                <w:rFonts w:ascii="Arial" w:cs="Arial" w:eastAsia="Arial" w:hAnsi="Arial"/>
                <w:sz w:val="18"/>
                <w:szCs w:val="18"/>
                <w:color w:val="auto"/>
                <w:w w:val="95"/>
              </w:rPr>
              <w:t>6.5</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pts</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Currency</w:t>
            </w:r>
          </w:p>
        </w:tc>
        <w:tc>
          <w:tcPr>
            <w:tcW w:w="4620" w:type="dxa"/>
            <w:vAlign w:val="bottom"/>
          </w:tcPr>
          <w:p>
            <w:pPr>
              <w:jc w:val="center"/>
              <w:ind w:left="4130"/>
              <w:spacing w:after="0"/>
              <w:rPr>
                <w:sz w:val="20"/>
                <w:szCs w:val="20"/>
                <w:color w:val="auto"/>
              </w:rPr>
            </w:pPr>
            <w:r>
              <w:rPr>
                <w:rFonts w:ascii="Arial" w:cs="Arial" w:eastAsia="Arial" w:hAnsi="Arial"/>
                <w:sz w:val="18"/>
                <w:szCs w:val="18"/>
                <w:color w:val="auto"/>
                <w:w w:val="97"/>
              </w:rPr>
              <w:t>(0.2)</w:t>
            </w:r>
          </w:p>
        </w:tc>
        <w:tc>
          <w:tcPr>
            <w:tcW w:w="500" w:type="dxa"/>
            <w:vAlign w:val="bottom"/>
          </w:tcPr>
          <w:p>
            <w:pPr>
              <w:spacing w:after="0"/>
              <w:rPr>
                <w:sz w:val="19"/>
                <w:szCs w:val="19"/>
                <w:color w:val="auto"/>
              </w:rPr>
            </w:pPr>
          </w:p>
        </w:tc>
        <w:tc>
          <w:tcPr>
            <w:tcW w:w="3520" w:type="dxa"/>
            <w:vAlign w:val="bottom"/>
          </w:tcPr>
          <w:p>
            <w:pPr>
              <w:jc w:val="center"/>
              <w:ind w:left="3050"/>
              <w:spacing w:after="0"/>
              <w:rPr>
                <w:sz w:val="20"/>
                <w:szCs w:val="20"/>
                <w:color w:val="auto"/>
              </w:rPr>
            </w:pPr>
            <w:r>
              <w:rPr>
                <w:rFonts w:ascii="Arial" w:cs="Arial" w:eastAsia="Arial" w:hAnsi="Arial"/>
                <w:sz w:val="18"/>
                <w:szCs w:val="18"/>
                <w:color w:val="auto"/>
                <w:w w:val="91"/>
              </w:rPr>
              <w:t>(0.1)</w:t>
            </w:r>
          </w:p>
        </w:tc>
        <w:tc>
          <w:tcPr>
            <w:tcW w:w="260" w:type="dxa"/>
            <w:vAlign w:val="bottom"/>
          </w:tcPr>
          <w:p>
            <w:pPr>
              <w:spacing w:after="0"/>
              <w:rPr>
                <w:sz w:val="19"/>
                <w:szCs w:val="19"/>
                <w:color w:val="auto"/>
              </w:rPr>
            </w:pPr>
          </w:p>
        </w:tc>
      </w:tr>
      <w:tr>
        <w:trPr>
          <w:trHeight w:val="229"/>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Inflation</w:t>
            </w:r>
          </w:p>
        </w:tc>
        <w:tc>
          <w:tcPr>
            <w:tcW w:w="4620" w:type="dxa"/>
            <w:vAlign w:val="bottom"/>
            <w:shd w:val="clear" w:color="auto" w:fill="CCEEFF"/>
          </w:tcPr>
          <w:p>
            <w:pPr>
              <w:jc w:val="center"/>
              <w:ind w:left="4130"/>
              <w:spacing w:after="0"/>
              <w:rPr>
                <w:sz w:val="20"/>
                <w:szCs w:val="20"/>
                <w:color w:val="auto"/>
              </w:rPr>
            </w:pPr>
            <w:r>
              <w:rPr>
                <w:rFonts w:ascii="Arial" w:cs="Arial" w:eastAsia="Arial" w:hAnsi="Arial"/>
                <w:sz w:val="18"/>
                <w:szCs w:val="18"/>
                <w:color w:val="auto"/>
                <w:w w:val="97"/>
              </w:rPr>
              <w:t>(6.1)</w:t>
            </w:r>
          </w:p>
        </w:tc>
        <w:tc>
          <w:tcPr>
            <w:tcW w:w="500" w:type="dxa"/>
            <w:vAlign w:val="bottom"/>
            <w:shd w:val="clear" w:color="auto" w:fill="CCEEFF"/>
          </w:tcPr>
          <w:p>
            <w:pPr>
              <w:spacing w:after="0"/>
              <w:rPr>
                <w:sz w:val="19"/>
                <w:szCs w:val="19"/>
                <w:color w:val="auto"/>
              </w:rPr>
            </w:pPr>
          </w:p>
        </w:tc>
        <w:tc>
          <w:tcPr>
            <w:tcW w:w="3520" w:type="dxa"/>
            <w:vAlign w:val="bottom"/>
            <w:shd w:val="clear" w:color="auto" w:fill="CCEEFF"/>
          </w:tcPr>
          <w:p>
            <w:pPr>
              <w:jc w:val="center"/>
              <w:ind w:left="3050"/>
              <w:spacing w:after="0"/>
              <w:rPr>
                <w:sz w:val="20"/>
                <w:szCs w:val="20"/>
                <w:color w:val="auto"/>
              </w:rPr>
            </w:pPr>
            <w:r>
              <w:rPr>
                <w:rFonts w:ascii="Arial" w:cs="Arial" w:eastAsia="Arial" w:hAnsi="Arial"/>
                <w:sz w:val="18"/>
                <w:szCs w:val="18"/>
                <w:color w:val="auto"/>
                <w:w w:val="91"/>
              </w:rPr>
              <w:t>(6.1)</w:t>
            </w:r>
          </w:p>
        </w:tc>
        <w:tc>
          <w:tcPr>
            <w:tcW w:w="260" w:type="dxa"/>
            <w:vAlign w:val="bottom"/>
            <w:shd w:val="clear" w:color="auto" w:fill="CCEEFF"/>
          </w:tcPr>
          <w:p>
            <w:pPr>
              <w:spacing w:after="0"/>
              <w:rPr>
                <w:sz w:val="19"/>
                <w:szCs w:val="19"/>
                <w:color w:val="auto"/>
              </w:rPr>
            </w:pPr>
          </w:p>
        </w:tc>
      </w:tr>
      <w:tr>
        <w:trPr>
          <w:trHeight w:val="229"/>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Productivity</w:t>
            </w:r>
          </w:p>
        </w:tc>
        <w:tc>
          <w:tcPr>
            <w:tcW w:w="4620" w:type="dxa"/>
            <w:vAlign w:val="bottom"/>
            <w:tcBorders>
              <w:bottom w:val="single" w:sz="8" w:color="auto"/>
            </w:tcBorders>
          </w:tcPr>
          <w:p>
            <w:pPr>
              <w:jc w:val="center"/>
              <w:ind w:left="4150"/>
              <w:spacing w:after="0"/>
              <w:rPr>
                <w:sz w:val="20"/>
                <w:szCs w:val="20"/>
                <w:color w:val="auto"/>
              </w:rPr>
            </w:pPr>
            <w:r>
              <w:rPr>
                <w:rFonts w:ascii="Arial" w:cs="Arial" w:eastAsia="Arial" w:hAnsi="Arial"/>
                <w:sz w:val="18"/>
                <w:szCs w:val="18"/>
                <w:color w:val="auto"/>
                <w:w w:val="87"/>
              </w:rPr>
              <w:t>4.6</w:t>
            </w:r>
          </w:p>
        </w:tc>
        <w:tc>
          <w:tcPr>
            <w:tcW w:w="5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center"/>
              <w:ind w:left="3070"/>
              <w:spacing w:after="0"/>
              <w:rPr>
                <w:sz w:val="20"/>
                <w:szCs w:val="20"/>
                <w:color w:val="auto"/>
              </w:rPr>
            </w:pPr>
            <w:r>
              <w:rPr>
                <w:rFonts w:ascii="Arial" w:cs="Arial" w:eastAsia="Arial" w:hAnsi="Arial"/>
                <w:sz w:val="18"/>
                <w:szCs w:val="18"/>
                <w:color w:val="auto"/>
                <w:w w:val="95"/>
              </w:rPr>
              <w:t>2.1</w:t>
            </w:r>
          </w:p>
        </w:tc>
        <w:tc>
          <w:tcPr>
            <w:tcW w:w="260" w:type="dxa"/>
            <w:vAlign w:val="bottom"/>
            <w:tcBorders>
              <w:bottom w:val="single" w:sz="8" w:color="auto"/>
            </w:tcBorders>
          </w:tcPr>
          <w:p>
            <w:pPr>
              <w:spacing w:after="0"/>
              <w:rPr>
                <w:sz w:val="19"/>
                <w:szCs w:val="19"/>
                <w:color w:val="auto"/>
              </w:rPr>
            </w:pPr>
          </w:p>
        </w:tc>
      </w:tr>
      <w:tr>
        <w:trPr>
          <w:trHeight w:val="248"/>
        </w:trPr>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620" w:type="dxa"/>
            <w:vAlign w:val="bottom"/>
            <w:tcBorders>
              <w:bottom w:val="single" w:sz="8" w:color="auto"/>
            </w:tcBorders>
            <w:shd w:val="clear" w:color="auto" w:fill="CCEEFF"/>
          </w:tcPr>
          <w:p>
            <w:pPr>
              <w:jc w:val="center"/>
              <w:ind w:left="4150"/>
              <w:spacing w:after="0"/>
              <w:rPr>
                <w:sz w:val="20"/>
                <w:szCs w:val="20"/>
                <w:color w:val="auto"/>
              </w:rPr>
            </w:pPr>
            <w:r>
              <w:rPr>
                <w:rFonts w:ascii="Arial" w:cs="Arial" w:eastAsia="Arial" w:hAnsi="Arial"/>
                <w:sz w:val="18"/>
                <w:szCs w:val="18"/>
                <w:color w:val="auto"/>
                <w:w w:val="87"/>
              </w:rPr>
              <w:t>2.5</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pts</w:t>
            </w:r>
          </w:p>
        </w:tc>
        <w:tc>
          <w:tcPr>
            <w:tcW w:w="3520" w:type="dxa"/>
            <w:vAlign w:val="bottom"/>
            <w:tcBorders>
              <w:bottom w:val="single" w:sz="8" w:color="auto"/>
            </w:tcBorders>
            <w:shd w:val="clear" w:color="auto" w:fill="CCEEFF"/>
          </w:tcPr>
          <w:p>
            <w:pPr>
              <w:jc w:val="center"/>
              <w:ind w:left="3070"/>
              <w:spacing w:after="0"/>
              <w:rPr>
                <w:sz w:val="20"/>
                <w:szCs w:val="20"/>
                <w:color w:val="auto"/>
              </w:rPr>
            </w:pPr>
            <w:r>
              <w:rPr>
                <w:rFonts w:ascii="Arial" w:cs="Arial" w:eastAsia="Arial" w:hAnsi="Arial"/>
                <w:sz w:val="18"/>
                <w:szCs w:val="18"/>
                <w:color w:val="auto"/>
                <w:w w:val="95"/>
              </w:rPr>
              <w:t>2.4</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3"/>
              </w:rPr>
              <w:t>pts</w:t>
            </w:r>
          </w:p>
        </w:tc>
      </w:tr>
      <w:tr>
        <w:trPr>
          <w:trHeight w:val="20"/>
        </w:trPr>
        <w:tc>
          <w:tcPr>
            <w:tcW w:w="2280" w:type="dxa"/>
            <w:vAlign w:val="bottom"/>
            <w:tcBorders>
              <w:top w:val="single" w:sz="8" w:color="CCEEFF"/>
              <w:bottom w:val="single" w:sz="8" w:color="auto"/>
            </w:tcBorders>
          </w:tcPr>
          <w:p>
            <w:pPr>
              <w:spacing w:after="0" w:line="20" w:lineRule="exact"/>
              <w:rPr>
                <w:sz w:val="1"/>
                <w:szCs w:val="1"/>
                <w:color w:val="auto"/>
              </w:rPr>
            </w:pPr>
          </w:p>
        </w:tc>
        <w:tc>
          <w:tcPr>
            <w:tcW w:w="46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2.5 and 2.4 percentage point increases in segment income for Industrial &amp; Flow Technologies as a percentage of net sales in the third quarter and first nine months, respectively, of 2023 from 2022 were primarily driven by:</w:t>
      </w:r>
    </w:p>
    <w:p>
      <w:pPr>
        <w:spacing w:after="0" w:line="116" w:lineRule="exact"/>
        <w:rPr>
          <w:sz w:val="20"/>
          <w:szCs w:val="20"/>
          <w:color w:val="auto"/>
        </w:rPr>
      </w:pPr>
    </w:p>
    <w:p>
      <w:pPr>
        <w:ind w:left="480" w:hanging="310"/>
        <w:spacing w:after="0"/>
        <w:tabs>
          <w:tab w:leader="none" w:pos="48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color w:val="auto"/>
        </w:rPr>
        <w:t>increases in selling prices to mitigate impacts of inflation; and</w:t>
      </w:r>
    </w:p>
    <w:p>
      <w:pPr>
        <w:spacing w:after="0" w:line="171" w:lineRule="exact"/>
        <w:rPr>
          <w:rFonts w:ascii="Arial" w:cs="Arial" w:eastAsia="Arial" w:hAnsi="Arial"/>
          <w:sz w:val="18"/>
          <w:szCs w:val="18"/>
          <w:b w:val="1"/>
          <w:bCs w:val="1"/>
          <w:i w:val="1"/>
          <w:iCs w:val="1"/>
          <w:color w:val="auto"/>
        </w:rPr>
      </w:pPr>
    </w:p>
    <w:p>
      <w:pPr>
        <w:ind w:left="480" w:hanging="310"/>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productivity mainly driven by manufacturing leverage and transformation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480" w:hanging="310"/>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inflationary cost increases related to labor costs and certain raw materials; and</w:t>
      </w:r>
    </w:p>
    <w:p>
      <w:pPr>
        <w:spacing w:after="0" w:line="184" w:lineRule="exact"/>
        <w:rPr>
          <w:rFonts w:ascii="Arial" w:cs="Arial" w:eastAsia="Arial" w:hAnsi="Arial"/>
          <w:sz w:val="18"/>
          <w:szCs w:val="18"/>
          <w:color w:val="auto"/>
        </w:rPr>
      </w:pPr>
    </w:p>
    <w:p>
      <w:pPr>
        <w:ind w:left="480" w:hanging="310"/>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Solutions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Water Solutions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1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Nine months ended</w:t>
            </w:r>
          </w:p>
        </w:tc>
        <w:tc>
          <w:tcPr>
            <w:tcW w:w="1340" w:type="dxa"/>
            <w:vAlign w:val="bottom"/>
          </w:tcPr>
          <w:p>
            <w:pPr>
              <w:spacing w:after="0"/>
              <w:rPr>
                <w:sz w:val="20"/>
                <w:szCs w:val="20"/>
                <w:color w:val="auto"/>
              </w:rPr>
            </w:pPr>
          </w:p>
        </w:tc>
      </w:tr>
      <w:tr>
        <w:trPr>
          <w:trHeight w:val="169"/>
        </w:trPr>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26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4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 / Point</w:t>
            </w:r>
          </w:p>
        </w:tc>
        <w:tc>
          <w:tcPr>
            <w:tcW w:w="160" w:type="dxa"/>
            <w:vAlign w:val="bottom"/>
          </w:tcPr>
          <w:p>
            <w:pPr>
              <w:spacing w:after="0"/>
              <w:rPr>
                <w:sz w:val="14"/>
                <w:szCs w:val="14"/>
                <w:color w:val="auto"/>
              </w:rPr>
            </w:pPr>
          </w:p>
        </w:tc>
        <w:tc>
          <w:tcPr>
            <w:tcW w:w="128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26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3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 / Point</w:t>
            </w:r>
          </w:p>
        </w:tc>
      </w:tr>
      <w:tr>
        <w:trPr>
          <w:trHeight w:val="24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275.3</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907.6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703.3</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68.8</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49.3</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196.0</w:t>
            </w:r>
          </w:p>
        </w:tc>
        <w:tc>
          <w:tcPr>
            <w:tcW w:w="2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104.0</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88.5%</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shd w:val="clear" w:color="auto" w:fill="CCEEFF"/>
          </w:tcPr>
          <w:p>
            <w:pPr>
              <w:spacing w:after="0"/>
              <w:rPr>
                <w:sz w:val="18"/>
                <w:szCs w:val="18"/>
                <w:color w:val="auto"/>
              </w:rPr>
            </w:pPr>
          </w:p>
        </w:tc>
        <w:tc>
          <w:tcPr>
            <w:tcW w:w="252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 of net sales</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23.0 %</w:t>
            </w:r>
          </w:p>
        </w:tc>
        <w:tc>
          <w:tcPr>
            <w:tcW w:w="1720" w:type="dxa"/>
            <w:vAlign w:val="bottom"/>
            <w:shd w:val="clear" w:color="auto" w:fill="CCEEFF"/>
          </w:tcPr>
          <w:p>
            <w:pPr>
              <w:jc w:val="right"/>
              <w:ind w:right="310"/>
              <w:spacing w:after="0"/>
              <w:rPr>
                <w:sz w:val="20"/>
                <w:szCs w:val="20"/>
                <w:color w:val="auto"/>
              </w:rPr>
            </w:pPr>
            <w:r>
              <w:rPr>
                <w:rFonts w:ascii="Arial" w:cs="Arial" w:eastAsia="Arial" w:hAnsi="Arial"/>
                <w:sz w:val="18"/>
                <w:szCs w:val="18"/>
                <w:i w:val="1"/>
                <w:iCs w:val="1"/>
                <w:color w:val="auto"/>
              </w:rPr>
              <w:t>17.9 %</w:t>
            </w:r>
          </w:p>
        </w:tc>
        <w:tc>
          <w:tcPr>
            <w:tcW w:w="17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5.1 pts</w:t>
            </w:r>
          </w:p>
        </w:tc>
        <w:tc>
          <w:tcPr>
            <w:tcW w:w="1380" w:type="dxa"/>
            <w:vAlign w:val="bottom"/>
            <w:shd w:val="clear" w:color="auto" w:fill="CCEEFF"/>
          </w:tcPr>
          <w:p>
            <w:pPr>
              <w:jc w:val="right"/>
              <w:ind w:right="430"/>
              <w:spacing w:after="0"/>
              <w:rPr>
                <w:sz w:val="20"/>
                <w:szCs w:val="20"/>
                <w:color w:val="auto"/>
              </w:rPr>
            </w:pPr>
            <w:r>
              <w:rPr>
                <w:rFonts w:ascii="Arial" w:cs="Arial" w:eastAsia="Arial" w:hAnsi="Arial"/>
                <w:sz w:val="18"/>
                <w:szCs w:val="18"/>
                <w:i w:val="1"/>
                <w:iCs w:val="1"/>
                <w:color w:val="auto"/>
              </w:rPr>
              <w:t>21.6 %</w:t>
            </w:r>
          </w:p>
        </w:tc>
        <w:tc>
          <w:tcPr>
            <w:tcW w:w="1600" w:type="dxa"/>
            <w:vAlign w:val="bottom"/>
            <w:shd w:val="clear" w:color="auto" w:fill="CCEEFF"/>
          </w:tcPr>
          <w:p>
            <w:pPr>
              <w:jc w:val="right"/>
              <w:ind w:right="490"/>
              <w:spacing w:after="0"/>
              <w:rPr>
                <w:sz w:val="20"/>
                <w:szCs w:val="20"/>
                <w:color w:val="auto"/>
              </w:rPr>
            </w:pPr>
            <w:r>
              <w:rPr>
                <w:rFonts w:ascii="Arial" w:cs="Arial" w:eastAsia="Arial" w:hAnsi="Arial"/>
                <w:sz w:val="18"/>
                <w:szCs w:val="18"/>
                <w:i w:val="1"/>
                <w:iCs w:val="1"/>
                <w:color w:val="auto"/>
              </w:rPr>
              <w:t>14.8 %</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w w:val="99"/>
              </w:rPr>
              <w:t>6.8 pts</w:t>
            </w:r>
          </w:p>
        </w:tc>
      </w:tr>
      <w:tr>
        <w:trPr>
          <w:trHeight w:val="445"/>
        </w:trPr>
        <w:tc>
          <w:tcPr>
            <w:tcW w:w="2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1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7480" w:type="dxa"/>
            <w:vAlign w:val="bottom"/>
            <w:gridSpan w:val="5"/>
          </w:tcPr>
          <w:p>
            <w:pPr>
              <w:spacing w:after="0"/>
              <w:rPr>
                <w:sz w:val="20"/>
                <w:szCs w:val="20"/>
                <w:color w:val="auto"/>
              </w:rPr>
            </w:pPr>
            <w:r>
              <w:rPr>
                <w:rFonts w:ascii="Arial" w:cs="Arial" w:eastAsia="Arial" w:hAnsi="Arial"/>
                <w:sz w:val="18"/>
                <w:szCs w:val="18"/>
                <w:color w:val="auto"/>
                <w:w w:val="96"/>
              </w:rPr>
              <w:t>The components of the change in Water Solutions net sales from the prior period were as follows:</w:t>
            </w:r>
          </w:p>
        </w:tc>
        <w:tc>
          <w:tcPr>
            <w:tcW w:w="1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4"/>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9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9"/>
              </w:rPr>
              <w:t>Three months ended September 30, 2023</w:t>
            </w:r>
          </w:p>
        </w:tc>
        <w:tc>
          <w:tcPr>
            <w:tcW w:w="37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8"/>
              </w:rPr>
              <w:t>Nine months ended September 30, 2023</w:t>
            </w:r>
          </w:p>
        </w:tc>
      </w:tr>
      <w:tr>
        <w:trPr>
          <w:trHeight w:val="234"/>
        </w:trPr>
        <w:tc>
          <w:tcPr>
            <w:tcW w:w="20" w:type="dxa"/>
            <w:vAlign w:val="bottom"/>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2"/>
          </w:tcPr>
          <w:p>
            <w:pPr>
              <w:jc w:val="center"/>
              <w:ind w:right="890"/>
              <w:spacing w:after="0"/>
              <w:rPr>
                <w:sz w:val="20"/>
                <w:szCs w:val="20"/>
                <w:color w:val="auto"/>
              </w:rPr>
            </w:pPr>
            <w:r>
              <w:rPr>
                <w:rFonts w:ascii="Arial" w:cs="Arial" w:eastAsia="Arial" w:hAnsi="Arial"/>
                <w:sz w:val="18"/>
                <w:szCs w:val="18"/>
                <w:b w:val="1"/>
                <w:bCs w:val="1"/>
                <w:color w:val="auto"/>
                <w:w w:val="91"/>
              </w:rPr>
              <w:t>over the prior year period</w:t>
            </w:r>
          </w:p>
        </w:tc>
        <w:tc>
          <w:tcPr>
            <w:tcW w:w="298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b w:val="1"/>
                <w:bCs w:val="1"/>
                <w:color w:val="auto"/>
                <w:w w:val="91"/>
              </w:rPr>
              <w:t>over the prior year period</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1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7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(3.1)%</w:t>
            </w:r>
          </w:p>
        </w:tc>
        <w:tc>
          <w:tcPr>
            <w:tcW w:w="13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(0.2)%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14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2.9</w:t>
            </w:r>
          </w:p>
        </w:tc>
        <w:tc>
          <w:tcPr>
            <w:tcW w:w="1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14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7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(0.2)</w:t>
            </w:r>
          </w:p>
        </w:tc>
        <w:tc>
          <w:tcPr>
            <w:tcW w:w="13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Acquisition/Divestitures</w:t>
            </w:r>
          </w:p>
        </w:tc>
        <w:tc>
          <w:tcPr>
            <w:tcW w:w="14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40" w:type="dxa"/>
            <w:vAlign w:val="bottom"/>
          </w:tcPr>
          <w:p>
            <w:pPr>
              <w:ind w:left="1060"/>
              <w:spacing w:after="0"/>
              <w:rPr>
                <w:sz w:val="20"/>
                <w:szCs w:val="20"/>
                <w:color w:val="auto"/>
              </w:rPr>
            </w:pPr>
            <w:r>
              <w:rPr>
                <w:rFonts w:ascii="Arial" w:cs="Arial" w:eastAsia="Arial" w:hAnsi="Arial"/>
                <w:sz w:val="18"/>
                <w:szCs w:val="18"/>
                <w:color w:val="auto"/>
              </w:rPr>
              <w:t>8.7</w:t>
            </w: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14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0.3</w:t>
            </w:r>
          </w:p>
        </w:tc>
        <w:tc>
          <w:tcPr>
            <w:tcW w:w="13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8.8 %</w:t>
            </w:r>
          </w:p>
        </w:tc>
        <w:tc>
          <w:tcPr>
            <w:tcW w:w="1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29.0 %</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8.8 and 29.0 percent increases in net sales for Water Solutions in the third quarter and first nine months, respectively, of 2023 from 2022 were primarily driven by:</w:t>
      </w:r>
    </w:p>
    <w:p>
      <w:pPr>
        <w:spacing w:after="0" w:line="116" w:lineRule="exact"/>
        <w:rPr>
          <w:sz w:val="20"/>
          <w:szCs w:val="20"/>
          <w:color w:val="auto"/>
        </w:rPr>
      </w:pPr>
    </w:p>
    <w:p>
      <w:pPr>
        <w:ind w:left="480" w:hanging="310"/>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sales as a result of the acquisition of Manitowoc Ice, which was completed in the third quarter of 2022;</w:t>
      </w:r>
    </w:p>
    <w:p>
      <w:pPr>
        <w:spacing w:after="0" w:line="171"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sales volume in our commercial business driven by higher demand and easing of supply chain pressures, which allowed increased production and delivery to market;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0" w:hanging="310"/>
        <w:spacing w:after="0"/>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increases in selling prices to mitigate inflationary cost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line="277" w:lineRule="auto"/>
        <w:tabs>
          <w:tab w:leader="none" w:pos="495" w:val="left"/>
        </w:tabs>
        <w:numPr>
          <w:ilvl w:val="0"/>
          <w:numId w:val="51"/>
        </w:numPr>
        <w:rPr>
          <w:rFonts w:ascii="Arial" w:cs="Arial" w:eastAsia="Arial" w:hAnsi="Arial"/>
          <w:sz w:val="18"/>
          <w:szCs w:val="18"/>
          <w:i w:val="1"/>
          <w:iCs w:val="1"/>
          <w:color w:val="auto"/>
        </w:rPr>
      </w:pPr>
      <w:r>
        <w:rPr>
          <w:rFonts w:ascii="Arial" w:cs="Arial" w:eastAsia="Arial" w:hAnsi="Arial"/>
          <w:sz w:val="18"/>
          <w:szCs w:val="18"/>
          <w:color w:val="auto"/>
        </w:rPr>
        <w:t>decreased sales volume in our residential business driven by lower demand compared to the prior year and certain business exits announced in the second half of 2022; and</w:t>
      </w:r>
    </w:p>
    <w:p>
      <w:pPr>
        <w:spacing w:after="0" w:line="116" w:lineRule="exact"/>
        <w:rPr>
          <w:rFonts w:ascii="Arial" w:cs="Arial" w:eastAsia="Arial" w:hAnsi="Arial"/>
          <w:sz w:val="18"/>
          <w:szCs w:val="18"/>
          <w:i w:val="1"/>
          <w:iCs w:val="1"/>
          <w:color w:val="auto"/>
        </w:rPr>
      </w:pPr>
    </w:p>
    <w:p>
      <w:pPr>
        <w:ind w:left="480" w:hanging="310"/>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first nine months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Water Solutions segment income as a percentage of net sales from the prior period were as follows: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Three months ended September 30, 2023</w:t>
            </w:r>
          </w:p>
        </w:tc>
        <w:tc>
          <w:tcPr>
            <w:tcW w:w="420" w:type="dxa"/>
            <w:vAlign w:val="bottom"/>
          </w:tcPr>
          <w:p>
            <w:pPr>
              <w:spacing w:after="0"/>
              <w:rPr>
                <w:sz w:val="19"/>
                <w:szCs w:val="19"/>
                <w:color w:val="auto"/>
              </w:rPr>
            </w:pPr>
          </w:p>
        </w:tc>
        <w:tc>
          <w:tcPr>
            <w:tcW w:w="324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Nine months ended September 30, 2023</w:t>
            </w:r>
          </w:p>
        </w:tc>
        <w:tc>
          <w:tcPr>
            <w:tcW w:w="280" w:type="dxa"/>
            <w:vAlign w:val="bottom"/>
          </w:tcPr>
          <w:p>
            <w:pPr>
              <w:spacing w:after="0"/>
              <w:rPr>
                <w:sz w:val="19"/>
                <w:szCs w:val="19"/>
                <w:color w:val="auto"/>
              </w:rPr>
            </w:pPr>
          </w:p>
        </w:tc>
      </w:tr>
      <w:tr>
        <w:trPr>
          <w:trHeight w:val="234"/>
        </w:trPr>
        <w:tc>
          <w:tcPr>
            <w:tcW w:w="34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1"/>
              </w:rPr>
              <w:t>over the prior year period</w:t>
            </w:r>
          </w:p>
        </w:tc>
        <w:tc>
          <w:tcPr>
            <w:tcW w:w="4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1"/>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Growth/Price/Acquisition/Divestitures</w:t>
            </w:r>
          </w:p>
        </w:tc>
        <w:tc>
          <w:tcPr>
            <w:tcW w:w="3840" w:type="dxa"/>
            <w:vAlign w:val="bottom"/>
            <w:shd w:val="clear" w:color="auto" w:fill="CCEEFF"/>
          </w:tcPr>
          <w:p>
            <w:pPr>
              <w:jc w:val="center"/>
              <w:ind w:left="3330"/>
              <w:spacing w:after="0"/>
              <w:rPr>
                <w:sz w:val="20"/>
                <w:szCs w:val="20"/>
                <w:color w:val="auto"/>
              </w:rPr>
            </w:pPr>
            <w:r>
              <w:rPr>
                <w:rFonts w:ascii="Arial" w:cs="Arial" w:eastAsia="Arial" w:hAnsi="Arial"/>
                <w:sz w:val="18"/>
                <w:szCs w:val="18"/>
                <w:color w:val="auto"/>
                <w:w w:val="87"/>
              </w:rPr>
              <w:t>7.2</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pts</w:t>
            </w:r>
          </w:p>
        </w:tc>
        <w:tc>
          <w:tcPr>
            <w:tcW w:w="3240" w:type="dxa"/>
            <w:vAlign w:val="bottom"/>
            <w:shd w:val="clear" w:color="auto" w:fill="CCEEFF"/>
          </w:tcPr>
          <w:p>
            <w:pPr>
              <w:jc w:val="center"/>
              <w:ind w:left="2750"/>
              <w:spacing w:after="0"/>
              <w:rPr>
                <w:sz w:val="20"/>
                <w:szCs w:val="20"/>
                <w:color w:val="auto"/>
              </w:rPr>
            </w:pPr>
            <w:r>
              <w:rPr>
                <w:rFonts w:ascii="Arial" w:cs="Arial" w:eastAsia="Arial" w:hAnsi="Arial"/>
                <w:sz w:val="18"/>
                <w:szCs w:val="18"/>
                <w:color w:val="auto"/>
                <w:w w:val="95"/>
              </w:rPr>
              <w:t>9.6</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pts</w:t>
            </w: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Currency</w:t>
            </w:r>
          </w:p>
        </w:tc>
        <w:tc>
          <w:tcPr>
            <w:tcW w:w="3840" w:type="dxa"/>
            <w:vAlign w:val="bottom"/>
          </w:tcPr>
          <w:p>
            <w:pPr>
              <w:jc w:val="center"/>
              <w:ind w:left="3290"/>
              <w:spacing w:after="0"/>
              <w:rPr>
                <w:sz w:val="20"/>
                <w:szCs w:val="20"/>
                <w:color w:val="auto"/>
              </w:rPr>
            </w:pPr>
            <w:r>
              <w:rPr>
                <w:rFonts w:ascii="Arial" w:cs="Arial" w:eastAsia="Arial" w:hAnsi="Arial"/>
                <w:sz w:val="18"/>
                <w:szCs w:val="18"/>
                <w:color w:val="auto"/>
                <w:w w:val="91"/>
              </w:rPr>
              <w:t>(0.7)</w:t>
            </w:r>
          </w:p>
        </w:tc>
        <w:tc>
          <w:tcPr>
            <w:tcW w:w="420" w:type="dxa"/>
            <w:vAlign w:val="bottom"/>
          </w:tcPr>
          <w:p>
            <w:pPr>
              <w:spacing w:after="0"/>
              <w:rPr>
                <w:sz w:val="19"/>
                <w:szCs w:val="19"/>
                <w:color w:val="auto"/>
              </w:rPr>
            </w:pPr>
          </w:p>
        </w:tc>
        <w:tc>
          <w:tcPr>
            <w:tcW w:w="3240" w:type="dxa"/>
            <w:vAlign w:val="bottom"/>
          </w:tcPr>
          <w:p>
            <w:pPr>
              <w:jc w:val="center"/>
              <w:ind w:left="2730"/>
              <w:spacing w:after="0"/>
              <w:rPr>
                <w:sz w:val="20"/>
                <w:szCs w:val="20"/>
                <w:color w:val="auto"/>
              </w:rPr>
            </w:pPr>
            <w:r>
              <w:rPr>
                <w:rFonts w:ascii="Arial" w:cs="Arial" w:eastAsia="Arial" w:hAnsi="Arial"/>
                <w:sz w:val="18"/>
                <w:szCs w:val="18"/>
                <w:color w:val="auto"/>
                <w:w w:val="91"/>
              </w:rPr>
              <w:t>(0.5)</w:t>
            </w:r>
          </w:p>
        </w:tc>
        <w:tc>
          <w:tcPr>
            <w:tcW w:w="280" w:type="dxa"/>
            <w:vAlign w:val="bottom"/>
          </w:tcPr>
          <w:p>
            <w:pPr>
              <w:spacing w:after="0"/>
              <w:rPr>
                <w:sz w:val="19"/>
                <w:szCs w:val="19"/>
                <w:color w:val="auto"/>
              </w:rPr>
            </w:pPr>
          </w:p>
        </w:tc>
      </w:tr>
      <w:tr>
        <w:trPr>
          <w:trHeight w:val="22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Inflation</w:t>
            </w:r>
          </w:p>
        </w:tc>
        <w:tc>
          <w:tcPr>
            <w:tcW w:w="3840" w:type="dxa"/>
            <w:vAlign w:val="bottom"/>
            <w:shd w:val="clear" w:color="auto" w:fill="CCEEFF"/>
          </w:tcPr>
          <w:p>
            <w:pPr>
              <w:jc w:val="center"/>
              <w:ind w:left="3290"/>
              <w:spacing w:after="0"/>
              <w:rPr>
                <w:sz w:val="20"/>
                <w:szCs w:val="20"/>
                <w:color w:val="auto"/>
              </w:rPr>
            </w:pPr>
            <w:r>
              <w:rPr>
                <w:rFonts w:ascii="Arial" w:cs="Arial" w:eastAsia="Arial" w:hAnsi="Arial"/>
                <w:sz w:val="18"/>
                <w:szCs w:val="18"/>
                <w:color w:val="auto"/>
                <w:w w:val="91"/>
              </w:rPr>
              <w:t>(5.1)</w:t>
            </w:r>
          </w:p>
        </w:tc>
        <w:tc>
          <w:tcPr>
            <w:tcW w:w="420" w:type="dxa"/>
            <w:vAlign w:val="bottom"/>
            <w:shd w:val="clear" w:color="auto" w:fill="CCEEFF"/>
          </w:tcPr>
          <w:p>
            <w:pPr>
              <w:spacing w:after="0"/>
              <w:rPr>
                <w:sz w:val="19"/>
                <w:szCs w:val="19"/>
                <w:color w:val="auto"/>
              </w:rPr>
            </w:pPr>
          </w:p>
        </w:tc>
        <w:tc>
          <w:tcPr>
            <w:tcW w:w="3240" w:type="dxa"/>
            <w:vAlign w:val="bottom"/>
            <w:shd w:val="clear" w:color="auto" w:fill="CCEEFF"/>
          </w:tcPr>
          <w:p>
            <w:pPr>
              <w:jc w:val="center"/>
              <w:ind w:left="2730"/>
              <w:spacing w:after="0"/>
              <w:rPr>
                <w:sz w:val="20"/>
                <w:szCs w:val="20"/>
                <w:color w:val="auto"/>
              </w:rPr>
            </w:pPr>
            <w:r>
              <w:rPr>
                <w:rFonts w:ascii="Arial" w:cs="Arial" w:eastAsia="Arial" w:hAnsi="Arial"/>
                <w:sz w:val="18"/>
                <w:szCs w:val="18"/>
                <w:color w:val="auto"/>
                <w:w w:val="91"/>
              </w:rPr>
              <w:t>(5.4)</w:t>
            </w:r>
          </w:p>
        </w:tc>
        <w:tc>
          <w:tcPr>
            <w:tcW w:w="280" w:type="dxa"/>
            <w:vAlign w:val="bottom"/>
            <w:shd w:val="clear" w:color="auto" w:fill="CCEEFF"/>
          </w:tcPr>
          <w:p>
            <w:pPr>
              <w:spacing w:after="0"/>
              <w:rPr>
                <w:sz w:val="19"/>
                <w:szCs w:val="19"/>
                <w:color w:val="auto"/>
              </w:rPr>
            </w:pPr>
          </w:p>
        </w:tc>
      </w:tr>
      <w:tr>
        <w:trPr>
          <w:trHeight w:val="230"/>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Productivity</w:t>
            </w:r>
          </w:p>
        </w:tc>
        <w:tc>
          <w:tcPr>
            <w:tcW w:w="3840" w:type="dxa"/>
            <w:vAlign w:val="bottom"/>
            <w:tcBorders>
              <w:bottom w:val="single" w:sz="8" w:color="auto"/>
            </w:tcBorders>
          </w:tcPr>
          <w:p>
            <w:pPr>
              <w:jc w:val="center"/>
              <w:ind w:left="3330"/>
              <w:spacing w:after="0"/>
              <w:rPr>
                <w:sz w:val="20"/>
                <w:szCs w:val="20"/>
                <w:color w:val="auto"/>
              </w:rPr>
            </w:pPr>
            <w:r>
              <w:rPr>
                <w:rFonts w:ascii="Arial" w:cs="Arial" w:eastAsia="Arial" w:hAnsi="Arial"/>
                <w:sz w:val="18"/>
                <w:szCs w:val="18"/>
                <w:color w:val="auto"/>
                <w:w w:val="87"/>
              </w:rPr>
              <w:t>3.7</w:t>
            </w:r>
          </w:p>
        </w:tc>
        <w:tc>
          <w:tcPr>
            <w:tcW w:w="4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center"/>
              <w:ind w:left="2750"/>
              <w:spacing w:after="0"/>
              <w:rPr>
                <w:sz w:val="20"/>
                <w:szCs w:val="20"/>
                <w:color w:val="auto"/>
              </w:rPr>
            </w:pPr>
            <w:r>
              <w:rPr>
                <w:rFonts w:ascii="Arial" w:cs="Arial" w:eastAsia="Arial" w:hAnsi="Arial"/>
                <w:sz w:val="18"/>
                <w:szCs w:val="18"/>
                <w:color w:val="auto"/>
                <w:w w:val="95"/>
              </w:rPr>
              <w:t>3.1</w:t>
            </w:r>
          </w:p>
        </w:tc>
        <w:tc>
          <w:tcPr>
            <w:tcW w:w="280" w:type="dxa"/>
            <w:vAlign w:val="bottom"/>
            <w:tcBorders>
              <w:bottom w:val="single" w:sz="8" w:color="auto"/>
            </w:tcBorders>
          </w:tcPr>
          <w:p>
            <w:pPr>
              <w:spacing w:after="0"/>
              <w:rPr>
                <w:sz w:val="19"/>
                <w:szCs w:val="19"/>
                <w:color w:val="auto"/>
              </w:rPr>
            </w:pPr>
          </w:p>
        </w:tc>
      </w:tr>
      <w:tr>
        <w:trPr>
          <w:trHeight w:val="248"/>
        </w:trPr>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840" w:type="dxa"/>
            <w:vAlign w:val="bottom"/>
            <w:tcBorders>
              <w:bottom w:val="single" w:sz="8" w:color="auto"/>
            </w:tcBorders>
            <w:shd w:val="clear" w:color="auto" w:fill="CCEEFF"/>
          </w:tcPr>
          <w:p>
            <w:pPr>
              <w:jc w:val="center"/>
              <w:ind w:left="3330"/>
              <w:spacing w:after="0"/>
              <w:rPr>
                <w:sz w:val="20"/>
                <w:szCs w:val="20"/>
                <w:color w:val="auto"/>
              </w:rPr>
            </w:pPr>
            <w:r>
              <w:rPr>
                <w:rFonts w:ascii="Arial" w:cs="Arial" w:eastAsia="Arial" w:hAnsi="Arial"/>
                <w:sz w:val="18"/>
                <w:szCs w:val="18"/>
                <w:color w:val="auto"/>
                <w:w w:val="87"/>
              </w:rPr>
              <w:t>5.1</w:t>
            </w: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pts</w:t>
            </w:r>
          </w:p>
        </w:tc>
        <w:tc>
          <w:tcPr>
            <w:tcW w:w="3240" w:type="dxa"/>
            <w:vAlign w:val="bottom"/>
            <w:tcBorders>
              <w:bottom w:val="single" w:sz="8" w:color="auto"/>
            </w:tcBorders>
            <w:shd w:val="clear" w:color="auto" w:fill="CCEEFF"/>
          </w:tcPr>
          <w:p>
            <w:pPr>
              <w:jc w:val="center"/>
              <w:ind w:left="2750"/>
              <w:spacing w:after="0"/>
              <w:rPr>
                <w:sz w:val="20"/>
                <w:szCs w:val="20"/>
                <w:color w:val="auto"/>
              </w:rPr>
            </w:pPr>
            <w:r>
              <w:rPr>
                <w:rFonts w:ascii="Arial" w:cs="Arial" w:eastAsia="Arial" w:hAnsi="Arial"/>
                <w:sz w:val="18"/>
                <w:szCs w:val="18"/>
                <w:color w:val="auto"/>
                <w:w w:val="95"/>
              </w:rPr>
              <w:t>6.8</w:t>
            </w: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pts</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5.1 and 6.8 percentage point increases in segment income for Water Solutions as a percentage of net sales in the third quarter and first nine months, respectively, of 2023 from 2022 were primarily driven by:</w:t>
      </w:r>
    </w:p>
    <w:p>
      <w:pPr>
        <w:spacing w:after="0" w:line="116" w:lineRule="exact"/>
        <w:rPr>
          <w:sz w:val="20"/>
          <w:szCs w:val="20"/>
          <w:color w:val="auto"/>
        </w:rPr>
      </w:pPr>
    </w:p>
    <w:p>
      <w:pPr>
        <w:ind w:left="480" w:hanging="310"/>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increased sales as a result of the Manitowoc Ice acquisition;</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color w:val="auto"/>
        </w:rPr>
        <w:t>increases in selling prices to mitigate impacts of inflation; and</w:t>
      </w:r>
    </w:p>
    <w:p>
      <w:pPr>
        <w:spacing w:after="0" w:line="171" w:lineRule="exact"/>
        <w:rPr>
          <w:rFonts w:ascii="Arial" w:cs="Arial" w:eastAsia="Arial" w:hAnsi="Arial"/>
          <w:sz w:val="18"/>
          <w:szCs w:val="18"/>
          <w:b w:val="1"/>
          <w:bCs w:val="1"/>
          <w:i w:val="1"/>
          <w:iCs w:val="1"/>
          <w:color w:val="auto"/>
        </w:rPr>
      </w:pPr>
    </w:p>
    <w:p>
      <w:pPr>
        <w:ind w:left="480" w:hanging="310"/>
        <w:spacing w:after="0"/>
        <w:tabs>
          <w:tab w:leader="none" w:pos="480" w:val="left"/>
        </w:tabs>
        <w:numPr>
          <w:ilvl w:val="0"/>
          <w:numId w:val="52"/>
        </w:numPr>
        <w:rPr>
          <w:rFonts w:ascii="Arial" w:cs="Arial" w:eastAsia="Arial" w:hAnsi="Arial"/>
          <w:sz w:val="18"/>
          <w:szCs w:val="18"/>
          <w:i w:val="1"/>
          <w:iCs w:val="1"/>
          <w:color w:val="auto"/>
        </w:rPr>
      </w:pPr>
      <w:r>
        <w:rPr>
          <w:rFonts w:ascii="Arial" w:cs="Arial" w:eastAsia="Arial" w:hAnsi="Arial"/>
          <w:sz w:val="18"/>
          <w:szCs w:val="18"/>
          <w:color w:val="auto"/>
        </w:rPr>
        <w:t>increased productivity in the residential business as a result of certain transformation and restructuring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480" w:hanging="310"/>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inflationary cost increases related to labor costs and certain raw materials;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prior year.</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Pool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Pool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1360" w:type="dxa"/>
            <w:vAlign w:val="bottom"/>
          </w:tcPr>
          <w:p>
            <w:pPr>
              <w:spacing w:after="0"/>
              <w:rPr>
                <w:sz w:val="20"/>
                <w:szCs w:val="20"/>
                <w:color w:val="auto"/>
              </w:rPr>
            </w:pPr>
          </w:p>
        </w:tc>
      </w:tr>
      <w:tr>
        <w:trPr>
          <w:trHeight w:val="169"/>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4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 / Point</w:t>
            </w:r>
          </w:p>
        </w:tc>
        <w:tc>
          <w:tcPr>
            <w:tcW w:w="160" w:type="dxa"/>
            <w:vAlign w:val="bottom"/>
          </w:tcPr>
          <w:p>
            <w:pPr>
              <w:spacing w:after="0"/>
              <w:rPr>
                <w:sz w:val="14"/>
                <w:szCs w:val="14"/>
                <w:color w:val="auto"/>
              </w:rPr>
            </w:pPr>
          </w:p>
        </w:tc>
        <w:tc>
          <w:tcPr>
            <w:tcW w:w="136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36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 / Point</w:t>
            </w:r>
          </w:p>
        </w:tc>
      </w:tr>
      <w:tr>
        <w:trPr>
          <w:trHeight w:val="243"/>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390.0</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1,289.4</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r>
      <w:tr>
        <w:trPr>
          <w:trHeight w:val="229"/>
        </w:trPr>
        <w:tc>
          <w:tcPr>
            <w:tcW w:w="23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90.6</w:t>
            </w:r>
          </w:p>
        </w:tc>
        <w:tc>
          <w:tcPr>
            <w:tcW w:w="1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109.3</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311.9</w:t>
            </w:r>
          </w:p>
        </w:tc>
        <w:tc>
          <w:tcPr>
            <w:tcW w:w="16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362.3</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(13.9)%</w:t>
            </w:r>
          </w:p>
        </w:tc>
      </w:tr>
      <w:tr>
        <w:trPr>
          <w:trHeight w:val="230"/>
        </w:trPr>
        <w:tc>
          <w:tcPr>
            <w:tcW w:w="23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i w:val="1"/>
                <w:iCs w:val="1"/>
                <w:color w:val="auto"/>
              </w:rPr>
              <w:t>1.3 pts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31.0 %</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 pts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Pool net sales from the prior period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60" w:type="dxa"/>
            <w:vAlign w:val="bottom"/>
          </w:tcPr>
          <w:p>
            <w:pPr>
              <w:spacing w:after="0"/>
              <w:rPr>
                <w:sz w:val="19"/>
                <w:szCs w:val="19"/>
                <w:color w:val="auto"/>
              </w:rPr>
            </w:pPr>
          </w:p>
        </w:tc>
        <w:tc>
          <w:tcPr>
            <w:tcW w:w="5120" w:type="dxa"/>
            <w:vAlign w:val="bottom"/>
          </w:tcPr>
          <w:p>
            <w:pPr>
              <w:jc w:val="center"/>
              <w:ind w:left="550"/>
              <w:spacing w:after="0"/>
              <w:rPr>
                <w:sz w:val="20"/>
                <w:szCs w:val="20"/>
                <w:color w:val="auto"/>
              </w:rPr>
            </w:pPr>
            <w:r>
              <w:rPr>
                <w:rFonts w:ascii="Arial" w:cs="Arial" w:eastAsia="Arial" w:hAnsi="Arial"/>
                <w:sz w:val="18"/>
                <w:szCs w:val="18"/>
                <w:b w:val="1"/>
                <w:bCs w:val="1"/>
                <w:color w:val="auto"/>
                <w:w w:val="89"/>
              </w:rPr>
              <w:t>Three months ended September 30, 2023</w:t>
            </w:r>
          </w:p>
        </w:tc>
        <w:tc>
          <w:tcPr>
            <w:tcW w:w="3760" w:type="dxa"/>
            <w:vAlign w:val="bottom"/>
          </w:tcPr>
          <w:p>
            <w:pPr>
              <w:jc w:val="right"/>
              <w:ind w:right="390"/>
              <w:spacing w:after="0"/>
              <w:rPr>
                <w:sz w:val="20"/>
                <w:szCs w:val="20"/>
                <w:color w:val="auto"/>
              </w:rPr>
            </w:pPr>
            <w:r>
              <w:rPr>
                <w:rFonts w:ascii="Arial" w:cs="Arial" w:eastAsia="Arial" w:hAnsi="Arial"/>
                <w:sz w:val="18"/>
                <w:szCs w:val="18"/>
                <w:b w:val="1"/>
                <w:bCs w:val="1"/>
                <w:color w:val="auto"/>
                <w:w w:val="95"/>
              </w:rPr>
              <w:t>Nine months ended September 30, 2023</w:t>
            </w:r>
          </w:p>
        </w:tc>
      </w:tr>
      <w:tr>
        <w:trPr>
          <w:trHeight w:val="234"/>
        </w:trPr>
        <w:tc>
          <w:tcPr>
            <w:tcW w:w="236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91"/>
              </w:rPr>
              <w:t>over the prior year period</w:t>
            </w:r>
          </w:p>
        </w:tc>
        <w:tc>
          <w:tcPr>
            <w:tcW w:w="37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over the prior year period</w:t>
            </w:r>
          </w:p>
        </w:tc>
      </w:tr>
      <w:tr>
        <w:trPr>
          <w:trHeight w:val="223"/>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5120" w:type="dxa"/>
            <w:vAlign w:val="bottom"/>
            <w:shd w:val="clear" w:color="auto" w:fill="CCEEFF"/>
          </w:tcPr>
          <w:p>
            <w:pPr>
              <w:jc w:val="center"/>
              <w:ind w:left="3930"/>
              <w:spacing w:after="0"/>
              <w:rPr>
                <w:sz w:val="20"/>
                <w:szCs w:val="20"/>
                <w:color w:val="auto"/>
              </w:rPr>
            </w:pPr>
            <w:r>
              <w:rPr>
                <w:rFonts w:ascii="Arial" w:cs="Arial" w:eastAsia="Arial" w:hAnsi="Arial"/>
                <w:sz w:val="18"/>
                <w:szCs w:val="18"/>
                <w:color w:val="auto"/>
                <w:w w:val="91"/>
              </w:rPr>
              <w:t>(28.1)%</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5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7.3</w:t>
            </w:r>
          </w:p>
        </w:tc>
        <w:tc>
          <w:tcPr>
            <w:tcW w:w="3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8.6</w:t>
            </w:r>
          </w:p>
        </w:tc>
      </w:tr>
      <w:tr>
        <w:trPr>
          <w:trHeight w:val="223"/>
        </w:trPr>
        <w:tc>
          <w:tcPr>
            <w:tcW w:w="2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5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(20.8)</w:t>
            </w:r>
          </w:p>
        </w:tc>
        <w:tc>
          <w:tcPr>
            <w:tcW w:w="3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(21.8)</w:t>
            </w:r>
          </w:p>
        </w:tc>
      </w:tr>
      <w:tr>
        <w:trPr>
          <w:trHeight w:val="230"/>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w:t>
            </w:r>
          </w:p>
        </w:tc>
        <w:tc>
          <w:tcPr>
            <w:tcW w:w="5120" w:type="dxa"/>
            <w:vAlign w:val="bottom"/>
            <w:tcBorders>
              <w:bottom w:val="single" w:sz="8" w:color="auto"/>
            </w:tcBorders>
          </w:tcPr>
          <w:p>
            <w:pPr>
              <w:jc w:val="center"/>
              <w:ind w:left="3930"/>
              <w:spacing w:after="0"/>
              <w:rPr>
                <w:sz w:val="20"/>
                <w:szCs w:val="20"/>
                <w:color w:val="auto"/>
              </w:rPr>
            </w:pPr>
            <w:r>
              <w:rPr>
                <w:rFonts w:ascii="Arial" w:cs="Arial" w:eastAsia="Arial" w:hAnsi="Arial"/>
                <w:sz w:val="18"/>
                <w:szCs w:val="18"/>
                <w:color w:val="auto"/>
                <w:w w:val="99"/>
              </w:rPr>
              <w:t>—</w:t>
            </w:r>
          </w:p>
        </w:tc>
        <w:tc>
          <w:tcPr>
            <w:tcW w:w="3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r>
      <w:tr>
        <w:trPr>
          <w:trHeight w:val="248"/>
        </w:trPr>
        <w:tc>
          <w:tcPr>
            <w:tcW w:w="2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120" w:type="dxa"/>
            <w:vAlign w:val="bottom"/>
            <w:tcBorders>
              <w:bottom w:val="single" w:sz="8" w:color="auto"/>
            </w:tcBorders>
            <w:shd w:val="clear" w:color="auto" w:fill="CCEEFF"/>
          </w:tcPr>
          <w:p>
            <w:pPr>
              <w:jc w:val="center"/>
              <w:ind w:left="3930"/>
              <w:spacing w:after="0"/>
              <w:rPr>
                <w:sz w:val="20"/>
                <w:szCs w:val="20"/>
                <w:color w:val="auto"/>
              </w:rPr>
            </w:pPr>
            <w:r>
              <w:rPr>
                <w:rFonts w:ascii="Arial" w:cs="Arial" w:eastAsia="Arial" w:hAnsi="Arial"/>
                <w:sz w:val="18"/>
                <w:szCs w:val="18"/>
                <w:color w:val="auto"/>
                <w:w w:val="91"/>
              </w:rPr>
              <w:t>(20.8)%</w:t>
            </w:r>
          </w:p>
        </w:tc>
        <w:tc>
          <w:tcPr>
            <w:tcW w:w="3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0"/>
        </w:trPr>
        <w:tc>
          <w:tcPr>
            <w:tcW w:w="2360" w:type="dxa"/>
            <w:vAlign w:val="bottom"/>
            <w:tcBorders>
              <w:top w:val="single" w:sz="8" w:color="CCEEFF"/>
              <w:bottom w:val="single" w:sz="8" w:color="auto"/>
            </w:tcBorders>
          </w:tcPr>
          <w:p>
            <w:pPr>
              <w:spacing w:after="0" w:line="20" w:lineRule="exact"/>
              <w:rPr>
                <w:sz w:val="1"/>
                <w:szCs w:val="1"/>
                <w:color w:val="auto"/>
              </w:rPr>
            </w:pPr>
          </w:p>
        </w:tc>
        <w:tc>
          <w:tcPr>
            <w:tcW w:w="5120" w:type="dxa"/>
            <w:vAlign w:val="bottom"/>
            <w:tcBorders>
              <w:top w:val="single" w:sz="8" w:color="CCEEFF"/>
              <w:bottom w:val="single" w:sz="8" w:color="auto"/>
            </w:tcBorders>
          </w:tcPr>
          <w:p>
            <w:pPr>
              <w:spacing w:after="0" w:line="20" w:lineRule="exact"/>
              <w:rPr>
                <w:sz w:val="1"/>
                <w:szCs w:val="1"/>
                <w:color w:val="auto"/>
              </w:rPr>
            </w:pPr>
          </w:p>
        </w:tc>
        <w:tc>
          <w:tcPr>
            <w:tcW w:w="37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20.8 and 21.9 percent decreases in net sales for Pool in the third quarter and first nine months, respectively, of 2023 from 2022 were primarily driven by:</w:t>
      </w:r>
    </w:p>
    <w:p>
      <w:pPr>
        <w:spacing w:after="0" w:line="116" w:lineRule="exact"/>
        <w:rPr>
          <w:sz w:val="20"/>
          <w:szCs w:val="20"/>
          <w:color w:val="auto"/>
        </w:rPr>
      </w:pPr>
    </w:p>
    <w:p>
      <w:pPr>
        <w:ind w:left="480" w:hanging="310"/>
        <w:spacing w:after="0"/>
        <w:tabs>
          <w:tab w:leader="none" w:pos="480" w:val="left"/>
        </w:tabs>
        <w:numPr>
          <w:ilvl w:val="0"/>
          <w:numId w:val="54"/>
        </w:numPr>
        <w:rPr>
          <w:rFonts w:ascii="Arial" w:cs="Arial" w:eastAsia="Arial" w:hAnsi="Arial"/>
          <w:sz w:val="18"/>
          <w:szCs w:val="18"/>
          <w:i w:val="1"/>
          <w:iCs w:val="1"/>
          <w:color w:val="auto"/>
        </w:rPr>
      </w:pPr>
      <w:r>
        <w:rPr>
          <w:rFonts w:ascii="Arial" w:cs="Arial" w:eastAsia="Arial" w:hAnsi="Arial"/>
          <w:sz w:val="18"/>
          <w:szCs w:val="18"/>
          <w:color w:val="auto"/>
        </w:rPr>
        <w:t>sales volume decreases primarily due to higher channel inventory and lower demand compared to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480" w:hanging="310"/>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increases in selling prices to mitigate inflationary cost increases and lower rebates and incentives.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Pool segment income as a percentage of net sales from the prior period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19"/>
                <w:szCs w:val="19"/>
                <w:color w:val="auto"/>
              </w:rPr>
            </w:pPr>
          </w:p>
        </w:tc>
        <w:tc>
          <w:tcPr>
            <w:tcW w:w="460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Three months ended September 30, 2023</w:t>
            </w:r>
          </w:p>
        </w:tc>
        <w:tc>
          <w:tcPr>
            <w:tcW w:w="5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Nine months ended September 30, 2023</w:t>
            </w:r>
          </w:p>
        </w:tc>
        <w:tc>
          <w:tcPr>
            <w:tcW w:w="280" w:type="dxa"/>
            <w:vAlign w:val="bottom"/>
          </w:tcPr>
          <w:p>
            <w:pPr>
              <w:spacing w:after="0"/>
              <w:rPr>
                <w:sz w:val="19"/>
                <w:szCs w:val="19"/>
                <w:color w:val="auto"/>
              </w:rPr>
            </w:pPr>
          </w:p>
        </w:tc>
      </w:tr>
      <w:tr>
        <w:trPr>
          <w:trHeight w:val="234"/>
        </w:trPr>
        <w:tc>
          <w:tcPr>
            <w:tcW w:w="232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b w:val="1"/>
                <w:bCs w:val="1"/>
                <w:color w:val="auto"/>
                <w:w w:val="91"/>
              </w:rPr>
              <w:t>over the prior year period</w:t>
            </w:r>
          </w:p>
        </w:tc>
        <w:tc>
          <w:tcPr>
            <w:tcW w:w="5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Growth/Price</w:t>
            </w:r>
          </w:p>
        </w:tc>
        <w:tc>
          <w:tcPr>
            <w:tcW w:w="4600" w:type="dxa"/>
            <w:vAlign w:val="bottom"/>
            <w:shd w:val="clear" w:color="auto" w:fill="CCEEFF"/>
          </w:tcPr>
          <w:p>
            <w:pPr>
              <w:jc w:val="center"/>
              <w:ind w:left="4110"/>
              <w:spacing w:after="0"/>
              <w:rPr>
                <w:sz w:val="20"/>
                <w:szCs w:val="20"/>
                <w:color w:val="auto"/>
              </w:rPr>
            </w:pPr>
            <w:r>
              <w:rPr>
                <w:rFonts w:ascii="Arial" w:cs="Arial" w:eastAsia="Arial" w:hAnsi="Arial"/>
                <w:sz w:val="18"/>
                <w:szCs w:val="18"/>
                <w:color w:val="auto"/>
                <w:w w:val="95"/>
              </w:rPr>
              <w:t>3.1</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pts</w:t>
            </w:r>
          </w:p>
        </w:tc>
        <w:tc>
          <w:tcPr>
            <w:tcW w:w="3520" w:type="dxa"/>
            <w:vAlign w:val="bottom"/>
            <w:shd w:val="clear" w:color="auto" w:fill="CCEEFF"/>
          </w:tcPr>
          <w:p>
            <w:pPr>
              <w:jc w:val="center"/>
              <w:ind w:left="3030"/>
              <w:spacing w:after="0"/>
              <w:rPr>
                <w:sz w:val="20"/>
                <w:szCs w:val="20"/>
                <w:color w:val="auto"/>
              </w:rPr>
            </w:pPr>
            <w:r>
              <w:rPr>
                <w:rFonts w:ascii="Arial" w:cs="Arial" w:eastAsia="Arial" w:hAnsi="Arial"/>
                <w:sz w:val="18"/>
                <w:szCs w:val="18"/>
                <w:color w:val="auto"/>
                <w:w w:val="95"/>
              </w:rPr>
              <w:t>6.1</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pts</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Inflation</w:t>
            </w:r>
          </w:p>
        </w:tc>
        <w:tc>
          <w:tcPr>
            <w:tcW w:w="4600" w:type="dxa"/>
            <w:vAlign w:val="bottom"/>
          </w:tcPr>
          <w:p>
            <w:pPr>
              <w:jc w:val="center"/>
              <w:ind w:left="4090"/>
              <w:spacing w:after="0"/>
              <w:rPr>
                <w:sz w:val="20"/>
                <w:szCs w:val="20"/>
                <w:color w:val="auto"/>
              </w:rPr>
            </w:pPr>
            <w:r>
              <w:rPr>
                <w:rFonts w:ascii="Arial" w:cs="Arial" w:eastAsia="Arial" w:hAnsi="Arial"/>
                <w:sz w:val="18"/>
                <w:szCs w:val="18"/>
                <w:color w:val="auto"/>
                <w:w w:val="91"/>
              </w:rPr>
              <w:t>(3.5)</w:t>
            </w:r>
          </w:p>
        </w:tc>
        <w:tc>
          <w:tcPr>
            <w:tcW w:w="520" w:type="dxa"/>
            <w:vAlign w:val="bottom"/>
          </w:tcPr>
          <w:p>
            <w:pPr>
              <w:spacing w:after="0"/>
              <w:rPr>
                <w:sz w:val="19"/>
                <w:szCs w:val="19"/>
                <w:color w:val="auto"/>
              </w:rPr>
            </w:pPr>
          </w:p>
        </w:tc>
        <w:tc>
          <w:tcPr>
            <w:tcW w:w="3520" w:type="dxa"/>
            <w:vAlign w:val="bottom"/>
          </w:tcPr>
          <w:p>
            <w:pPr>
              <w:jc w:val="center"/>
              <w:ind w:left="3010"/>
              <w:spacing w:after="0"/>
              <w:rPr>
                <w:sz w:val="20"/>
                <w:szCs w:val="20"/>
                <w:color w:val="auto"/>
              </w:rPr>
            </w:pPr>
            <w:r>
              <w:rPr>
                <w:rFonts w:ascii="Arial" w:cs="Arial" w:eastAsia="Arial" w:hAnsi="Arial"/>
                <w:sz w:val="18"/>
                <w:szCs w:val="18"/>
                <w:color w:val="auto"/>
                <w:w w:val="91"/>
              </w:rPr>
              <w:t>(3.0)</w:t>
            </w:r>
          </w:p>
        </w:tc>
        <w:tc>
          <w:tcPr>
            <w:tcW w:w="280" w:type="dxa"/>
            <w:vAlign w:val="bottom"/>
          </w:tcPr>
          <w:p>
            <w:pPr>
              <w:spacing w:after="0"/>
              <w:rPr>
                <w:sz w:val="19"/>
                <w:szCs w:val="19"/>
                <w:color w:val="auto"/>
              </w:rPr>
            </w:pPr>
          </w:p>
        </w:tc>
      </w:tr>
      <w:tr>
        <w:trPr>
          <w:trHeight w:val="230"/>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Productivity</w:t>
            </w:r>
          </w:p>
        </w:tc>
        <w:tc>
          <w:tcPr>
            <w:tcW w:w="4600" w:type="dxa"/>
            <w:vAlign w:val="bottom"/>
            <w:tcBorders>
              <w:bottom w:val="single" w:sz="8" w:color="auto"/>
            </w:tcBorders>
            <w:shd w:val="clear" w:color="auto" w:fill="CCEEFF"/>
          </w:tcPr>
          <w:p>
            <w:pPr>
              <w:jc w:val="center"/>
              <w:ind w:left="4110"/>
              <w:spacing w:after="0"/>
              <w:rPr>
                <w:sz w:val="20"/>
                <w:szCs w:val="20"/>
                <w:color w:val="auto"/>
              </w:rPr>
            </w:pPr>
            <w:r>
              <w:rPr>
                <w:rFonts w:ascii="Arial" w:cs="Arial" w:eastAsia="Arial" w:hAnsi="Arial"/>
                <w:sz w:val="18"/>
                <w:szCs w:val="18"/>
                <w:color w:val="auto"/>
                <w:w w:val="95"/>
              </w:rPr>
              <w:t>1.7</w:t>
            </w:r>
          </w:p>
        </w:tc>
        <w:tc>
          <w:tcPr>
            <w:tcW w:w="520" w:type="dxa"/>
            <w:vAlign w:val="bottom"/>
            <w:tcBorders>
              <w:bottom w:val="single" w:sz="8" w:color="auto"/>
            </w:tcBorders>
            <w:shd w:val="clear" w:color="auto" w:fill="CCEEFF"/>
          </w:tcPr>
          <w:p>
            <w:pPr>
              <w:spacing w:after="0"/>
              <w:rPr>
                <w:sz w:val="19"/>
                <w:szCs w:val="19"/>
                <w:color w:val="auto"/>
              </w:rPr>
            </w:pPr>
          </w:p>
        </w:tc>
        <w:tc>
          <w:tcPr>
            <w:tcW w:w="3520" w:type="dxa"/>
            <w:vAlign w:val="bottom"/>
            <w:tcBorders>
              <w:bottom w:val="single" w:sz="8" w:color="auto"/>
            </w:tcBorders>
            <w:shd w:val="clear" w:color="auto" w:fill="CCEEFF"/>
          </w:tcPr>
          <w:p>
            <w:pPr>
              <w:jc w:val="center"/>
              <w:ind w:left="3010"/>
              <w:spacing w:after="0"/>
              <w:rPr>
                <w:sz w:val="20"/>
                <w:szCs w:val="20"/>
                <w:color w:val="auto"/>
              </w:rPr>
            </w:pPr>
            <w:r>
              <w:rPr>
                <w:rFonts w:ascii="Arial" w:cs="Arial" w:eastAsia="Arial" w:hAnsi="Arial"/>
                <w:sz w:val="18"/>
                <w:szCs w:val="18"/>
                <w:color w:val="auto"/>
                <w:w w:val="91"/>
              </w:rPr>
              <w:t>(0.2)</w:t>
            </w:r>
          </w:p>
        </w:tc>
        <w:tc>
          <w:tcPr>
            <w:tcW w:w="280" w:type="dxa"/>
            <w:vAlign w:val="bottom"/>
            <w:tcBorders>
              <w:bottom w:val="single" w:sz="8" w:color="auto"/>
            </w:tcBorders>
            <w:shd w:val="clear" w:color="auto" w:fill="CCEEFF"/>
          </w:tcPr>
          <w:p>
            <w:pPr>
              <w:spacing w:after="0"/>
              <w:rPr>
                <w:sz w:val="19"/>
                <w:szCs w:val="19"/>
                <w:color w:val="auto"/>
              </w:rPr>
            </w:pPr>
          </w:p>
        </w:tc>
      </w:tr>
      <w:tr>
        <w:trPr>
          <w:trHeight w:val="223"/>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600" w:type="dxa"/>
            <w:vAlign w:val="bottom"/>
            <w:tcBorders>
              <w:bottom w:val="single" w:sz="8" w:color="auto"/>
            </w:tcBorders>
          </w:tcPr>
          <w:p>
            <w:pPr>
              <w:jc w:val="center"/>
              <w:ind w:left="4110"/>
              <w:spacing w:after="0"/>
              <w:rPr>
                <w:sz w:val="20"/>
                <w:szCs w:val="20"/>
                <w:color w:val="auto"/>
              </w:rPr>
            </w:pPr>
            <w:r>
              <w:rPr>
                <w:rFonts w:ascii="Arial" w:cs="Arial" w:eastAsia="Arial" w:hAnsi="Arial"/>
                <w:sz w:val="18"/>
                <w:szCs w:val="18"/>
                <w:color w:val="auto"/>
                <w:w w:val="95"/>
              </w:rPr>
              <w:t>1.3</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pts</w:t>
            </w:r>
          </w:p>
        </w:tc>
        <w:tc>
          <w:tcPr>
            <w:tcW w:w="3520" w:type="dxa"/>
            <w:vAlign w:val="bottom"/>
            <w:tcBorders>
              <w:bottom w:val="single" w:sz="8" w:color="auto"/>
            </w:tcBorders>
          </w:tcPr>
          <w:p>
            <w:pPr>
              <w:jc w:val="center"/>
              <w:ind w:left="3030"/>
              <w:spacing w:after="0"/>
              <w:rPr>
                <w:sz w:val="20"/>
                <w:szCs w:val="20"/>
                <w:color w:val="auto"/>
              </w:rPr>
            </w:pPr>
            <w:r>
              <w:rPr>
                <w:rFonts w:ascii="Arial" w:cs="Arial" w:eastAsia="Arial" w:hAnsi="Arial"/>
                <w:sz w:val="18"/>
                <w:szCs w:val="18"/>
                <w:color w:val="auto"/>
                <w:w w:val="95"/>
              </w:rPr>
              <w:t>2.9</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pts</w:t>
            </w: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1.3 and 2.9 percentage point increases in segment income for Pool as a percentage of net sales in the third quarter and first nine months, respectively, of 2023 from 2022 were primarily driven by:</w:t>
      </w:r>
    </w:p>
    <w:p>
      <w:pPr>
        <w:spacing w:after="0" w:line="116" w:lineRule="exact"/>
        <w:rPr>
          <w:sz w:val="20"/>
          <w:szCs w:val="20"/>
          <w:color w:val="auto"/>
        </w:rPr>
      </w:pPr>
    </w:p>
    <w:p>
      <w:pPr>
        <w:ind w:left="480" w:hanging="310"/>
        <w:spacing w:after="0"/>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increases in selling prices to mitigate impacts of inflation and lower rebates and incentives;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positive impact to margin associated with benefits realized from our transformation initiatives;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 management initiatives associated with decreased sales volume.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480" w:hanging="310"/>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inflationary cost increases related to labor costs and certain raw materials.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BACKLOG OF ORDERS BY SEGMENT</w:t>
            </w: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87"/>
        </w:trPr>
        <w:tc>
          <w:tcPr>
            <w:tcW w:w="4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December 31,</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Change</w:t>
            </w: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&amp; Flow Technologies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Water Solutions</w:t>
            </w:r>
          </w:p>
        </w:tc>
        <w:tc>
          <w:tcPr>
            <w:tcW w:w="1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137.0</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193.5</w:t>
            </w:r>
          </w:p>
        </w:tc>
        <w:tc>
          <w:tcPr>
            <w:tcW w:w="26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(56.5)</w:t>
            </w:r>
          </w:p>
        </w:tc>
        <w:tc>
          <w:tcPr>
            <w:tcW w:w="144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29"/>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Pool</w:t>
            </w:r>
          </w:p>
        </w:tc>
        <w:tc>
          <w:tcPr>
            <w:tcW w:w="1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(163.2)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23"/>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(327.2)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majority of our backlog is short cycle in nature with shipments within one year from when a customer places an order and a substantial portion of our revenues has historically resulted from orders received and products delivered in the same month. A portion of our backlog, particularly from orders for major capital projects, can take more than one year from order to delivery depending on the size and type of order. We record, as part of our backlog, all orders from external customers, which represent firm commitments, and are supported by a purchase order or other legitimate contract. Our backlog of orders is dependent upon when customers place orders and is not necessarily an indicator of our expected results for our 2023 net sales.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our overall backlog from December 31, 2022 was primarily driven by our backlog trending down to more historical levels as a result of increased manufacturing capacity and improved lead times.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experience seasonal cash flows primarily due to seasonal demand in a number of markets. Consistent with historical trends, we experienced seasonal cash usage in the first quarter of 2023 and drew on our revolving credit facility to fund our operations. This cash usage reversed in the second quarter of 2023 as the seasonality of our businesses peaked and generated significant cash to fund our operations.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End-user demand for pool and certain pumping equipment follows warm weather trends and historically is at seasonal highs from April to August. The magnitude of the sales spike typically is partially mitigated by employing some advance sale “early buy” programs (generally including extended payment terms and/or additional discounts). Demand for residential and agricultural water systems is also impacted by weather patterns, particularly by temperature, heavy flooding and droughts.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Summary of cash flows</w:t>
            </w: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8"/>
        </w:trPr>
        <w:tc>
          <w:tcPr>
            <w:tcW w:w="4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14"/>
                <w:szCs w:val="14"/>
                <w:color w:val="auto"/>
              </w:rPr>
            </w:pPr>
          </w:p>
        </w:tc>
        <w:tc>
          <w:tcPr>
            <w:tcW w:w="146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w w:val="94"/>
              </w:rPr>
              <w:t>September 30,</w:t>
            </w:r>
          </w:p>
        </w:tc>
      </w:tr>
      <w:tr>
        <w:trPr>
          <w:trHeight w:val="243"/>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4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w:t>
            </w:r>
          </w:p>
        </w:tc>
        <w:tc>
          <w:tcPr>
            <w:tcW w:w="3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460" w:type="dxa"/>
            <w:vAlign w:val="bottom"/>
          </w:tcPr>
          <w:p>
            <w:pPr>
              <w:ind w:left="160"/>
              <w:spacing w:after="0"/>
              <w:rPr>
                <w:sz w:val="20"/>
                <w:szCs w:val="20"/>
                <w:color w:val="auto"/>
              </w:rPr>
            </w:pPr>
            <w:r>
              <w:rPr>
                <w:rFonts w:ascii="Arial" w:cs="Arial" w:eastAsia="Arial" w:hAnsi="Arial"/>
                <w:sz w:val="18"/>
                <w:szCs w:val="18"/>
                <w:color w:val="auto"/>
              </w:rPr>
              <w:t>Operating activities of continuing operations</w:t>
            </w:r>
          </w:p>
        </w:tc>
        <w:tc>
          <w:tcPr>
            <w:tcW w:w="3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502.3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271.5</w:t>
            </w:r>
          </w:p>
        </w:tc>
      </w:tr>
      <w:tr>
        <w:trPr>
          <w:trHeight w:val="230"/>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(1,643.9)</w:t>
            </w:r>
          </w:p>
        </w:tc>
      </w:tr>
      <w:tr>
        <w:trPr>
          <w:trHeight w:val="230"/>
        </w:trPr>
        <w:tc>
          <w:tcPr>
            <w:tcW w:w="446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(426.2)</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1,385.5</w:t>
            </w:r>
          </w:p>
        </w:tc>
      </w:tr>
      <w:tr>
        <w:trPr>
          <w:trHeight w:val="904"/>
        </w:trPr>
        <w:tc>
          <w:tcPr>
            <w:tcW w:w="4460" w:type="dxa"/>
            <w:vAlign w:val="bottom"/>
          </w:tcPr>
          <w:p>
            <w:pPr>
              <w:spacing w:after="0"/>
              <w:rPr>
                <w:sz w:val="24"/>
                <w:szCs w:val="24"/>
                <w:color w:val="auto"/>
              </w:rPr>
            </w:pPr>
          </w:p>
        </w:tc>
        <w:tc>
          <w:tcPr>
            <w:tcW w:w="3480" w:type="dxa"/>
            <w:vAlign w:val="bottom"/>
          </w:tcPr>
          <w:p>
            <w:pPr>
              <w:jc w:val="right"/>
              <w:ind w:right="213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$502.3 million in net cash provided by operating activities of continuing operations in the first nine months of 2023 primarily reflects $506.8 million of net income from continuing operations, net of non-cash depreciation, definite-lived intangible amortization and asset impairment.</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$271.5 million in net cash provided by operating activities of continuing operations in the first nine months of 2022 primarily reflects $458.2 million of net income from continuing operations, net of non-cash depreciation and definite-lived intangible amortization. Additionally, we had a cash outflow of $165.2 million as a result of changes in net working capital, primarily due to increased inventory balances compared to December 31, 2021. The inventory balance was higher due to inflationary impacts and continued supply chain inefficiencies.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Net cash used for investing activities in the first nine months of 2023 primarily reflects capital expenditures of $54.8 million, partially offset by proceeds from the sale of property and equipment of $5.4 million.</w:t>
      </w:r>
    </w:p>
    <w:p>
      <w:pPr>
        <w:spacing w:after="0" w:line="1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for investing activities in the first nine months of 2022 primarily reflects the net cash paid of $1,591.5 million for the Manitowoc Ice acquisition and capital expenditures of $63.2 million, partially offset by cash received upon the settlement of net investment hedges of $8.8 million.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cash used for financing activities in the first nine months of 2023 primarily relates to net repayments of revolving long-term debt of $320.0 million and dividend payments of $108.9 million.</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in the first nine months of 2022 primarily relates to net borrowings of revolving long-term debt of $256.1 million and net proceeds received from the Term Loan Facility and issuance of the 2032 Senior Notes of $1,391.3 million used to finance the Manitowoc Ice acquisition, partially offset by dividend payments of $104.1 million, repayment of $88.3 million senior fixed notes, share repurchases of $50.0 million and payments of debt issuance costs of $15.7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measuring our cash flow generation or usage based upon operating, investing and financing classifications included in the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8"/>
        </w:trPr>
        <w:tc>
          <w:tcPr>
            <w:tcW w:w="8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178"/>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90"/>
              <w:spacing w:after="0" w:line="177" w:lineRule="exact"/>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5"/>
                <w:szCs w:val="15"/>
                <w:color w:val="auto"/>
              </w:rPr>
            </w:pPr>
          </w:p>
        </w:tc>
        <w:tc>
          <w:tcPr>
            <w:tcW w:w="1320" w:type="dxa"/>
            <w:vAlign w:val="bottom"/>
          </w:tcPr>
          <w:p>
            <w:pPr>
              <w:jc w:val="right"/>
              <w:ind w:right="90"/>
              <w:spacing w:after="0" w:line="177" w:lineRule="exact"/>
              <w:rPr>
                <w:sz w:val="20"/>
                <w:szCs w:val="20"/>
                <w:color w:val="auto"/>
              </w:rPr>
            </w:pPr>
            <w:r>
              <w:rPr>
                <w:rFonts w:ascii="Arial" w:cs="Arial" w:eastAsia="Arial" w:hAnsi="Arial"/>
                <w:sz w:val="18"/>
                <w:szCs w:val="18"/>
                <w:b w:val="1"/>
                <w:bCs w:val="1"/>
                <w:color w:val="auto"/>
                <w:w w:val="90"/>
              </w:rPr>
              <w:t>September 30,</w:t>
            </w:r>
          </w:p>
        </w:tc>
      </w:tr>
      <w:tr>
        <w:trPr>
          <w:trHeight w:val="234"/>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Capital expenditures of continuing operations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Free cash flow from continuing operations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w:t>
            </w: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Free cash flow</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r>
      <w:tr>
        <w:trPr>
          <w:trHeight w:val="20"/>
        </w:trPr>
        <w:tc>
          <w:tcPr>
            <w:tcW w:w="8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capital</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Pentair, Pentair Finance S.à r.l (“PFSA“) and Pentair, Inc. are parties to a credit agreement (the “Senior Credit Facility”), with Pentair as guarantor and PFSA and Pentair, Inc. as borrowers, which was amended and restated in December 2021 and further amended in December 2022,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total availability under the Senior Credit Facility was $900.0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2022, in contemplation of the acquisition of Manitowoc Ice, Pentair and PFSA entered into a Loan Agreement among PFSA, as borrower, Pentair, as guarantor, and the lenders and agents party thereto, providing for a $600.0 million senior unsecured term loan facility (the “Term Loan Facility”). In June 2022, the Term Loan Facility was amended to increase the facility by $400.0 million to an aggregate principal amount of $1.0 billion. The Term Loan Facility has a maturity date of July 28, 2027, with required quarterly installment payments of $6.3 million that began on the last day of the third quarter of 2023 and increase to $12.5 million beginning with the last day of the third quarter of 2024.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2022, in contemplation of the acquisition of Manitowoc Ice, Pentair, as guarantor, and PFSA, as issuer, completed a public offering of $400.0 million aggregate principal amount of 5.900% Senior Notes due 2032 (“2032 Senior Notes”).</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used the net proceeds from the Term Loan Facility and the issuance of the 2032 Senior Notes to finance a portion of the Manitowoc Ice acquisition purchase price and to pay related fees and expenses.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Senior Credit Facility and the Term Loan Facility, we have various other credit facilities with an aggregate availability of $20.8 million, of which there were no outstanding borrowings at September 30, 2023. Borrowings under these credit facilities bear interest at variable rates.</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$31.3 million of Term Loan Facility payments due in the next twelve months. We classified this debt as long-term as of September 30, 2023 as we have the intent and ability to refinance such obligation on a long-term basis under the revolving credit facility under the Senior Credit Facility.</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we had $93.1 million of cash held in certain countries in which the ability to repatriate is limited due to local regulations or significant potential tax consequences.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2020, the Board of Directors authorized the repurchase of our ordinary shares up to a maximum dollar limit of $750.0 million. The authorization expires on December 31, 2025. During the three and nine months ended September 30, 2023, no ordinary shares were repurchased. As of September 30, 2023, we had $600.0 million available for share repurchases under this authorization.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payable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On September 18, 2023, the Board of Directors declared a quarterly cash dividend of $0.22 per share, payable on November 3, 2023 to shareholders of record at the close of business on October 20, 2023. As a result, the balance of dividends payable included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on our Condensed Consolidated Balance Sheets was $36.4 million at September 30, 2023, compared to $36.2 million at December 31, 2022.</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dividends in the first nine months of 2023 of $108.9 million, or $0.66 per ordinary share compared with $104.1 million, or $0.63 per ordinary share, in the prior year period.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$7.1 billion as of December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summarized financial information as of September 30, 2023 and December 31, 2022 for the Parent Company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September 30,</w:t>
            </w:r>
          </w:p>
        </w:tc>
        <w:tc>
          <w:tcPr>
            <w:tcW w:w="24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r>
      <w:tr>
        <w:trPr>
          <w:trHeight w:val="24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(1)</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(2)</w:t>
            </w:r>
          </w:p>
        </w:tc>
        <w:tc>
          <w:tcPr>
            <w:tcW w:w="3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2,682.9</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2,677.4</w:t>
            </w: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3"/>
                <w:szCs w:val="23"/>
                <w:color w:val="auto"/>
                <w:vertAlign w:val="superscript"/>
              </w:rPr>
              <w:t>(3)</w:t>
            </w:r>
          </w:p>
        </w:tc>
        <w:tc>
          <w:tcPr>
            <w:tcW w:w="3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1,519.2</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w:t>
            </w:r>
          </w:p>
        </w:tc>
      </w:tr>
      <w:tr>
        <w:trPr>
          <w:trHeight w:val="206"/>
        </w:trPr>
        <w:tc>
          <w:tcPr>
            <w:tcW w:w="48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Noncurrent liabilities </w:t>
            </w:r>
            <w:r>
              <w:rPr>
                <w:rFonts w:ascii="Arial" w:cs="Arial" w:eastAsia="Arial" w:hAnsi="Arial"/>
                <w:sz w:val="23"/>
                <w:szCs w:val="23"/>
                <w:color w:val="auto"/>
                <w:vertAlign w:val="superscript"/>
              </w:rPr>
              <w:t>(4)</w:t>
            </w:r>
          </w:p>
        </w:tc>
        <w:tc>
          <w:tcPr>
            <w:tcW w:w="3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2,310.8</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2,640.3</w:t>
            </w:r>
          </w:p>
        </w:tc>
      </w:tr>
    </w:tbl>
    <w:p>
      <w:pPr>
        <w:ind w:left="200" w:hanging="174"/>
        <w:spacing w:after="0" w:line="216" w:lineRule="auto"/>
        <w:tabs>
          <w:tab w:leader="none" w:pos="200" w:val="left"/>
        </w:tabs>
        <w:numPr>
          <w:ilvl w:val="0"/>
          <w:numId w:val="58"/>
        </w:numPr>
        <w:rPr>
          <w:rFonts w:ascii="Arial" w:cs="Arial" w:eastAsia="Arial" w:hAnsi="Arial"/>
          <w:sz w:val="21"/>
          <w:szCs w:val="21"/>
          <w:color w:val="auto"/>
          <w:vertAlign w:val="superscript"/>
        </w:rPr>
      </w:pPr>
      <w:r>
        <w:rPr>
          <w:rFonts w:ascii="Arial" w:cs="Arial" w:eastAsia="Arial" w:hAnsi="Arial"/>
          <w:sz w:val="14"/>
          <w:szCs w:val="14"/>
          <w:color w:val="auto"/>
        </w:rPr>
        <w:t>No assets due from non-guarantor subsidiaries were included as of September 30, 2023 and December 31, 2022,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58"/>
        </w:numPr>
        <w:rPr>
          <w:rFonts w:ascii="Arial" w:cs="Arial" w:eastAsia="Arial" w:hAnsi="Arial"/>
          <w:sz w:val="21"/>
          <w:szCs w:val="21"/>
          <w:color w:val="auto"/>
          <w:vertAlign w:val="superscript"/>
        </w:rPr>
      </w:pPr>
      <w:r>
        <w:rPr>
          <w:rFonts w:ascii="Arial" w:cs="Arial" w:eastAsia="Arial" w:hAnsi="Arial"/>
          <w:sz w:val="14"/>
          <w:szCs w:val="14"/>
          <w:color w:val="auto"/>
        </w:rPr>
        <w:t>Includes assets due from non-guarantor subsidiaries of $2,660.7 million and $2,664.7 million as of September 30, 2023 and December 31, 2022,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58"/>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$1,455.9 million and $989.8 million as of September 30, 2023 and December 31, 2022,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58"/>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$255.8 million and $259.8 million as of September 30, 2023 and December 31, 2022, respectively.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Guarantor and Subsidiary Issuer do not have material results of operations on a combined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Annual Report on Form 10-K for the year ended December 31, 2022, we identified the critical accounting policies that affect our more significant estimates and assumptions used in preparing our consolidated financial statements. There have been no material changes to our critical accounting policies and estimates from those disclosed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market risk during the quarter ended September 30, 2023. For additional information refer to Item 7A of our Annual Report on Form 10-K for the year ended December 31, 2022.</w:t>
      </w:r>
    </w:p>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jc w:val="both"/>
        <w:ind w:left="4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September 30, 2023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September 30, 2023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0" w:lineRule="exact"/>
        <w:rPr>
          <w:rFonts w:ascii="Arial" w:cs="Arial" w:eastAsia="Arial" w:hAnsi="Arial"/>
          <w:sz w:val="18"/>
          <w:szCs w:val="18"/>
          <w:b w:val="1"/>
          <w:bCs w:val="1"/>
          <w:color w:val="auto"/>
        </w:rPr>
      </w:pPr>
    </w:p>
    <w:p>
      <w:pPr>
        <w:ind w:left="400" w:hanging="392"/>
        <w:spacing w:after="0"/>
        <w:tabs>
          <w:tab w:leader="none" w:pos="4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jc w:val="both"/>
        <w:ind w:left="4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As part of our ongoing integration activities after the Manitowoc Ice acquisition we are continuing to incorporate our controls and procedures into the Manitowoc Ice business and to augment our company-wide controls. There was no other change in our internal control over financial reporting that occurred during the quarter ended September 30, 2023 that has materially affected, or is reasonably likely to materially affect, our internal control over financial reporting.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been, and in the future may be, made parties to a number of actions filed or have been, and in the future may be, given notice of potential claims relating to the conduct of our business, including those relating to commercial, contractual or regulatory disputes with suppliers, customers, authorities or parties to acquisitions and divestitures; intellectual property matters; environmental, asbestos, safety and health matters; product liability claims; claims relating to the use or installation of our products; consumer and consumer protection matters; and employment and labor matters.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Item 1A. of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40" w:right="1040" w:hanging="1214"/>
        <w:spacing w:after="0" w:line="282" w:lineRule="auto"/>
        <w:tabs>
          <w:tab w:leader="none" w:pos="820" w:val="left"/>
        </w:tabs>
        <w:rPr>
          <w:sz w:val="20"/>
          <w:szCs w:val="20"/>
          <w:color w:val="auto"/>
        </w:rPr>
      </w:pPr>
      <w:r>
        <w:rPr>
          <w:rFonts w:ascii="Arial" w:cs="Arial" w:eastAsia="Arial" w:hAnsi="Arial"/>
          <w:sz w:val="18"/>
          <w:szCs w:val="18"/>
          <w:b w:val="1"/>
          <w:bCs w:val="1"/>
          <w:color w:val="auto"/>
        </w:rPr>
        <w:t>ITEM 2.</w:t>
        <w:tab/>
        <w:t>UNREGISTERED SALES OF EQUITY SECURITIES, USE OF PROCEEDS, AND ISSUER PURCHASES OF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third quarter of 2023:</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80" w:type="dxa"/>
            <w:vAlign w:val="bottom"/>
          </w:tcPr>
          <w:p>
            <w:pPr>
              <w:spacing w:after="0"/>
              <w:rPr>
                <w:sz w:val="19"/>
                <w:szCs w:val="19"/>
                <w:color w:val="auto"/>
              </w:rPr>
            </w:pPr>
          </w:p>
        </w:tc>
        <w:tc>
          <w:tcPr>
            <w:tcW w:w="1660" w:type="dxa"/>
            <w:vAlign w:val="bottom"/>
          </w:tcPr>
          <w:p>
            <w:pPr>
              <w:jc w:val="center"/>
              <w:ind w:left="450"/>
              <w:spacing w:after="0"/>
              <w:rPr>
                <w:sz w:val="20"/>
                <w:szCs w:val="20"/>
                <w:color w:val="auto"/>
              </w:rPr>
            </w:pPr>
            <w:r>
              <w:rPr>
                <w:rFonts w:ascii="Arial" w:cs="Arial" w:eastAsia="Arial" w:hAnsi="Arial"/>
                <w:sz w:val="18"/>
                <w:szCs w:val="18"/>
                <w:b w:val="1"/>
                <w:bCs w:val="1"/>
                <w:color w:val="auto"/>
                <w:w w:val="90"/>
              </w:rPr>
              <w:t>(a)</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(b)</w:t>
            </w:r>
          </w:p>
        </w:tc>
        <w:tc>
          <w:tcPr>
            <w:tcW w:w="2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w:t>
            </w: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(d)</w:t>
            </w: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1660" w:type="dxa"/>
            <w:vAlign w:val="bottom"/>
            <w:vMerge w:val="restart"/>
          </w:tcPr>
          <w:p>
            <w:pPr>
              <w:jc w:val="center"/>
              <w:ind w:left="450"/>
              <w:spacing w:after="0"/>
              <w:rPr>
                <w:sz w:val="20"/>
                <w:szCs w:val="20"/>
                <w:color w:val="auto"/>
              </w:rPr>
            </w:pPr>
            <w:r>
              <w:rPr>
                <w:rFonts w:ascii="Arial" w:cs="Arial" w:eastAsia="Arial" w:hAnsi="Arial"/>
                <w:sz w:val="18"/>
                <w:szCs w:val="18"/>
                <w:b w:val="1"/>
                <w:bCs w:val="1"/>
                <w:color w:val="auto"/>
                <w:w w:val="91"/>
              </w:rPr>
              <w:t>Total number</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320" w:type="dxa"/>
            <w:vAlign w:val="bottom"/>
            <w:gridSpan w:val="2"/>
          </w:tcPr>
          <w:p>
            <w:pPr>
              <w:ind w:left="160"/>
              <w:spacing w:after="0" w:line="181" w:lineRule="exact"/>
              <w:rPr>
                <w:sz w:val="20"/>
                <w:szCs w:val="20"/>
                <w:color w:val="auto"/>
              </w:rPr>
            </w:pPr>
            <w:r>
              <w:rPr>
                <w:rFonts w:ascii="Arial" w:cs="Arial" w:eastAsia="Arial" w:hAnsi="Arial"/>
                <w:sz w:val="18"/>
                <w:szCs w:val="18"/>
                <w:b w:val="1"/>
                <w:bCs w:val="1"/>
                <w:color w:val="auto"/>
                <w:w w:val="94"/>
              </w:rPr>
              <w:t>Total number of shares   Dollar value of shares that</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88"/>
              </w:rPr>
              <w:t>Average price</w:t>
            </w:r>
          </w:p>
        </w:tc>
        <w:tc>
          <w:tcPr>
            <w:tcW w:w="234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19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8"/>
              </w:rPr>
              <w:t>may yet be purchased</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1660" w:type="dxa"/>
            <w:vAlign w:val="bottom"/>
          </w:tcPr>
          <w:p>
            <w:pPr>
              <w:jc w:val="center"/>
              <w:ind w:left="450"/>
              <w:spacing w:after="0" w:line="176" w:lineRule="exact"/>
              <w:rPr>
                <w:sz w:val="20"/>
                <w:szCs w:val="20"/>
                <w:color w:val="auto"/>
              </w:rPr>
            </w:pPr>
            <w:r>
              <w:rPr>
                <w:rFonts w:ascii="Arial" w:cs="Arial" w:eastAsia="Arial" w:hAnsi="Arial"/>
                <w:sz w:val="18"/>
                <w:szCs w:val="18"/>
                <w:b w:val="1"/>
                <w:bCs w:val="1"/>
                <w:color w:val="auto"/>
                <w:w w:val="84"/>
              </w:rPr>
              <w:t>of shares</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23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8"/>
              </w:rPr>
              <w:t>publicly announced plans</w:t>
            </w:r>
          </w:p>
        </w:tc>
        <w:tc>
          <w:tcPr>
            <w:tcW w:w="19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Period</w:t>
            </w:r>
          </w:p>
        </w:tc>
        <w:tc>
          <w:tcPr>
            <w:tcW w:w="166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87"/>
              </w:rPr>
              <w:t>purchased</w:t>
            </w:r>
          </w:p>
        </w:tc>
        <w:tc>
          <w:tcPr>
            <w:tcW w:w="5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paid per share</w:t>
            </w:r>
          </w:p>
        </w:tc>
        <w:tc>
          <w:tcPr>
            <w:tcW w:w="2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or programs</w:t>
            </w:r>
          </w:p>
        </w:tc>
        <w:tc>
          <w:tcPr>
            <w:tcW w:w="1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programs</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 July 29</w:t>
            </w:r>
          </w:p>
        </w:tc>
        <w:tc>
          <w:tcPr>
            <w:tcW w:w="16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2,332</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68.86</w:t>
            </w:r>
          </w:p>
        </w:tc>
        <w:tc>
          <w:tcPr>
            <w:tcW w:w="234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 $</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600,002,203</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July 30 - August 26</w:t>
            </w:r>
          </w:p>
        </w:tc>
        <w:tc>
          <w:tcPr>
            <w:tcW w:w="1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1,848</w:t>
            </w:r>
          </w:p>
        </w:tc>
        <w:tc>
          <w:tcPr>
            <w:tcW w:w="34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68.86</w:t>
            </w:r>
          </w:p>
        </w:tc>
        <w:tc>
          <w:tcPr>
            <w:tcW w:w="2340" w:type="dxa"/>
            <w:vAlign w:val="bottom"/>
          </w:tcPr>
          <w:p>
            <w:pPr>
              <w:ind w:left="19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600,002,203</w:t>
            </w:r>
          </w:p>
        </w:tc>
        <w:tc>
          <w:tcPr>
            <w:tcW w:w="0" w:type="dxa"/>
            <w:vAlign w:val="bottom"/>
          </w:tcPr>
          <w:p>
            <w:pPr>
              <w:spacing w:after="0"/>
              <w:rPr>
                <w:sz w:val="1"/>
                <w:szCs w:val="1"/>
                <w:color w:val="auto"/>
              </w:rPr>
            </w:pPr>
          </w:p>
        </w:tc>
      </w:tr>
      <w:tr>
        <w:trPr>
          <w:trHeight w:val="230"/>
        </w:trPr>
        <w:tc>
          <w:tcPr>
            <w:tcW w:w="2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August 27 - September 30</w:t>
            </w:r>
          </w:p>
        </w:tc>
        <w:tc>
          <w:tcPr>
            <w:tcW w:w="16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70.41</w:t>
            </w:r>
          </w:p>
        </w:tc>
        <w:tc>
          <w:tcPr>
            <w:tcW w:w="2340" w:type="dxa"/>
            <w:vAlign w:val="bottom"/>
            <w:tcBorders>
              <w:bottom w:val="single" w:sz="8" w:color="auto"/>
            </w:tcBorders>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600,002,203</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4,737</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purchases in this column include 2,332 shares for the period July 1 - July 29, 1,848 shares for the period July 30 - August 26 and 557 shares for the period August 27 - September 30 deemed surrendered to us by participants in our equity incentive plans to satisfy the exercise price or withholding of tax obligations related to the exercise of stock options and vesting of restricted and performance shares.</w:t>
      </w:r>
    </w:p>
    <w:p>
      <w:pPr>
        <w:spacing w:after="0" w:line="129"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9" w:lineRule="exact"/>
        <w:rPr>
          <w:rFonts w:ascii="Arial" w:cs="Arial" w:eastAsia="Arial" w:hAnsi="Arial"/>
          <w:sz w:val="18"/>
          <w:szCs w:val="18"/>
          <w:color w:val="auto"/>
        </w:rPr>
      </w:pPr>
    </w:p>
    <w:p>
      <w:pPr>
        <w:ind w:left="340" w:hanging="332"/>
        <w:spacing w:after="0" w:line="277" w:lineRule="auto"/>
        <w:tabs>
          <w:tab w:leader="none" w:pos="3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6" w:lineRule="exact"/>
        <w:rPr>
          <w:rFonts w:ascii="Arial" w:cs="Arial" w:eastAsia="Arial" w:hAnsi="Arial"/>
          <w:sz w:val="18"/>
          <w:szCs w:val="18"/>
          <w:color w:val="auto"/>
        </w:rPr>
      </w:pPr>
    </w:p>
    <w:p>
      <w:pPr>
        <w:jc w:val="both"/>
        <w:ind w:left="340" w:hanging="332"/>
        <w:spacing w:after="0" w:line="286" w:lineRule="auto"/>
        <w:tabs>
          <w:tab w:leader="none" w:pos="334"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December 2020, the Board of Directors authorized the repurchase of our ordinary shares up to a maximum dollar limit of $750.0 million. The authorization expires on December 31, 2025. As of September 30, 2023, we had $600.0 million available for share repurchases under this authorization. From time to time, we may enter into a Rule 10b5-1 trading plan for the purpose of repurchasing shares under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75" w:lineRule="exact"/>
        <w:rPr>
          <w:sz w:val="20"/>
          <w:szCs w:val="20"/>
          <w:color w:val="auto"/>
        </w:rPr>
      </w:pPr>
    </w:p>
    <w:p>
      <w:pPr>
        <w:ind w:left="340" w:hanging="332"/>
        <w:spacing w:after="0" w:line="308" w:lineRule="auto"/>
        <w:tabs>
          <w:tab w:leader="none" w:pos="337" w:val="left"/>
        </w:tabs>
        <w:numPr>
          <w:ilvl w:val="0"/>
          <w:numId w:val="61"/>
        </w:numPr>
        <w:rPr>
          <w:rFonts w:ascii="Arial" w:cs="Arial" w:eastAsia="Arial" w:hAnsi="Arial"/>
          <w:sz w:val="17"/>
          <w:szCs w:val="17"/>
          <w:color w:val="auto"/>
        </w:rPr>
      </w:pPr>
      <w:r>
        <w:rPr>
          <w:rFonts w:ascii="Arial" w:cs="Arial" w:eastAsia="Arial" w:hAnsi="Arial"/>
          <w:sz w:val="17"/>
          <w:szCs w:val="17"/>
          <w:color w:val="auto"/>
        </w:rPr>
        <w:t>During the third quarter of 2023, none of our directors or Section 16 officers adopted or terminated a “Rule 10b5-1 trading arrangement” or “non-Rule 10b5-1 trading arrangement” (as each term is defined in Item 408(a) of Regulation S-K), except as set forth in the table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40" w:type="dxa"/>
            <w:vAlign w:val="bottom"/>
          </w:tcPr>
          <w:p>
            <w:pPr>
              <w:ind w:left="540"/>
              <w:spacing w:after="0"/>
              <w:rPr>
                <w:sz w:val="20"/>
                <w:szCs w:val="20"/>
                <w:color w:val="auto"/>
              </w:rPr>
            </w:pPr>
            <w:r>
              <w:rPr>
                <w:rFonts w:ascii="Arial" w:cs="Arial" w:eastAsia="Arial" w:hAnsi="Arial"/>
                <w:sz w:val="18"/>
                <w:szCs w:val="18"/>
                <w:b w:val="1"/>
                <w:bCs w:val="1"/>
                <w:color w:val="auto"/>
              </w:rPr>
              <w:t>Type of Trading</w:t>
            </w:r>
          </w:p>
        </w:tc>
        <w:tc>
          <w:tcPr>
            <w:tcW w:w="1860" w:type="dxa"/>
            <w:vAlign w:val="bottom"/>
          </w:tcPr>
          <w:p>
            <w:pPr>
              <w:jc w:val="center"/>
              <w:ind w:left="130"/>
              <w:spacing w:after="0"/>
              <w:rPr>
                <w:sz w:val="20"/>
                <w:szCs w:val="20"/>
                <w:color w:val="auto"/>
              </w:rPr>
            </w:pPr>
            <w:r>
              <w:rPr>
                <w:rFonts w:ascii="Arial" w:cs="Arial" w:eastAsia="Arial" w:hAnsi="Arial"/>
                <w:sz w:val="18"/>
                <w:szCs w:val="18"/>
                <w:b w:val="1"/>
                <w:bCs w:val="1"/>
                <w:color w:val="auto"/>
                <w:w w:val="93"/>
              </w:rPr>
              <w:t>Duration of Trading</w:t>
            </w:r>
          </w:p>
        </w:tc>
        <w:tc>
          <w:tcPr>
            <w:tcW w:w="2820" w:type="dxa"/>
            <w:vAlign w:val="bottom"/>
          </w:tcPr>
          <w:p>
            <w:pPr>
              <w:ind w:left="100"/>
              <w:spacing w:after="0"/>
              <w:rPr>
                <w:sz w:val="20"/>
                <w:szCs w:val="20"/>
                <w:color w:val="auto"/>
              </w:rPr>
            </w:pPr>
            <w:r>
              <w:rPr>
                <w:rFonts w:ascii="Arial" w:cs="Arial" w:eastAsia="Arial" w:hAnsi="Arial"/>
                <w:sz w:val="18"/>
                <w:szCs w:val="18"/>
                <w:b w:val="1"/>
                <w:bCs w:val="1"/>
                <w:color w:val="auto"/>
                <w:w w:val="90"/>
              </w:rPr>
              <w:t>Aggregate Number of Shares to be</w:t>
            </w:r>
          </w:p>
        </w:tc>
        <w:tc>
          <w:tcPr>
            <w:tcW w:w="0" w:type="dxa"/>
            <w:vAlign w:val="bottom"/>
          </w:tcPr>
          <w:p>
            <w:pPr>
              <w:spacing w:after="0"/>
              <w:rPr>
                <w:sz w:val="1"/>
                <w:szCs w:val="1"/>
                <w:color w:val="auto"/>
              </w:rPr>
            </w:pPr>
          </w:p>
        </w:tc>
      </w:tr>
      <w:tr>
        <w:trPr>
          <w:trHeight w:val="243"/>
        </w:trPr>
        <w:tc>
          <w:tcPr>
            <w:tcW w:w="21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Name and Title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Action Taken</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0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Arrangement (1)</w:t>
            </w:r>
          </w:p>
        </w:tc>
        <w:tc>
          <w:tcPr>
            <w:tcW w:w="1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3"/>
              </w:rPr>
              <w:t>Arrangement (2)</w:t>
            </w:r>
          </w:p>
        </w:tc>
        <w:tc>
          <w:tcPr>
            <w:tcW w:w="282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Sold</w:t>
            </w:r>
          </w:p>
        </w:tc>
        <w:tc>
          <w:tcPr>
            <w:tcW w:w="0" w:type="dxa"/>
            <w:vAlign w:val="bottom"/>
          </w:tcPr>
          <w:p>
            <w:pPr>
              <w:spacing w:after="0"/>
              <w:rPr>
                <w:sz w:val="1"/>
                <w:szCs w:val="1"/>
                <w:color w:val="auto"/>
              </w:rPr>
            </w:pPr>
          </w:p>
        </w:tc>
      </w:tr>
      <w:tr>
        <w:trPr>
          <w:trHeight w:val="169"/>
        </w:trPr>
        <w:tc>
          <w:tcPr>
            <w:tcW w:w="2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Rule 10b5-1 trading</w:t>
            </w:r>
          </w:p>
        </w:tc>
        <w:tc>
          <w:tcPr>
            <w:tcW w:w="1860" w:type="dxa"/>
            <w:vAlign w:val="bottom"/>
            <w:shd w:val="clear" w:color="auto" w:fill="CCEEFF"/>
          </w:tcPr>
          <w:p>
            <w:pPr>
              <w:spacing w:after="0"/>
              <w:rPr>
                <w:sz w:val="14"/>
                <w:szCs w:val="14"/>
                <w:color w:val="auto"/>
              </w:rPr>
            </w:pPr>
          </w:p>
        </w:tc>
        <w:tc>
          <w:tcPr>
            <w:tcW w:w="2820" w:type="dxa"/>
            <w:vAlign w:val="bottom"/>
            <w:shd w:val="clear" w:color="auto" w:fill="CCEEFF"/>
          </w:tcPr>
          <w:p>
            <w:pPr>
              <w:ind w:left="60"/>
              <w:spacing w:after="0" w:line="169" w:lineRule="exact"/>
              <w:rPr>
                <w:sz w:val="20"/>
                <w:szCs w:val="20"/>
                <w:color w:val="auto"/>
              </w:rPr>
            </w:pPr>
            <w:r>
              <w:rPr>
                <w:rFonts w:ascii="Arial" w:cs="Arial" w:eastAsia="Arial" w:hAnsi="Arial"/>
                <w:sz w:val="18"/>
                <w:szCs w:val="18"/>
                <w:color w:val="auto"/>
                <w:w w:val="91"/>
              </w:rPr>
              <w:t>Up to 6,268 shares issuable upon the</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40" w:type="dxa"/>
            <w:vAlign w:val="bottom"/>
            <w:vMerge w:val="continue"/>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8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3"/>
              </w:rPr>
              <w:t>exercise of options to acquire shares</w:t>
            </w: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Michael Glenn, Director</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Adoption</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08/17/2023</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arrangement</w:t>
            </w:r>
          </w:p>
        </w:tc>
        <w:tc>
          <w:tcPr>
            <w:tcW w:w="18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12/06/2024</w:t>
            </w:r>
          </w:p>
        </w:tc>
        <w:tc>
          <w:tcPr>
            <w:tcW w:w="28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pursuant to the trading arrangement</w:t>
            </w: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40" w:type="dxa"/>
            <w:vAlign w:val="bottom"/>
            <w:vMerge w:val="restart"/>
          </w:tcPr>
          <w:p>
            <w:pPr>
              <w:ind w:left="100"/>
              <w:spacing w:after="0"/>
              <w:rPr>
                <w:sz w:val="20"/>
                <w:szCs w:val="20"/>
                <w:color w:val="auto"/>
              </w:rPr>
            </w:pPr>
            <w:r>
              <w:rPr>
                <w:rFonts w:ascii="Arial" w:cs="Arial" w:eastAsia="Arial" w:hAnsi="Arial"/>
                <w:sz w:val="18"/>
                <w:szCs w:val="18"/>
                <w:color w:val="auto"/>
              </w:rPr>
              <w:t>Rule 10b5-1 trading</w:t>
            </w:r>
          </w:p>
        </w:tc>
        <w:tc>
          <w:tcPr>
            <w:tcW w:w="1860" w:type="dxa"/>
            <w:vAlign w:val="bottom"/>
          </w:tcPr>
          <w:p>
            <w:pPr>
              <w:spacing w:after="0"/>
              <w:rPr>
                <w:sz w:val="15"/>
                <w:szCs w:val="15"/>
                <w:color w:val="auto"/>
              </w:rPr>
            </w:pPr>
          </w:p>
        </w:tc>
        <w:tc>
          <w:tcPr>
            <w:tcW w:w="2820" w:type="dxa"/>
            <w:vAlign w:val="bottom"/>
          </w:tcPr>
          <w:p>
            <w:pPr>
              <w:ind w:left="60"/>
              <w:spacing w:after="0" w:line="176" w:lineRule="exact"/>
              <w:rPr>
                <w:sz w:val="20"/>
                <w:szCs w:val="20"/>
                <w:color w:val="auto"/>
              </w:rPr>
            </w:pPr>
            <w:r>
              <w:rPr>
                <w:rFonts w:ascii="Arial" w:cs="Arial" w:eastAsia="Arial" w:hAnsi="Arial"/>
                <w:sz w:val="18"/>
                <w:szCs w:val="18"/>
                <w:color w:val="auto"/>
                <w:w w:val="91"/>
              </w:rPr>
              <w:t>Up to 2,260 shares issuable upon the</w:t>
            </w: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2820" w:type="dxa"/>
            <w:vAlign w:val="bottom"/>
          </w:tcPr>
          <w:p>
            <w:pPr>
              <w:ind w:left="60"/>
              <w:spacing w:after="0" w:line="176" w:lineRule="exact"/>
              <w:rPr>
                <w:sz w:val="20"/>
                <w:szCs w:val="20"/>
                <w:color w:val="auto"/>
              </w:rPr>
            </w:pPr>
            <w:r>
              <w:rPr>
                <w:rFonts w:ascii="Arial" w:cs="Arial" w:eastAsia="Arial" w:hAnsi="Arial"/>
                <w:sz w:val="18"/>
                <w:szCs w:val="18"/>
                <w:color w:val="auto"/>
                <w:w w:val="93"/>
              </w:rPr>
              <w:t>exercise of options to acquire shares</w:t>
            </w:r>
          </w:p>
        </w:tc>
        <w:tc>
          <w:tcPr>
            <w:tcW w:w="0" w:type="dxa"/>
            <w:vAlign w:val="bottom"/>
          </w:tcPr>
          <w:p>
            <w:pPr>
              <w:spacing w:after="0"/>
              <w:rPr>
                <w:sz w:val="1"/>
                <w:szCs w:val="1"/>
                <w:color w:val="auto"/>
              </w:rPr>
            </w:pP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David A. Jones, 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Adoption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08/17/2023</w:t>
            </w:r>
          </w:p>
        </w:tc>
        <w:tc>
          <w:tcPr>
            <w:tcW w:w="2040" w:type="dxa"/>
            <w:vAlign w:val="bottom"/>
          </w:tcPr>
          <w:p>
            <w:pPr>
              <w:ind w:left="100"/>
              <w:spacing w:after="0"/>
              <w:rPr>
                <w:sz w:val="20"/>
                <w:szCs w:val="20"/>
                <w:color w:val="auto"/>
              </w:rPr>
            </w:pPr>
            <w:r>
              <w:rPr>
                <w:rFonts w:ascii="Arial" w:cs="Arial" w:eastAsia="Arial" w:hAnsi="Arial"/>
                <w:sz w:val="18"/>
                <w:szCs w:val="18"/>
                <w:color w:val="auto"/>
              </w:rPr>
              <w:t>arrangement</w:t>
            </w:r>
          </w:p>
        </w:tc>
        <w:tc>
          <w:tcPr>
            <w:tcW w:w="1860" w:type="dxa"/>
            <w:vAlign w:val="bottom"/>
          </w:tcPr>
          <w:p>
            <w:pPr>
              <w:jc w:val="center"/>
              <w:ind w:left="110"/>
              <w:spacing w:after="0"/>
              <w:rPr>
                <w:sz w:val="20"/>
                <w:szCs w:val="20"/>
                <w:color w:val="auto"/>
              </w:rPr>
            </w:pPr>
            <w:r>
              <w:rPr>
                <w:rFonts w:ascii="Arial" w:cs="Arial" w:eastAsia="Arial" w:hAnsi="Arial"/>
                <w:sz w:val="18"/>
                <w:szCs w:val="18"/>
                <w:color w:val="auto"/>
                <w:w w:val="90"/>
              </w:rPr>
              <w:t>12/15/2023</w:t>
            </w:r>
          </w:p>
        </w:tc>
        <w:tc>
          <w:tcPr>
            <w:tcW w:w="2820" w:type="dxa"/>
            <w:vAlign w:val="bottom"/>
          </w:tcPr>
          <w:p>
            <w:pPr>
              <w:ind w:left="60"/>
              <w:spacing w:after="0"/>
              <w:rPr>
                <w:sz w:val="20"/>
                <w:szCs w:val="20"/>
                <w:color w:val="auto"/>
              </w:rPr>
            </w:pPr>
            <w:r>
              <w:rPr>
                <w:rFonts w:ascii="Arial" w:cs="Arial" w:eastAsia="Arial" w:hAnsi="Arial"/>
                <w:sz w:val="18"/>
                <w:szCs w:val="18"/>
                <w:color w:val="auto"/>
                <w:w w:val="95"/>
              </w:rPr>
              <w:t>pursuant to the trading arrangement</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Phil M. Rolchigo, Executive</w:t>
            </w:r>
          </w:p>
        </w:tc>
        <w:tc>
          <w:tcPr>
            <w:tcW w:w="1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Rule 10b5-1 trading</w:t>
            </w:r>
          </w:p>
        </w:tc>
        <w:tc>
          <w:tcPr>
            <w:tcW w:w="1860" w:type="dxa"/>
            <w:vAlign w:val="bottom"/>
            <w:shd w:val="clear" w:color="auto" w:fill="CCEEFF"/>
          </w:tcPr>
          <w:p>
            <w:pPr>
              <w:spacing w:after="0"/>
              <w:rPr>
                <w:sz w:val="15"/>
                <w:szCs w:val="15"/>
                <w:color w:val="auto"/>
              </w:rPr>
            </w:pPr>
          </w:p>
        </w:tc>
        <w:tc>
          <w:tcPr>
            <w:tcW w:w="28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1"/>
              </w:rPr>
              <w:t>Up to 2,427 shares issuable upon the</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Vice President and Chief</w:t>
            </w:r>
          </w:p>
        </w:tc>
        <w:tc>
          <w:tcPr>
            <w:tcW w:w="1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40" w:type="dxa"/>
            <w:vAlign w:val="bottom"/>
            <w:vMerge w:val="continue"/>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8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3"/>
              </w:rPr>
              <w:t>exercise of options to acquire shares</w:t>
            </w: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Officer</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Adoption</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08/10/2023</w:t>
            </w: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arrangement</w:t>
            </w:r>
          </w:p>
        </w:tc>
        <w:tc>
          <w:tcPr>
            <w:tcW w:w="18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02/07/2024</w:t>
            </w:r>
          </w:p>
        </w:tc>
        <w:tc>
          <w:tcPr>
            <w:tcW w:w="28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pursuant to the trading arrangement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Each trading arrangement marked as a Rule 10b5-1 trading arrangement is intended to satisfy the affirmative defense of Rule 10b5-1(c).</w:t>
      </w:r>
    </w:p>
    <w:p>
      <w:pPr>
        <w:spacing w:after="0" w:line="182" w:lineRule="exact"/>
        <w:rPr>
          <w:rFonts w:ascii="Arial" w:cs="Arial" w:eastAsia="Arial" w:hAnsi="Arial"/>
          <w:sz w:val="17"/>
          <w:szCs w:val="17"/>
          <w:color w:val="auto"/>
        </w:rPr>
      </w:pPr>
    </w:p>
    <w:p>
      <w:pPr>
        <w:ind w:left="340" w:hanging="332"/>
        <w:spacing w:after="0" w:line="277" w:lineRule="auto"/>
        <w:tabs>
          <w:tab w:leader="none" w:pos="4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trading arrangement permits transactions through and including the earlier to occur of the completion of all sales under the trading arrangement or the date listed in the table.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Index to Form 10-Q for the Period Ended September 30, 2023</w:t>
      </w:r>
    </w:p>
    <w:p>
      <w:pPr>
        <w:spacing w:after="0" w:line="337" w:lineRule="exact"/>
        <w:rPr>
          <w:sz w:val="20"/>
          <w:szCs w:val="20"/>
          <w:color w:val="auto"/>
        </w:rPr>
      </w:pPr>
    </w:p>
    <w:p>
      <w:pPr>
        <w:ind w:left="940" w:right="120" w:hanging="806"/>
        <w:spacing w:after="0" w:line="235" w:lineRule="auto"/>
        <w:tabs>
          <w:tab w:leader="none" w:pos="940" w:val="left"/>
        </w:tabs>
        <w:numPr>
          <w:ilvl w:val="0"/>
          <w:numId w:val="63"/>
        </w:numPr>
        <w:rPr>
          <w:rFonts w:ascii="Arial" w:cs="Arial" w:eastAsia="Arial" w:hAnsi="Arial"/>
          <w:sz w:val="18"/>
          <w:szCs w:val="18"/>
          <w:b w:val="1"/>
          <w:bCs w:val="1"/>
          <w:u w:val="single" w:color="auto"/>
          <w:color w:val="0000FF"/>
        </w:rPr>
      </w:pPr>
      <w:r>
        <w:rPr>
          <w:rFonts w:ascii="Arial" w:cs="Arial" w:eastAsia="Arial" w:hAnsi="Arial"/>
          <w:sz w:val="18"/>
          <w:szCs w:val="18"/>
          <w:color w:val="auto"/>
        </w:rPr>
        <w:t>List of Guarantors and Subsidiary Issuers of Guaranteed Securities. (Incorporated by reference to Exhibit 22 to the Quarterly Report on Form 10-Q of Pentair plc for the quarter ended September 30, 2022 (File No. 001-11625)).</w:t>
      </w:r>
    </w:p>
    <w:p>
      <w:pPr>
        <w:spacing w:after="0" w:line="9" w:lineRule="exact"/>
        <w:rPr>
          <w:sz w:val="20"/>
          <w:szCs w:val="20"/>
          <w:color w:val="auto"/>
        </w:rPr>
      </w:pPr>
    </w:p>
    <w:p>
      <w:pPr>
        <w:ind w:left="140"/>
        <w:spacing w:after="0"/>
        <w:tabs>
          <w:tab w:leader="none" w:pos="920" w:val="left"/>
        </w:tabs>
        <w:rPr>
          <w:sz w:val="20"/>
          <w:szCs w:val="20"/>
          <w:color w:val="auto"/>
        </w:rPr>
      </w:pPr>
      <w:r>
        <w:rPr>
          <w:rFonts w:ascii="Arial" w:cs="Arial" w:eastAsia="Arial" w:hAnsi="Arial"/>
          <w:sz w:val="18"/>
          <w:szCs w:val="18"/>
          <w:b w:val="1"/>
          <w:bCs w:val="1"/>
          <w:u w:val="single" w:color="auto"/>
          <w:color w:val="0000FF"/>
        </w:rPr>
        <w:t>31.1</w:t>
      </w:r>
      <w:r>
        <w:rPr>
          <w:sz w:val="20"/>
          <w:szCs w:val="20"/>
          <w:color w:val="auto"/>
        </w:rPr>
        <w:tab/>
      </w:r>
      <w:r>
        <w:rPr>
          <w:rFonts w:ascii="Arial" w:cs="Arial" w:eastAsia="Arial" w:hAnsi="Arial"/>
          <w:sz w:val="16"/>
          <w:szCs w:val="16"/>
          <w:color w:val="auto"/>
        </w:rPr>
        <w:t>Certification of Chief Executive Officer.</w:t>
      </w:r>
    </w:p>
    <w:p>
      <w:pPr>
        <w:spacing w:after="0" w:line="27" w:lineRule="exact"/>
        <w:rPr>
          <w:sz w:val="20"/>
          <w:szCs w:val="20"/>
          <w:color w:val="auto"/>
        </w:rPr>
      </w:pPr>
    </w:p>
    <w:p>
      <w:pPr>
        <w:ind w:left="140"/>
        <w:spacing w:after="0"/>
        <w:tabs>
          <w:tab w:leader="none" w:pos="920" w:val="left"/>
        </w:tabs>
        <w:rPr>
          <w:sz w:val="20"/>
          <w:szCs w:val="20"/>
          <w:color w:val="auto"/>
        </w:rPr>
      </w:pPr>
      <w:r>
        <w:rPr>
          <w:rFonts w:ascii="Arial" w:cs="Arial" w:eastAsia="Arial" w:hAnsi="Arial"/>
          <w:sz w:val="18"/>
          <w:szCs w:val="18"/>
          <w:b w:val="1"/>
          <w:bCs w:val="1"/>
          <w:u w:val="single" w:color="auto"/>
          <w:color w:val="0000FF"/>
        </w:rPr>
        <w:t>31.2</w:t>
      </w:r>
      <w:r>
        <w:rPr>
          <w:sz w:val="20"/>
          <w:szCs w:val="20"/>
          <w:color w:val="auto"/>
        </w:rPr>
        <w:tab/>
      </w:r>
      <w:r>
        <w:rPr>
          <w:rFonts w:ascii="Arial" w:cs="Arial" w:eastAsia="Arial" w:hAnsi="Arial"/>
          <w:sz w:val="17"/>
          <w:szCs w:val="17"/>
          <w:color w:val="auto"/>
        </w:rPr>
        <w:t>Certification of Chief Financial Officer.</w:t>
      </w:r>
    </w:p>
    <w:p>
      <w:pPr>
        <w:spacing w:after="0" w:line="23" w:lineRule="exact"/>
        <w:rPr>
          <w:sz w:val="20"/>
          <w:szCs w:val="20"/>
          <w:color w:val="auto"/>
        </w:rPr>
      </w:pPr>
    </w:p>
    <w:p>
      <w:pPr>
        <w:ind w:left="940" w:hanging="782"/>
        <w:spacing w:after="0" w:line="234" w:lineRule="auto"/>
        <w:tabs>
          <w:tab w:leader="none" w:pos="920" w:val="left"/>
        </w:tabs>
        <w:rPr>
          <w:sz w:val="20"/>
          <w:szCs w:val="20"/>
          <w:color w:val="auto"/>
        </w:rPr>
      </w:pPr>
      <w:r>
        <w:rPr>
          <w:rFonts w:ascii="Arial" w:cs="Arial" w:eastAsia="Arial" w:hAnsi="Arial"/>
          <w:sz w:val="18"/>
          <w:szCs w:val="18"/>
          <w:b w:val="1"/>
          <w:bCs w:val="1"/>
          <w:u w:val="single" w:color="auto"/>
          <w:color w:val="0000FF"/>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2002.</w:t>
      </w:r>
    </w:p>
    <w:p>
      <w:pPr>
        <w:ind w:left="140"/>
        <w:spacing w:after="0"/>
        <w:tabs>
          <w:tab w:leader="none" w:pos="920" w:val="left"/>
        </w:tabs>
        <w:rPr>
          <w:sz w:val="20"/>
          <w:szCs w:val="20"/>
          <w:color w:val="auto"/>
        </w:rPr>
      </w:pPr>
      <w:r>
        <w:rPr>
          <w:rFonts w:ascii="Arial" w:cs="Arial" w:eastAsia="Arial" w:hAnsi="Arial"/>
          <w:sz w:val="18"/>
          <w:szCs w:val="18"/>
          <w:b w:val="1"/>
          <w:bCs w:val="1"/>
          <w:u w:val="single" w:color="auto"/>
          <w:color w:val="0000FF"/>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ind w:left="940"/>
        <w:spacing w:after="0"/>
        <w:rPr>
          <w:sz w:val="20"/>
          <w:szCs w:val="20"/>
          <w:color w:val="auto"/>
        </w:rPr>
      </w:pPr>
      <w:r>
        <w:rPr>
          <w:rFonts w:ascii="Arial" w:cs="Arial" w:eastAsia="Arial" w:hAnsi="Arial"/>
          <w:sz w:val="18"/>
          <w:szCs w:val="18"/>
          <w:color w:val="auto"/>
        </w:rPr>
        <w:t>2002.</w:t>
      </w:r>
    </w:p>
    <w:p>
      <w:pPr>
        <w:spacing w:after="0" w:line="20" w:lineRule="exact"/>
        <w:rPr>
          <w:sz w:val="20"/>
          <w:szCs w:val="20"/>
          <w:color w:val="auto"/>
        </w:rPr>
      </w:pPr>
    </w:p>
    <w:p>
      <w:pPr>
        <w:jc w:val="both"/>
        <w:ind w:left="940" w:hanging="793"/>
        <w:spacing w:after="0" w:line="229" w:lineRule="auto"/>
        <w:tabs>
          <w:tab w:leader="none" w:pos="940"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The following materials from Pentair plc’s Quarterly Report on Form 10-Q for the quarter ended September 30, 2023 are filed herewith, formatted in iXBRL (Inline Extensible Business Reporting Language): (i) the Condensed Consolidated Statements of Operations and Comprehensive Income for the three and nine months ended September 30, 2023 and 2022, (ii) the Condensed Consolidated Balance Sheets as of September 30, 2023 and December 31, 2022, (iii) the Condensed Consolidated Statements of Cash Flows for the nine months ended September 30, 2023 and 2022, (iv) the Condensed Consolidated Statements of Changes in Equity for the three and nine months ended September 30, 2023 and 2022, and (v) Notes to Condensed Consolidated Financial Statements. The instance document does not appear in the interactive data file because its XBRL tags are embedded within the Inline XBRL document.</w:t>
      </w:r>
    </w:p>
    <w:p>
      <w:pPr>
        <w:spacing w:after="0" w:line="5" w:lineRule="exact"/>
        <w:rPr>
          <w:sz w:val="20"/>
          <w:szCs w:val="20"/>
          <w:color w:val="auto"/>
        </w:rPr>
      </w:pPr>
    </w:p>
    <w:p>
      <w:pPr>
        <w:ind w:left="940" w:hanging="793"/>
        <w:spacing w:after="0"/>
        <w:tabs>
          <w:tab w:leader="none" w:pos="94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6" w:lineRule="exact"/>
        <w:rPr>
          <w:rFonts w:ascii="Arial" w:cs="Arial" w:eastAsia="Arial" w:hAnsi="Arial"/>
          <w:sz w:val="18"/>
          <w:szCs w:val="18"/>
          <w:b w:val="1"/>
          <w:bCs w:val="1"/>
          <w:color w:val="auto"/>
        </w:rPr>
      </w:pPr>
    </w:p>
    <w:p>
      <w:pPr>
        <w:ind w:left="5540"/>
        <w:spacing w:after="0"/>
        <w:rPr>
          <w:rFonts w:ascii="Arial" w:cs="Arial" w:eastAsia="Arial" w:hAnsi="Arial"/>
          <w:sz w:val="18"/>
          <w:szCs w:val="18"/>
          <w:b w:val="1"/>
          <w:bCs w:val="1"/>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24, 2023.</w:t>
      </w:r>
    </w:p>
    <w:p>
      <w:pPr>
        <w:spacing w:after="0" w:line="200" w:lineRule="exact"/>
        <w:rPr>
          <w:sz w:val="20"/>
          <w:szCs w:val="20"/>
          <w:color w:val="auto"/>
        </w:rPr>
      </w:pPr>
    </w:p>
    <w:p>
      <w:pPr>
        <w:spacing w:after="0" w:line="34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Pentair plc</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Registrant</w:t>
      </w:r>
    </w:p>
    <w:p>
      <w:pPr>
        <w:spacing w:after="0" w:line="29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8721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Robert P. Fishman</w:t>
      </w:r>
    </w:p>
    <w:p>
      <w:pPr>
        <w:spacing w:after="0" w:line="19"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Chief Financial Officer and Chief</w:t>
      </w:r>
    </w:p>
    <w:p>
      <w:pPr>
        <w:ind w:left="67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6"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right="20" w:hanging="249"/>
        <w:spacing w:after="0" w:line="277" w:lineRule="auto"/>
        <w:tabs>
          <w:tab w:leader="none" w:pos="63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3" w:lineRule="auto"/>
        <w:tabs>
          <w:tab w:leader="none" w:pos="639"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Date:  October 24, 2023</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L. Stauch</w:t>
            </w:r>
          </w:p>
        </w:tc>
      </w:tr>
      <w:tr>
        <w:trPr>
          <w:trHeight w:val="222"/>
        </w:trPr>
        <w:tc>
          <w:tcPr>
            <w:tcW w:w="52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John L. Stauch</w:t>
            </w:r>
          </w:p>
        </w:tc>
      </w:tr>
      <w:tr>
        <w:trPr>
          <w:trHeight w:val="230"/>
        </w:trPr>
        <w:tc>
          <w:tcPr>
            <w:tcW w:w="5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6"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right="20" w:hanging="249"/>
        <w:spacing w:after="0" w:line="277" w:lineRule="auto"/>
        <w:tabs>
          <w:tab w:leader="none" w:pos="63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3" w:lineRule="auto"/>
        <w:tabs>
          <w:tab w:leader="none" w:pos="639"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October 24, 2023</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Fishman</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Robert P. Fishman</w:t>
            </w:r>
          </w:p>
        </w:tc>
      </w:tr>
      <w:tr>
        <w:trPr>
          <w:trHeight w:val="176"/>
        </w:trPr>
        <w:tc>
          <w:tcPr>
            <w:tcW w:w="5420" w:type="dxa"/>
            <w:vAlign w:val="bottom"/>
          </w:tcPr>
          <w:p>
            <w:pPr>
              <w:spacing w:after="0"/>
              <w:rPr>
                <w:sz w:val="15"/>
                <w:szCs w:val="15"/>
                <w:color w:val="auto"/>
              </w:rPr>
            </w:pPr>
          </w:p>
        </w:tc>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Financial Officer and Chief Accounting</w:t>
            </w:r>
          </w:p>
        </w:tc>
      </w:tr>
      <w:tr>
        <w:trPr>
          <w:trHeight w:val="230"/>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September 30, 2023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92" w:lineRule="exact"/>
        <w:rPr>
          <w:sz w:val="20"/>
          <w:szCs w:val="20"/>
          <w:color w:val="auto"/>
        </w:rPr>
      </w:pPr>
    </w:p>
    <w:p>
      <w:pPr>
        <w:ind w:left="720" w:hanging="388"/>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October 24, 2023</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L. Stauch</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John L. Stauch</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Pentair plc (the “Company”) on Form 10-Q for the period ended September 30, 2023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214" w:lineRule="exact"/>
        <w:rPr>
          <w:sz w:val="20"/>
          <w:szCs w:val="20"/>
          <w:color w:val="auto"/>
        </w:rPr>
      </w:pPr>
    </w:p>
    <w:p>
      <w:pPr>
        <w:ind w:left="720" w:hanging="388"/>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October 24, 2023</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Fishman</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Robert P. Fishman</w:t>
            </w:r>
          </w:p>
        </w:tc>
      </w:tr>
      <w:tr>
        <w:trPr>
          <w:trHeight w:val="176"/>
        </w:trPr>
        <w:tc>
          <w:tcPr>
            <w:tcW w:w="5420" w:type="dxa"/>
            <w:vAlign w:val="bottom"/>
          </w:tcPr>
          <w:p>
            <w:pPr>
              <w:spacing w:after="0"/>
              <w:rPr>
                <w:sz w:val="15"/>
                <w:szCs w:val="15"/>
                <w:color w:val="auto"/>
              </w:rPr>
            </w:pPr>
          </w:p>
        </w:tc>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Financial Officer and Chief Accounting</w:t>
            </w:r>
          </w:p>
        </w:tc>
      </w:tr>
      <w:tr>
        <w:trPr>
          <w:trHeight w:val="230"/>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2"/>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3"/>
    </w:lvl>
  </w:abstractNum>
  <w:abstractNum w:abstractNumId="6">
    <w:nsid w:val="5C482A97"/>
    <w:multiLevelType w:val="hybridMultilevel"/>
    <w:lvl w:ilvl="0">
      <w:lvlJc w:val="left"/>
      <w:lvlText w:val="%1."/>
      <w:numFmt w:val="decimal"/>
      <w:start w:val="4"/>
    </w:lvl>
  </w:abstractNum>
  <w:abstractNum w:abstractNumId="7">
    <w:nsid w:val="2463B9EA"/>
    <w:multiLevelType w:val="hybridMultilevel"/>
    <w:lvl w:ilvl="0">
      <w:lvlJc w:val="left"/>
      <w:lvlText w:val="%1."/>
      <w:numFmt w:val="decimal"/>
      <w:start w:val="5"/>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6"/>
    </w:lvl>
  </w:abstractNum>
  <w:abstractNum w:abstractNumId="10">
    <w:nsid w:val="2D517796"/>
    <w:multiLevelType w:val="hybridMultilevel"/>
    <w:lvl w:ilvl="0">
      <w:lvlJc w:val="left"/>
      <w:lvlText w:val="%1."/>
      <w:numFmt w:val="decimal"/>
      <w:start w:val="7"/>
    </w:lvl>
  </w:abstractNum>
  <w:abstractNum w:abstractNumId="11">
    <w:nsid w:val="580BD78F"/>
    <w:multiLevelType w:val="hybridMultilevel"/>
    <w:lvl w:ilvl="0">
      <w:lvlJc w:val="left"/>
      <w:lvlText w:val="%1."/>
      <w:numFmt w:val="decimal"/>
      <w:start w:val="8"/>
    </w:lvl>
  </w:abstractNum>
  <w:abstractNum w:abstractNumId="12">
    <w:nsid w:val="153EA438"/>
    <w:multiLevelType w:val="hybridMultilevel"/>
    <w:lvl w:ilvl="0">
      <w:lvlJc w:val="left"/>
      <w:lvlText w:val="%1."/>
      <w:numFmt w:val="decimal"/>
      <w:start w:val="9"/>
    </w:lvl>
  </w:abstractNum>
  <w:abstractNum w:abstractNumId="13">
    <w:nsid w:val="3855585C"/>
    <w:multiLevelType w:val="hybridMultilevel"/>
    <w:lvl w:ilvl="0">
      <w:lvlJc w:val="left"/>
      <w:lvlText w:val="%1."/>
      <w:numFmt w:val="decimal"/>
      <w:start w:val="10"/>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1."/>
      <w:numFmt w:val="decimal"/>
      <w:start w:val="11"/>
    </w:lvl>
  </w:abstractNum>
  <w:abstractNum w:abstractNumId="16">
    <w:nsid w:val="2A487CB0"/>
    <w:multiLevelType w:val="hybridMultilevel"/>
    <w:lvl w:ilvl="0">
      <w:lvlJc w:val="left"/>
      <w:lvlText w:val="•"/>
      <w:numFmt w:val="bullet"/>
      <w:start w:val="1"/>
    </w:lvl>
    <w:lvl w:ilvl="1">
      <w:lvlJc w:val="left"/>
      <w:lvlText w:val="•"/>
      <w:numFmt w:val="bullet"/>
      <w:start w:val="1"/>
    </w:lvl>
  </w:abstractNum>
  <w:abstractNum w:abstractNumId="17">
    <w:nsid w:val="1D4ED43B"/>
    <w:multiLevelType w:val="hybridMultilevel"/>
    <w:lvl w:ilvl="0">
      <w:lvlJc w:val="left"/>
      <w:lvlText w:val="%1."/>
      <w:numFmt w:val="decimal"/>
      <w:start w:val="12"/>
    </w:lvl>
  </w:abstractNum>
  <w:abstractNum w:abstractNumId="18">
    <w:nsid w:val="725A06FB"/>
    <w:multiLevelType w:val="hybridMultilevel"/>
    <w:lvl w:ilvl="0">
      <w:lvlJc w:val="left"/>
      <w:lvlText w:val="%1."/>
      <w:numFmt w:val="decimal"/>
      <w:start w:val="13"/>
    </w:lvl>
  </w:abstractNum>
  <w:abstractNum w:abstractNumId="19">
    <w:nsid w:val="2CD89A32"/>
    <w:multiLevelType w:val="hybridMultilevel"/>
    <w:lvl w:ilvl="0">
      <w:lvlJc w:val="left"/>
      <w:lvlText w:val="%1."/>
      <w:numFmt w:val="decimal"/>
      <w:start w:val="14"/>
    </w:lvl>
  </w:abstractNum>
  <w:abstractNum w:abstractNumId="20">
    <w:nsid w:val="57E4CCAF"/>
    <w:multiLevelType w:val="hybridMultilevel"/>
    <w:lvl w:ilvl="0">
      <w:lvlJc w:val="left"/>
      <w:lvlText w:val="%1."/>
      <w:numFmt w:val="decimal"/>
      <w:start w:val="15"/>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1."/>
      <w:numFmt w:val="decimal"/>
      <w:start w:val="16"/>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lvl w:ilvl="1">
      <w:lvlJc w:val="left"/>
      <w:lvlText w:val="◦"/>
      <w:numFmt w:val="bullet"/>
      <w:start w:val="1"/>
    </w:lvl>
  </w:abstractNum>
  <w:abstractNum w:abstractNumId="28">
    <w:nsid w:val="684A481A"/>
    <w:multiLevelType w:val="hybridMultilevel"/>
    <w:lvl w:ilvl="0">
      <w:lvlJc w:val="left"/>
      <w:lvlText w:val="•"/>
      <w:numFmt w:val="bullet"/>
      <w:start w:val="1"/>
    </w:lvl>
    <w:lvl w:ilvl="1">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lowerLetter"/>
      <w:start w:val="1"/>
    </w:lvl>
  </w:abstractNum>
  <w:abstractNum w:abstractNumId="59">
    <w:nsid w:val="5FF87E05"/>
    <w:multiLevelType w:val="hybridMultilevel"/>
    <w:lvl w:ilvl="0">
      <w:lvlJc w:val="left"/>
      <w:lvlText w:val="(%1)"/>
      <w:numFmt w:val="lowerLetter"/>
      <w:start w:val="1"/>
    </w:lvl>
  </w:abstractNum>
  <w:abstractNum w:abstractNumId="60">
    <w:nsid w:val="2F305DEF"/>
    <w:multiLevelType w:val="hybridMultilevel"/>
    <w:lvl w:ilvl="0">
      <w:lvlJc w:val="left"/>
      <w:lvlText w:val="(%1)"/>
      <w:numFmt w:val="lowerLetter"/>
      <w:start w:val="3"/>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22"/>
    </w:lvl>
  </w:abstractNum>
  <w:abstractNum w:abstractNumId="63">
    <w:nsid w:val="4AD084E9"/>
    <w:multiLevelType w:val="hybridMultilevel"/>
    <w:lvl w:ilvl="0">
      <w:lvlJc w:val="left"/>
      <w:lvlText w:val="%1"/>
      <w:numFmt w:val="decimal"/>
      <w:start w:val="101"/>
    </w:lvl>
  </w:abstractNum>
  <w:abstractNum w:abstractNumId="64">
    <w:nsid w:val="1F48EAA1"/>
    <w:multiLevelType w:val="hybridMultilevel"/>
    <w:lvl w:ilvl="0">
      <w:lvlJc w:val="left"/>
      <w:lvlText w:val="%1"/>
      <w:numFmt w:val="decimal"/>
      <w:start w:val="104"/>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2023-10-24T15:44:15Z</dcterms:created>
  <dcterms:modified xsi:type="dcterms:W3CDTF">2023-10-24T15:44:15Z</dcterms:modified>
</cp:coreProperties>
</file>