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98-1141328</w:t>
            </w:r>
          </w:p>
        </w:tc>
      </w:tr>
      <w:tr>
        <w:trPr>
          <w:trHeight w:val="228"/>
        </w:trPr>
        <w:tc>
          <w:tcPr>
            <w:tcW w:w="57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00" w:type="dxa"/>
            <w:vAlign w:val="bottom"/>
          </w:tcPr>
          <w:p>
            <w:pPr>
              <w:spacing w:after="0"/>
              <w:rPr>
                <w:sz w:val="19"/>
                <w:szCs w:val="19"/>
                <w:color w:val="auto"/>
              </w:rPr>
            </w:pPr>
          </w:p>
        </w:tc>
        <w:tc>
          <w:tcPr>
            <w:tcW w:w="44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40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36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080" w:type="dxa"/>
            <w:vAlign w:val="bottom"/>
          </w:tcPr>
          <w:p>
            <w:pPr>
              <w:spacing w:after="0"/>
              <w:rPr>
                <w:sz w:val="19"/>
                <w:szCs w:val="19"/>
                <w:color w:val="auto"/>
              </w:rPr>
            </w:pP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March 31, 2024, 166,024,623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133.3</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740" w:type="dxa"/>
            <w:vAlign w:val="bottom"/>
          </w:tcPr>
          <w:p>
            <w:pPr>
              <w:spacing w:after="0"/>
              <w:rPr>
                <w:sz w:val="17"/>
                <w:szCs w:val="17"/>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$12.0 and $11.2, respectively</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166.0 and 165.3 issued at March 31, 2024 and</w:t>
            </w: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7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continuing operations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of revolving long-term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1"/>
                <w:szCs w:val="11"/>
                <w:color w:val="auto"/>
              </w:rPr>
            </w:pPr>
          </w:p>
        </w:tc>
        <w:tc>
          <w:tcPr>
            <w:tcW w:w="104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1"/>
                <w:szCs w:val="11"/>
                <w:color w:val="auto"/>
              </w:rPr>
            </w:pPr>
          </w:p>
        </w:tc>
        <w:tc>
          <w:tcPr>
            <w:tcW w:w="1420" w:type="dxa"/>
            <w:vAlign w:val="bottom"/>
            <w:vMerge w:val="restart"/>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8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80" w:type="dxa"/>
            <w:vAlign w:val="bottom"/>
          </w:tcPr>
          <w:p>
            <w:pPr>
              <w:spacing w:after="0"/>
              <w:rPr>
                <w:sz w:val="12"/>
                <w:szCs w:val="12"/>
                <w:color w:val="auto"/>
              </w:rPr>
            </w:pPr>
          </w:p>
        </w:tc>
        <w:tc>
          <w:tcPr>
            <w:tcW w:w="1420" w:type="dxa"/>
            <w:vAlign w:val="bottom"/>
          </w:tcPr>
          <w:p>
            <w:pPr>
              <w:jc w:val="center"/>
              <w:ind w:right="9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$0.22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U.S. Securities and Exchange Commission (“SEC”) final rules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 issued the final rules under SEC Release No. 33-11275, The Enhancement and Standardization of Climate-Related Disclosures for Investors. In April 2024, the SEC voluntarily stayed the new rules as a result of pending legal challenges. These rules, if adopted, will require registrants to disclose certain climate-related information, including Scope 1 and Scope 2 greenhouse gas emissions and other climate-related topics, in registration statements and annual reports, when material. Disclosure requirements, absent the results of pending legal challenges, will begin phasing in with our annual reporting for the year ending December 31, 2025. We are currently evaluating the impact the rules will have on our disclosures.</w:t>
      </w:r>
    </w:p>
    <w:p>
      <w:pPr>
        <w:spacing w:after="0" w:line="21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1,017.2</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Pr>
          <w:p>
            <w:pPr>
              <w:ind w:left="20"/>
              <w:spacing w:after="0" w:line="209"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Developing includes China, Eastern Europe, Latin America, the Middle East and Southeast Asia.</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8180" w:type="dxa"/>
            <w:vAlign w:val="bottom"/>
          </w:tcPr>
          <w:p>
            <w:pPr>
              <w:ind w:left="2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Other Developed includes Australia, Canada and Japan.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$103.8 million of remaining performance obligations on contracts with an original expected duration of one year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6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(0.9)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(6.9)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$6.0 million increase in net contract assets from December 31, 2023 to March 31, 2024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60% of our contract liabilities at December 31, 2023 were recognized in revenue in the first quarter of 2024.</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months ended March 31, 2024 and 2023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5"/>
                <w:szCs w:val="15"/>
                <w:color w:val="auto"/>
              </w:rPr>
            </w:pPr>
          </w:p>
        </w:tc>
        <w:tc>
          <w:tcPr>
            <w:tcW w:w="12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2024, we issued our annual share-based compensation grants under the Pentair plc 2020 Share and Incentive Plan to eligible employees. The total number of awards issued was approximately 0.5 million, of which 0.2 million were restricted stock units (“RSUs”), 0.2 million were stock options and 0.1 million were performance share units (“PSUs”). The weighted-average grant date fair value of the RSUs, stock options and PSUs issued was $75.70, $25.10 and $71.83, respectively.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initiated and continued execution of our Transformation Program as well as certain business restructuring initiatives aimed at reducing our fixed cost structure and realigning our business. Restructuring and Transformation Program initiatives included a reduction in hourly and salaried headcount of approximately 100 employees during the three months ended March 31, 2024.</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right="20" w:firstLine="6"/>
        <w:spacing w:after="0" w:line="211" w:lineRule="auto"/>
        <w:tabs>
          <w:tab w:leader="none" w:pos="199"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various contract termination costs, asset impairments and inventory write-offs associated with business and product line exits.</w:t>
      </w:r>
    </w:p>
    <w:p>
      <w:pPr>
        <w:spacing w:after="0" w:line="1" w:lineRule="exact"/>
        <w:rPr>
          <w:rFonts w:ascii="Times New Roman" w:cs="Times New Roman" w:eastAsia="Times New Roman" w:hAnsi="Times New Roman"/>
          <w:sz w:val="22"/>
          <w:szCs w:val="22"/>
          <w:color w:val="auto"/>
          <w:vertAlign w:val="superscript"/>
        </w:rPr>
      </w:pPr>
    </w:p>
    <w:p>
      <w:pPr>
        <w:ind w:left="200" w:hanging="174"/>
        <w:spacing w:after="0" w:line="217"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transformation costs primarily consist of professional services and project management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were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5"/>
                <w:szCs w:val="15"/>
                <w:color w:val="auto"/>
              </w:rPr>
            </w:pPr>
          </w:p>
        </w:tc>
        <w:tc>
          <w:tcPr>
            <w:tcW w:w="124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three months ended March 31,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4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4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4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133.5</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impact of stock options, restricted stock units and 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Anti-dilutive stock options excluded from the calculation of diluted earnings per share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three months ended March 31, 2024:</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8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918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4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44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2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8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8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 liabilities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35"/>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280" w:type="dxa"/>
            <w:vAlign w:val="bottom"/>
          </w:tcPr>
          <w:p>
            <w:pPr>
              <w:spacing w:after="0"/>
              <w:rPr>
                <w:sz w:val="17"/>
                <w:szCs w:val="17"/>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7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 amortization expense was $13.5 million and $13.8 million for the three months ended March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2024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Q2-Q4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80" w:type="dxa"/>
            <w:vAlign w:val="bottom"/>
          </w:tcPr>
          <w:p>
            <w:pPr>
              <w:spacing w:after="0"/>
              <w:rPr>
                <w:sz w:val="17"/>
                <w:szCs w:val="17"/>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tcBorders>
            <w:vMerge w:val="continue"/>
          </w:tcPr>
          <w:p>
            <w:pPr>
              <w:spacing w:after="0"/>
              <w:rPr>
                <w:sz w:val="21"/>
                <w:szCs w:val="21"/>
                <w:color w:val="auto"/>
              </w:rPr>
            </w:pPr>
          </w:p>
        </w:tc>
        <w:tc>
          <w:tcPr>
            <w:tcW w:w="27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6.542%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6.785%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2023 - 2027</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(Senior Credit Facility)</w:t>
            </w:r>
          </w:p>
        </w:tc>
        <w:tc>
          <w:tcPr>
            <w:tcW w:w="2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6.550%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4.650%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4.500%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5.900%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74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2,084.3</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bl>
    <w:p>
      <w:pPr>
        <w:ind w:left="200" w:hanging="174"/>
        <w:spacing w:after="0" w:line="237"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total availability under the Senior Credit Facility was $798.6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March 31, 2024. Borrowings under these credit facilities bear interest at variable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$43.8 million of Term Loan Facility payments and $200.0 million of payments under the senior unsecured term loan facility, associated with the Senior Credit Facility, due in the next twelve months. We classified this debt as long-term as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March 31, 2024 as we have the intent and ability to refinance such obligation on a long-term basis under the revolving credit facility under the Senior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March 31, 2024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Q2 - Q4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r>
    </w:tbl>
    <w:p>
      <w:pPr>
        <w:spacing w:after="0" w:line="59" w:lineRule="exact"/>
        <w:rPr>
          <w:sz w:val="20"/>
          <w:szCs w:val="20"/>
          <w:color w:val="auto"/>
        </w:rPr>
      </w:pPr>
    </w:p>
    <w:p>
      <w:pPr>
        <w:ind w:right="7880" w:firstLine="8"/>
        <w:spacing w:after="0" w:line="278" w:lineRule="auto"/>
        <w:tabs>
          <w:tab w:leader="none" w:pos="40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Financial Instruments </w:t>
      </w:r>
      <w:r>
        <w:rPr>
          <w:rFonts w:ascii="Times New Roman" w:cs="Times New Roman" w:eastAsia="Times New Roman" w:hAnsi="Times New Roman"/>
          <w:sz w:val="17"/>
          <w:szCs w:val="17"/>
          <w:b w:val="1"/>
          <w:bCs w:val="1"/>
          <w:i w:val="1"/>
          <w:iCs w:val="1"/>
          <w:color w:val="auto"/>
        </w:rPr>
        <w:t>Derivative financial instruments</w:t>
      </w:r>
    </w:p>
    <w:p>
      <w:pPr>
        <w:spacing w:after="0" w:line="1" w:lineRule="exact"/>
        <w:rPr>
          <w:rFonts w:ascii="Times New Roman" w:cs="Times New Roman" w:eastAsia="Times New Roman" w:hAnsi="Times New Roman"/>
          <w:sz w:val="17"/>
          <w:szCs w:val="17"/>
          <w:b w:val="1"/>
          <w:bCs w:val="1"/>
          <w:color w:val="auto"/>
        </w:rPr>
      </w:pPr>
    </w:p>
    <w:p>
      <w:pPr>
        <w:jc w:val="both"/>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we had outstanding foreign currency derivative contracts with gross notional U.S. dollar equivalent amounts of $21.3 million and $23.9 million, respectively. The impact of these contracts on the Condensed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March 31, 2024 and December 31, 2023, we had outstanding cross currency swap agreements with a combined notional amount of $917.1 million and $940.2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$33.4 million and $51.6 million at March 31, 2024 and December 31, 2023,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 rate debt through the use of interest rate swaps and collars. We enter into these agreements to hedge the variability of interest expense and cash flows attributable to changes in interest rates of our variable rate debt. As of March 31, 2024, we had an aggregate notional amount of $300.0 million and $200.0 million in interest rate swaps and collars, respectively, that are designated as cash flow hedges.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We had unrealized gains of $4.8 million and $0.3 million at March 31, 2024 and December 31, 2023,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b w:val="1"/>
          <w:bCs w:val="1"/>
          <w:color w:val="auto"/>
        </w:rPr>
      </w:pPr>
    </w:p>
    <w:p>
      <w:pPr>
        <w:ind w:left="500" w:hanging="330"/>
        <w:spacing w:after="0" w:line="284" w:lineRule="auto"/>
        <w:tabs>
          <w:tab w:leader="none" w:pos="49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b w:val="1"/>
          <w:bCs w:val="1"/>
          <w:color w:val="auto"/>
        </w:rPr>
      </w:pPr>
    </w:p>
    <w:p>
      <w:pPr>
        <w:jc w:val="both"/>
        <w:ind w:left="500" w:hanging="330"/>
        <w:spacing w:after="0" w:line="267" w:lineRule="auto"/>
        <w:tabs>
          <w:tab w:leader="none" w:pos="495"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 and</w:t>
      </w:r>
    </w:p>
    <w:p>
      <w:pPr>
        <w:spacing w:after="0" w:line="119" w:lineRule="exact"/>
        <w:rPr>
          <w:rFonts w:ascii="Times New Roman" w:cs="Times New Roman" w:eastAsia="Times New Roman" w:hAnsi="Times New Roman"/>
          <w:sz w:val="18"/>
          <w:szCs w:val="18"/>
          <w:b w:val="1"/>
          <w:bCs w:val="1"/>
          <w:color w:val="auto"/>
        </w:rPr>
      </w:pPr>
    </w:p>
    <w:p>
      <w:pPr>
        <w:jc w:val="both"/>
        <w:ind w:left="460" w:hanging="331"/>
        <w:spacing w:after="0" w:line="261" w:lineRule="auto"/>
        <w:tabs>
          <w:tab w:leader="none" w:pos="4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420" w:type="dxa"/>
            <w:vAlign w:val="bottom"/>
          </w:tcPr>
          <w:p>
            <w:pPr>
              <w:spacing w:after="0"/>
              <w:rPr>
                <w:sz w:val="14"/>
                <w:szCs w:val="14"/>
                <w:color w:val="auto"/>
              </w:rPr>
            </w:pPr>
          </w:p>
        </w:tc>
        <w:tc>
          <w:tcPr>
            <w:tcW w:w="860" w:type="dxa"/>
            <w:vAlign w:val="bottom"/>
          </w:tcPr>
          <w:p>
            <w:pPr>
              <w:jc w:val="center"/>
              <w:ind w:right="31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Financial assets and liabilities measured at fair value on a recurring and nonrecurring basis were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5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tcPr>
          <w:p>
            <w:pPr>
              <w:spacing w:after="0"/>
              <w:rPr>
                <w:sz w:val="19"/>
                <w:szCs w:val="19"/>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was 13.0%, compared to 14.6% for the three months ended March 31, 2023.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$38.3 million and $38.6 million at March 31, 2024 and December 31, 2023,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In particular, the U.K. completed passage of legislation to comply with the Pillar Two framework which became effective on January 1, 2024. For the three months ended March 31, 2024, the impact of Pillar Two on our condensed consolidated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months ended March 31, 2024 and 2023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1.3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months ended March 31, 2024 and 2023 were not material.</w:t>
      </w:r>
    </w:p>
    <w:p>
      <w:pPr>
        <w:spacing w:after="0" w:line="248" w:lineRule="exact"/>
        <w:rPr>
          <w:sz w:val="20"/>
          <w:szCs w:val="20"/>
          <w:color w:val="auto"/>
        </w:rPr>
      </w:pPr>
    </w:p>
    <w:p>
      <w:pPr>
        <w:ind w:right="9200" w:firstLine="8"/>
        <w:spacing w:after="0" w:line="263" w:lineRule="auto"/>
        <w:tabs>
          <w:tab w:leader="none" w:pos="40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three months ended March 31, 2024, no ordinary shares were repurchased. As of March 31, 2024, we had $600.0 million available for share repurchases under this authorization.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19, 2024, the Board of Directors declared a quarterly cash dividend of $0.23 per share, payable on May 3, 2024 to shareholders of record at the close of business on April 19,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$38.2 million at March 31, 2024, compared to $38.0 million at December 31, 2023.</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 (loss)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consolidated segment income to consolidated income from continuing operations before income taxes: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8280" w:firstLine="8"/>
        <w:spacing w:after="0" w:line="263" w:lineRule="auto"/>
        <w:tabs>
          <w:tab w:leader="none" w:pos="4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Warranties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three months ended March 31, 2024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4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626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outstanding value of bonds, letters of credit and bank guarantees totaled $111.1 million and $124.3 million,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environmental, social and governance (“ESG”) goals and targets. Additional information concerning these and other factors is contained in our filings with the U.S. Securities and Exchange Commission, including this Form 10-Q and our Annual Report on Form 10-K for the year ended December 31, 2023.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composed of three reporting segments: Flow, Water Solutions and Pool. For the first three months of 2024, the Flow, Water Solutions and Pool segments represented approximately 38%, 27% and 35% of total revenues, respectively. We classify our operations into reporting segments based primarily on types of products offered and markets served:</w:t>
      </w:r>
    </w:p>
    <w:p>
      <w:pPr>
        <w:spacing w:after="0" w:line="130" w:lineRule="exact"/>
        <w:rPr>
          <w:sz w:val="20"/>
          <w:szCs w:val="20"/>
          <w:color w:val="auto"/>
        </w:rPr>
      </w:pPr>
    </w:p>
    <w:p>
      <w:pPr>
        <w:jc w:val="both"/>
        <w:ind w:left="660" w:hanging="328"/>
        <w:spacing w:after="0" w:line="256"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28"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three months of 2024 and are reasonably likely to impact our results in the future:</w:t>
      </w:r>
    </w:p>
    <w:p>
      <w:pPr>
        <w:spacing w:after="0" w:line="127" w:lineRule="exact"/>
        <w:rPr>
          <w:sz w:val="20"/>
          <w:szCs w:val="20"/>
          <w:color w:val="auto"/>
        </w:rPr>
      </w:pPr>
    </w:p>
    <w:p>
      <w:pPr>
        <w:jc w:val="both"/>
        <w:ind w:left="660" w:hanging="328"/>
        <w:spacing w:after="0" w:line="277" w:lineRule="auto"/>
        <w:tabs>
          <w:tab w:leader="none" w:pos="65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2023 and the first three months of 2024,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throughout the remainder of 2024 and beyond.</w:t>
      </w:r>
    </w:p>
    <w:p>
      <w:pPr>
        <w:spacing w:after="0" w:line="113" w:lineRule="exact"/>
        <w:rPr>
          <w:rFonts w:ascii="Times New Roman" w:cs="Times New Roman" w:eastAsia="Times New Roman" w:hAnsi="Times New Roman"/>
          <w:sz w:val="17"/>
          <w:szCs w:val="17"/>
          <w:b w:val="1"/>
          <w:bCs w:val="1"/>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and the first three months of 2024, we executed certain business restructuring initiatives aimed at reducing our fixed cost structure and realigning our business. We expect these actions to continue throughout the remainder of 2024 and to drive margin growth.</w:t>
      </w:r>
    </w:p>
    <w:p>
      <w:pPr>
        <w:spacing w:after="0" w:line="107"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and the first three months of 2024, we experienced inflationary cost increases for certain raw materials. The current volatile market for commodities has the potential to continue to drive price increases in our supply chain. While we have taken pricing actions and implemented transformation initiatives that we expect to improve productivity and offset cost increases, we anticipate supply chain pressures and inflationary cost increases to continue for the remainder of 2024.</w:t>
      </w:r>
    </w:p>
    <w:p>
      <w:pPr>
        <w:spacing w:after="0" w:line="125"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are in the process of being adopted by a number of jurisdictions in which we operate. Pillar Two has negatively impacted our effective tax rate in 2024. That impact could change in the future as we continue to evaluate the enacted legislative changes and as new guidance becomes available.</w:t>
      </w:r>
    </w:p>
    <w:p>
      <w:pPr>
        <w:spacing w:after="0" w:line="121"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Focusing growth initiatives that accelerate our investments in digital, innovation, technology and ESG;</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Continuing to implement our Transformation Program initiatives that will drive operational excellence, reduce complexity and improve our organizational structure; and</w:t>
      </w:r>
    </w:p>
    <w:p>
      <w:pPr>
        <w:spacing w:after="0" w:line="10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March 31, 2024 and March 31, 2023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627.1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646.8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38.4 %</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37.1 %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185.2</w:t>
            </w:r>
          </w:p>
        </w:tc>
        <w:tc>
          <w:tcPr>
            <w:tcW w:w="2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180.8</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pts</w:t>
            </w:r>
          </w:p>
        </w:tc>
        <w:tc>
          <w:tcPr>
            <w:tcW w:w="0" w:type="dxa"/>
            <w:vAlign w:val="bottom"/>
          </w:tcPr>
          <w:p>
            <w:pPr>
              <w:spacing w:after="0"/>
              <w:rPr>
                <w:sz w:val="1"/>
                <w:szCs w:val="1"/>
                <w:color w:val="auto"/>
              </w:rPr>
            </w:pPr>
          </w:p>
        </w:tc>
      </w:tr>
      <w:tr>
        <w:trPr>
          <w:trHeight w:val="45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6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38"/>
        </w:trPr>
        <w:tc>
          <w:tcPr>
            <w:tcW w:w="42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1000" w:type="dxa"/>
            <w:vAlign w:val="bottom"/>
            <w:tcBorders>
              <w:bottom w:val="single" w:sz="8" w:color="auto"/>
            </w:tcBorders>
          </w:tcPr>
          <w:p>
            <w:pPr>
              <w:spacing w:after="0"/>
              <w:rPr>
                <w:sz w:val="20"/>
                <w:szCs w:val="20"/>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60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6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60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1.1 percent decrease in net sales in the first quarter of 2024 from 2023 was primarily driven by:</w:t>
      </w:r>
    </w:p>
    <w:p>
      <w:pPr>
        <w:spacing w:after="0" w:line="173" w:lineRule="exact"/>
        <w:rPr>
          <w:sz w:val="20"/>
          <w:szCs w:val="20"/>
          <w:color w:val="auto"/>
        </w:rPr>
      </w:pPr>
    </w:p>
    <w:p>
      <w:pPr>
        <w:ind w:left="500" w:hanging="330"/>
        <w:spacing w:after="0" w:line="282" w:lineRule="auto"/>
        <w:tabs>
          <w:tab w:leader="none" w:pos="49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residential flow business within our Flow segment and our residential business within our Water Solutions segment compared to the same period of the prior year;</w:t>
      </w:r>
    </w:p>
    <w:p>
      <w:pPr>
        <w:spacing w:after="0" w:line="107" w:lineRule="exact"/>
        <w:rPr>
          <w:rFonts w:ascii="Times New Roman" w:cs="Times New Roman" w:eastAsia="Times New Roman" w:hAnsi="Times New Roman"/>
          <w:sz w:val="18"/>
          <w:szCs w:val="18"/>
          <w:b w:val="1"/>
          <w:bCs w:val="1"/>
          <w:color w:val="auto"/>
        </w:rPr>
      </w:pPr>
    </w:p>
    <w:p>
      <w:pPr>
        <w:ind w:left="500" w:right="20" w:hanging="330"/>
        <w:spacing w:after="0" w:line="282" w:lineRule="auto"/>
        <w:tabs>
          <w:tab w:leader="none" w:pos="49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commercial business within our Water Solutions segment driven by the completion of a large project in 2023 that did not recur in the first three months of 2024; and</w:t>
      </w:r>
    </w:p>
    <w:p>
      <w:pPr>
        <w:spacing w:after="0" w:line="107"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Pool segment primarily due to lower demand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volume in our commercial flow business within our Flow segment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1.3 percentage point increase in gross profit as a percentage of net sales in the first quarter of 2024 from 2023 was primarily driven by:</w:t>
      </w:r>
    </w:p>
    <w:p>
      <w:pPr>
        <w:spacing w:after="0" w:line="153"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increases in selling prices to mitigate impacts of inflationary costs;</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increased productivity in our Flow and Water Solutions segments mainly driven by manufacturing leverage and transformation initiatives; and</w:t>
      </w:r>
    </w:p>
    <w:p>
      <w:pPr>
        <w:spacing w:after="0" w:line="182" w:lineRule="exact"/>
        <w:rPr>
          <w:rFonts w:ascii="Times New Roman" w:cs="Times New Roman" w:eastAsia="Times New Roman" w:hAnsi="Times New Roman"/>
          <w:sz w:val="17"/>
          <w:szCs w:val="17"/>
          <w:b w:val="1"/>
          <w:bCs w:val="1"/>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 impairment and write-offs of $0.8 million recorded in the first quarter of 2024, compared to $3.9 million in the first quarter of 2023.</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1.4 percentage point increase in SG&amp;A as a percentage of net sales in the first quarter of 2024 from 2023 was primarily driven by:</w:t>
      </w:r>
    </w:p>
    <w:p>
      <w:pPr>
        <w:spacing w:after="0" w:line="153"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transformation costs of $17.0 million in the first quarter of 2024, compared to $8.5 million in the first quarter of 2023;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restructuring and other costs of $4.6 million in the first quarter of 2024, compared to $2.9 million in the first quarter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15.7 percent decrease in net interest expense in the first quarter of 2024 from 2023 was primarily driven by:</w:t>
      </w:r>
    </w:p>
    <w:p>
      <w:pPr>
        <w:spacing w:after="0" w:line="153"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lower variable debt compared to the same period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variable interest rates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1.6 percentage point decrease in the effective tax rate in the first quarter of 2024 from 2023 was primarily driven b</w:t>
      </w:r>
      <w:r>
        <w:rPr>
          <w:rFonts w:ascii="Times New Roman" w:cs="Times New Roman" w:eastAsia="Times New Roman" w:hAnsi="Times New Roman"/>
          <w:sz w:val="18"/>
          <w:szCs w:val="18"/>
          <w:color w:val="auto"/>
        </w:rPr>
        <w:t>y:</w:t>
      </w:r>
    </w:p>
    <w:p>
      <w:pPr>
        <w:spacing w:after="0" w:line="153"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favorable impact of discrete items that occurred during the first quarter of 2024 that did not occur in the same period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unfavorable mix of global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costs of restructuring and transformation activities, impairments, legal accrual adjustments and settlements and other unusual non-operating items.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94"/>
              </w:rPr>
              <w:t>pts</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680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r>
      <w:tr>
        <w:trPr>
          <w:trHeight w:val="238"/>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6800" w:type="dxa"/>
            <w:vAlign w:val="bottom"/>
            <w:shd w:val="clear" w:color="auto" w:fill="CCEEFF"/>
          </w:tcPr>
          <w:p>
            <w:pPr>
              <w:ind w:left="628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6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6800" w:type="dxa"/>
            <w:vAlign w:val="bottom"/>
            <w:shd w:val="clear" w:color="auto" w:fill="CCEEFF"/>
          </w:tcPr>
          <w:p>
            <w:pPr>
              <w:ind w:left="628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6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0" w:type="dxa"/>
            <w:vAlign w:val="bottom"/>
            <w:tcBorders>
              <w:bottom w:val="single" w:sz="8" w:color="auto"/>
            </w:tcBorders>
            <w:shd w:val="clear" w:color="auto" w:fill="CCEEFF"/>
          </w:tcPr>
          <w:p>
            <w:pPr>
              <w:ind w:left="628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6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1.9 percent decrease in net sales for Flow in the first quarter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residential flow business compared to the same period of the prior year.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sales volume in our commercial flow business compared to the same period of the prior year;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660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40" w:type="dxa"/>
            <w:vAlign w:val="bottom"/>
          </w:tcPr>
          <w:p>
            <w:pPr>
              <w:spacing w:after="0"/>
              <w:rPr>
                <w:sz w:val="19"/>
                <w:szCs w:val="19"/>
                <w:color w:val="auto"/>
              </w:rPr>
            </w:pPr>
          </w:p>
        </w:tc>
      </w:tr>
      <w:tr>
        <w:trPr>
          <w:trHeight w:val="238"/>
        </w:trPr>
        <w:tc>
          <w:tcPr>
            <w:tcW w:w="436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40" w:type="dxa"/>
            <w:vAlign w:val="bottom"/>
            <w:tcBorders>
              <w:bottom w:val="single" w:sz="8" w:color="auto"/>
            </w:tcBorders>
          </w:tcPr>
          <w:p>
            <w:pPr>
              <w:spacing w:after="0"/>
              <w:rPr>
                <w:sz w:val="20"/>
                <w:szCs w:val="20"/>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6600" w:type="dxa"/>
            <w:vAlign w:val="bottom"/>
            <w:shd w:val="clear" w:color="auto" w:fill="CCEEFF"/>
          </w:tcPr>
          <w:p>
            <w:pPr>
              <w:jc w:val="center"/>
              <w:ind w:left="6130"/>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6600" w:type="dxa"/>
            <w:vAlign w:val="bottom"/>
          </w:tcPr>
          <w:p>
            <w:pPr>
              <w:jc w:val="center"/>
              <w:ind w:left="6090"/>
              <w:spacing w:after="0"/>
              <w:rPr>
                <w:sz w:val="20"/>
                <w:szCs w:val="20"/>
                <w:color w:val="auto"/>
              </w:rPr>
            </w:pPr>
            <w:r>
              <w:rPr>
                <w:rFonts w:ascii="Times New Roman" w:cs="Times New Roman" w:eastAsia="Times New Roman" w:hAnsi="Times New Roman"/>
                <w:sz w:val="18"/>
                <w:szCs w:val="18"/>
                <w:color w:val="auto"/>
                <w:w w:val="98"/>
              </w:rPr>
              <w:t>(2.3)</w:t>
            </w:r>
          </w:p>
        </w:tc>
        <w:tc>
          <w:tcPr>
            <w:tcW w:w="240" w:type="dxa"/>
            <w:vAlign w:val="bottom"/>
          </w:tcPr>
          <w:p>
            <w:pPr>
              <w:spacing w:after="0"/>
              <w:rPr>
                <w:sz w:val="19"/>
                <w:szCs w:val="19"/>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6600" w:type="dxa"/>
            <w:vAlign w:val="bottom"/>
            <w:tcBorders>
              <w:bottom w:val="single" w:sz="8" w:color="auto"/>
            </w:tcBorders>
            <w:shd w:val="clear" w:color="auto" w:fill="CCEEFF"/>
          </w:tcPr>
          <w:p>
            <w:pPr>
              <w:jc w:val="center"/>
              <w:ind w:left="6130"/>
              <w:spacing w:after="0"/>
              <w:rPr>
                <w:sz w:val="20"/>
                <w:szCs w:val="20"/>
                <w:color w:val="auto"/>
              </w:rPr>
            </w:pPr>
            <w:r>
              <w:rPr>
                <w:rFonts w:ascii="Times New Roman" w:cs="Times New Roman" w:eastAsia="Times New Roman" w:hAnsi="Times New Roman"/>
                <w:sz w:val="18"/>
                <w:szCs w:val="18"/>
                <w:color w:val="auto"/>
                <w:w w:val="97"/>
              </w:rPr>
              <w:t>2.6</w:t>
            </w:r>
          </w:p>
        </w:tc>
        <w:tc>
          <w:tcPr>
            <w:tcW w:w="240" w:type="dxa"/>
            <w:vAlign w:val="bottom"/>
            <w:tcBorders>
              <w:bottom w:val="single" w:sz="8" w:color="auto"/>
            </w:tcBorders>
            <w:shd w:val="clear" w:color="auto" w:fill="CCEEFF"/>
          </w:tcPr>
          <w:p>
            <w:pPr>
              <w:spacing w:after="0"/>
              <w:rPr>
                <w:sz w:val="19"/>
                <w:szCs w:val="19"/>
                <w:color w:val="auto"/>
              </w:rPr>
            </w:pP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0" w:type="dxa"/>
            <w:vAlign w:val="bottom"/>
            <w:tcBorders>
              <w:bottom w:val="single" w:sz="8" w:color="auto"/>
            </w:tcBorders>
          </w:tcPr>
          <w:p>
            <w:pPr>
              <w:jc w:val="center"/>
              <w:ind w:left="6130"/>
              <w:spacing w:after="0"/>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3.5 percentage point increase in segment income for Flow as a percentage of net sales in the first quarter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impacts of inflation and favorable mix;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mainly driven by manufacturing leverage and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5"/>
                <w:szCs w:val="15"/>
                <w:color w:val="auto"/>
              </w:rPr>
            </w:pPr>
          </w:p>
        </w:tc>
        <w:tc>
          <w:tcPr>
            <w:tcW w:w="1340" w:type="dxa"/>
            <w:vAlign w:val="bottom"/>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5"/>
                <w:szCs w:val="15"/>
                <w:color w:val="auto"/>
              </w:rPr>
            </w:pPr>
          </w:p>
        </w:tc>
        <w:tc>
          <w:tcPr>
            <w:tcW w:w="1340" w:type="dxa"/>
            <w:vAlign w:val="bottom"/>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678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238"/>
        </w:trPr>
        <w:tc>
          <w:tcPr>
            <w:tcW w:w="442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6780" w:type="dxa"/>
            <w:vAlign w:val="bottom"/>
            <w:shd w:val="clear" w:color="auto" w:fill="CCEEFF"/>
          </w:tcPr>
          <w:p>
            <w:pPr>
              <w:ind w:left="626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6780" w:type="dxa"/>
            <w:vAlign w:val="bottom"/>
            <w:tcBorders>
              <w:bottom w:val="single" w:sz="8" w:color="auto"/>
            </w:tcBorders>
          </w:tcPr>
          <w:p>
            <w:pPr>
              <w:ind w:left="634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6780" w:type="dxa"/>
            <w:vAlign w:val="bottom"/>
            <w:shd w:val="clear" w:color="auto" w:fill="CCEEFF"/>
          </w:tcPr>
          <w:p>
            <w:pPr>
              <w:ind w:left="634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6780" w:type="dxa"/>
            <w:vAlign w:val="bottom"/>
            <w:tcBorders>
              <w:bottom w:val="single" w:sz="8" w:color="auto"/>
            </w:tcBorders>
          </w:tcPr>
          <w:p>
            <w:pPr>
              <w:ind w:left="6260"/>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780" w:type="dxa"/>
            <w:vAlign w:val="bottom"/>
            <w:tcBorders>
              <w:bottom w:val="single" w:sz="8" w:color="auto"/>
            </w:tcBorders>
            <w:shd w:val="clear" w:color="auto" w:fill="CCEEFF"/>
          </w:tcPr>
          <w:p>
            <w:pPr>
              <w:ind w:left="6340"/>
              <w:spacing w:after="0"/>
              <w:rPr>
                <w:sz w:val="20"/>
                <w:szCs w:val="20"/>
                <w:color w:val="auto"/>
              </w:rPr>
            </w:pPr>
            <w:r>
              <w:rPr>
                <w:rFonts w:ascii="Times New Roman" w:cs="Times New Roman" w:eastAsia="Times New Roman" w:hAnsi="Times New Roman"/>
                <w:sz w:val="18"/>
                <w:szCs w:val="18"/>
                <w:color w:val="auto"/>
                <w:w w:val="99"/>
              </w:rPr>
              <w:t>0.4 %</w:t>
            </w: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67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0.4 percent increase in net sales for Water Solutions in the first quarter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business to mitigate inflationary cost increases.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500" w:hanging="330"/>
        <w:spacing w:after="0" w:line="282" w:lineRule="auto"/>
        <w:tabs>
          <w:tab w:leader="none" w:pos="49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commercial business driven by the completion of a large project in 2023 that did not recur in the first three months of 2024;</w:t>
      </w:r>
    </w:p>
    <w:p>
      <w:pPr>
        <w:spacing w:after="0" w:line="107"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in our residential business as a result of lower demand;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same period of the prior year.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5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60" w:type="dxa"/>
            <w:vAlign w:val="bottom"/>
          </w:tcPr>
          <w:p>
            <w:pPr>
              <w:spacing w:after="0"/>
              <w:rPr>
                <w:sz w:val="19"/>
                <w:szCs w:val="19"/>
                <w:color w:val="auto"/>
              </w:rPr>
            </w:pPr>
          </w:p>
        </w:tc>
      </w:tr>
      <w:tr>
        <w:trPr>
          <w:trHeight w:val="238"/>
        </w:trPr>
        <w:tc>
          <w:tcPr>
            <w:tcW w:w="444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6500" w:type="dxa"/>
            <w:vAlign w:val="bottom"/>
            <w:shd w:val="clear" w:color="auto" w:fill="CCEEFF"/>
          </w:tcPr>
          <w:p>
            <w:pPr>
              <w:jc w:val="center"/>
              <w:ind w:left="5990"/>
              <w:spacing w:after="0"/>
              <w:rPr>
                <w:sz w:val="20"/>
                <w:szCs w:val="20"/>
                <w:color w:val="auto"/>
              </w:rPr>
            </w:pPr>
            <w:r>
              <w:rPr>
                <w:rFonts w:ascii="Times New Roman" w:cs="Times New Roman" w:eastAsia="Times New Roman" w:hAnsi="Times New Roman"/>
                <w:sz w:val="18"/>
                <w:szCs w:val="18"/>
                <w:color w:val="auto"/>
                <w:w w:val="97"/>
              </w:rPr>
              <w:t>2.6</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6500" w:type="dxa"/>
            <w:vAlign w:val="bottom"/>
          </w:tcPr>
          <w:p>
            <w:pPr>
              <w:jc w:val="center"/>
              <w:ind w:left="5950"/>
              <w:spacing w:after="0"/>
              <w:rPr>
                <w:sz w:val="20"/>
                <w:szCs w:val="20"/>
                <w:color w:val="auto"/>
              </w:rPr>
            </w:pPr>
            <w:r>
              <w:rPr>
                <w:rFonts w:ascii="Times New Roman" w:cs="Times New Roman" w:eastAsia="Times New Roman" w:hAnsi="Times New Roman"/>
                <w:sz w:val="18"/>
                <w:szCs w:val="18"/>
                <w:color w:val="auto"/>
                <w:w w:val="98"/>
              </w:rPr>
              <w:t>(0.5)</w:t>
            </w:r>
          </w:p>
        </w:tc>
        <w:tc>
          <w:tcPr>
            <w:tcW w:w="26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6500" w:type="dxa"/>
            <w:vAlign w:val="bottom"/>
            <w:shd w:val="clear" w:color="auto" w:fill="CCEEFF"/>
          </w:tcPr>
          <w:p>
            <w:pPr>
              <w:jc w:val="center"/>
              <w:ind w:left="5950"/>
              <w:spacing w:after="0"/>
              <w:rPr>
                <w:sz w:val="20"/>
                <w:szCs w:val="20"/>
                <w:color w:val="auto"/>
              </w:rPr>
            </w:pPr>
            <w:r>
              <w:rPr>
                <w:rFonts w:ascii="Times New Roman" w:cs="Times New Roman" w:eastAsia="Times New Roman" w:hAnsi="Times New Roman"/>
                <w:sz w:val="18"/>
                <w:szCs w:val="18"/>
                <w:color w:val="auto"/>
                <w:w w:val="98"/>
              </w:rPr>
              <w:t>(2.6)</w:t>
            </w:r>
          </w:p>
        </w:tc>
        <w:tc>
          <w:tcPr>
            <w:tcW w:w="260" w:type="dxa"/>
            <w:vAlign w:val="bottom"/>
            <w:shd w:val="clear" w:color="auto" w:fill="CCEEFF"/>
          </w:tcPr>
          <w:p>
            <w:pPr>
              <w:spacing w:after="0"/>
              <w:rPr>
                <w:sz w:val="19"/>
                <w:szCs w:val="19"/>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6500" w:type="dxa"/>
            <w:vAlign w:val="bottom"/>
            <w:tcBorders>
              <w:bottom w:val="single" w:sz="8" w:color="auto"/>
            </w:tcBorders>
          </w:tcPr>
          <w:p>
            <w:pPr>
              <w:jc w:val="center"/>
              <w:ind w:left="5990"/>
              <w:spacing w:after="0"/>
              <w:rPr>
                <w:sz w:val="20"/>
                <w:szCs w:val="20"/>
                <w:color w:val="auto"/>
              </w:rPr>
            </w:pPr>
            <w:r>
              <w:rPr>
                <w:rFonts w:ascii="Times New Roman" w:cs="Times New Roman" w:eastAsia="Times New Roman" w:hAnsi="Times New Roman"/>
                <w:sz w:val="18"/>
                <w:szCs w:val="18"/>
                <w:color w:val="auto"/>
                <w:w w:val="97"/>
              </w:rPr>
              <w:t>1.6</w:t>
            </w:r>
          </w:p>
        </w:tc>
        <w:tc>
          <w:tcPr>
            <w:tcW w:w="260" w:type="dxa"/>
            <w:vAlign w:val="bottom"/>
            <w:tcBorders>
              <w:bottom w:val="single" w:sz="8" w:color="auto"/>
            </w:tcBorders>
          </w:tcPr>
          <w:p>
            <w:pPr>
              <w:spacing w:after="0"/>
              <w:rPr>
                <w:sz w:val="19"/>
                <w:szCs w:val="19"/>
                <w:color w:val="auto"/>
              </w:rPr>
            </w:pPr>
          </w:p>
        </w:tc>
      </w:tr>
      <w:tr>
        <w:trPr>
          <w:trHeight w:val="248"/>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500" w:type="dxa"/>
            <w:vAlign w:val="bottom"/>
            <w:tcBorders>
              <w:bottom w:val="single" w:sz="8" w:color="auto"/>
            </w:tcBorders>
            <w:shd w:val="clear" w:color="auto" w:fill="CCEEFF"/>
          </w:tcPr>
          <w:p>
            <w:pPr>
              <w:jc w:val="center"/>
              <w:ind w:left="599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6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1.1 percentage point increase in segment income for Water Solutions as a percentage of net sales in the first quarter of 2024 from 2023 was primarily driven by:</w:t>
      </w:r>
    </w:p>
    <w:p>
      <w:pPr>
        <w:spacing w:after="0" w:line="106"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in our commercial business to mitigate impacts of inflation and favorable mix;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productivity mainly driven by manufacturing leverage and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unfavorable foreign currency effects compared to the first quarter of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Pool</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3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116.2</w:t>
            </w:r>
          </w:p>
        </w:tc>
        <w:tc>
          <w:tcPr>
            <w:tcW w:w="36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30.8 %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w w:val="99"/>
              </w:rPr>
              <w:t>(1.1) pts</w:t>
            </w:r>
          </w:p>
        </w:tc>
        <w:tc>
          <w:tcPr>
            <w:tcW w:w="0" w:type="dxa"/>
            <w:vAlign w:val="bottom"/>
          </w:tcPr>
          <w:p>
            <w:pPr>
              <w:spacing w:after="0"/>
              <w:rPr>
                <w:sz w:val="1"/>
                <w:szCs w:val="1"/>
                <w:color w:val="auto"/>
              </w:rPr>
            </w:pPr>
          </w:p>
        </w:tc>
      </w:tr>
      <w:tr>
        <w:trPr>
          <w:trHeight w:val="454"/>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1.3 percent decrease in net sales for Pool in the first quarter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sales volume primarily due to lower demand compared to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inflationary cost increases.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65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280" w:type="dxa"/>
            <w:vAlign w:val="bottom"/>
          </w:tcPr>
          <w:p>
            <w:pPr>
              <w:spacing w:after="0"/>
              <w:rPr>
                <w:sz w:val="19"/>
                <w:szCs w:val="19"/>
                <w:color w:val="auto"/>
              </w:rPr>
            </w:pPr>
          </w:p>
        </w:tc>
      </w:tr>
      <w:tr>
        <w:trPr>
          <w:trHeight w:val="238"/>
        </w:trPr>
        <w:tc>
          <w:tcPr>
            <w:tcW w:w="43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Growth/Price</w:t>
            </w:r>
          </w:p>
        </w:tc>
        <w:tc>
          <w:tcPr>
            <w:tcW w:w="6580" w:type="dxa"/>
            <w:vAlign w:val="bottom"/>
            <w:shd w:val="clear" w:color="auto" w:fill="CCEEFF"/>
          </w:tcPr>
          <w:p>
            <w:pPr>
              <w:jc w:val="center"/>
              <w:ind w:left="609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6580" w:type="dxa"/>
            <w:vAlign w:val="bottom"/>
          </w:tcPr>
          <w:p>
            <w:pPr>
              <w:jc w:val="center"/>
              <w:ind w:left="6070"/>
              <w:spacing w:after="0"/>
              <w:rPr>
                <w:sz w:val="20"/>
                <w:szCs w:val="20"/>
                <w:color w:val="auto"/>
              </w:rPr>
            </w:pPr>
            <w:r>
              <w:rPr>
                <w:rFonts w:ascii="Times New Roman" w:cs="Times New Roman" w:eastAsia="Times New Roman" w:hAnsi="Times New Roman"/>
                <w:sz w:val="18"/>
                <w:szCs w:val="18"/>
                <w:color w:val="auto"/>
                <w:w w:val="98"/>
              </w:rPr>
              <w:t>(1.7)</w:t>
            </w:r>
          </w:p>
        </w:tc>
        <w:tc>
          <w:tcPr>
            <w:tcW w:w="280" w:type="dxa"/>
            <w:vAlign w:val="bottom"/>
          </w:tcPr>
          <w:p>
            <w:pPr>
              <w:spacing w:after="0"/>
              <w:rPr>
                <w:sz w:val="19"/>
                <w:szCs w:val="19"/>
                <w:color w:val="auto"/>
              </w:rPr>
            </w:pPr>
          </w:p>
        </w:tc>
      </w:tr>
      <w:tr>
        <w:trPr>
          <w:trHeight w:val="229"/>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6580" w:type="dxa"/>
            <w:vAlign w:val="bottom"/>
            <w:tcBorders>
              <w:bottom w:val="single" w:sz="8" w:color="auto"/>
            </w:tcBorders>
            <w:shd w:val="clear" w:color="auto" w:fill="CCEEFF"/>
          </w:tcPr>
          <w:p>
            <w:pPr>
              <w:jc w:val="center"/>
              <w:ind w:left="6070"/>
              <w:spacing w:after="0"/>
              <w:rPr>
                <w:sz w:val="20"/>
                <w:szCs w:val="20"/>
                <w:color w:val="auto"/>
              </w:rPr>
            </w:pPr>
            <w:r>
              <w:rPr>
                <w:rFonts w:ascii="Times New Roman" w:cs="Times New Roman" w:eastAsia="Times New Roman" w:hAnsi="Times New Roman"/>
                <w:sz w:val="18"/>
                <w:szCs w:val="18"/>
                <w:color w:val="auto"/>
                <w:w w:val="98"/>
              </w:rPr>
              <w:t>(2.1)</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580" w:type="dxa"/>
            <w:vAlign w:val="bottom"/>
            <w:tcBorders>
              <w:bottom w:val="single" w:sz="8" w:color="auto"/>
            </w:tcBorders>
          </w:tcPr>
          <w:p>
            <w:pPr>
              <w:jc w:val="center"/>
              <w:ind w:left="6070"/>
              <w:spacing w:after="0"/>
              <w:rPr>
                <w:sz w:val="20"/>
                <w:szCs w:val="20"/>
                <w:color w:val="auto"/>
              </w:rPr>
            </w:pPr>
            <w:r>
              <w:rPr>
                <w:rFonts w:ascii="Times New Roman" w:cs="Times New Roman" w:eastAsia="Times New Roman" w:hAnsi="Times New Roman"/>
                <w:sz w:val="18"/>
                <w:szCs w:val="18"/>
                <w:color w:val="auto"/>
                <w:w w:val="98"/>
              </w:rPr>
              <w:t>(1.1)</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1.1 percentage point decrease in segment income for Pool as a percentage of net sales in the first quarter of 2024 from 2023 was primarily driven by:</w:t>
      </w:r>
    </w:p>
    <w:p>
      <w:pPr>
        <w:spacing w:after="0" w:line="173"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productivity due to decreased sales volume and investments to drive future growth; and</w:t>
      </w:r>
    </w:p>
    <w:p>
      <w:pPr>
        <w:spacing w:after="0" w:line="171" w:lineRule="exact"/>
        <w:rPr>
          <w:rFonts w:ascii="Times New Roman" w:cs="Times New Roman" w:eastAsia="Times New Roman" w:hAnsi="Times New Roman"/>
          <w:sz w:val="18"/>
          <w:szCs w:val="18"/>
          <w:b w:val="1"/>
          <w:bCs w:val="1"/>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 increases related to labor costs and certain raw materials.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selling prices to mitigate impacts of inflation.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BACKLOG OF ORDERS BY SEGMENT</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8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4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2024 net sales. The decrease in our overall backlog from December 31, 2023 was primarily driven by backlog in our Flow and Pool segments trending down to more historical levels as a result of increased manufacturing capacity and improved lead times.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2024 and drew on our revolving credit facility to fund our operations. This cash usage typically reverses in the second quarter as the seasonality of our businesses peak. We expect historical seasonal patterns to continue and the second quarter of 2024 to generate significant cash to fund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equipment in the Pool segment, water solution products in the Water Solutions segment, and residential water supply and agricultural products within the Flow segment follows warm weather trends, with seasonal highs from April to September.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4"/>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for operating activities of continuing operations in the first three months of 2024 primarily reflects a cash outflow of $287.9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and asset impairment, of $162.7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of continuing operations in the first three months of 2023 primarily reflects a cash outflow of $262.6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and asset impairment, of $161.1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three months of 2024 reflects capital expenditures of $19.3 million.</w:t>
      </w:r>
    </w:p>
    <w:p>
      <w:pPr>
        <w:spacing w:after="0" w:line="153" w:lineRule="exact"/>
        <w:rPr>
          <w:sz w:val="20"/>
          <w:szCs w:val="20"/>
          <w:color w:val="auto"/>
        </w:rPr>
      </w:pPr>
    </w:p>
    <w:p>
      <w:pPr>
        <w:ind w:right="2180"/>
        <w:spacing w:after="0" w:line="355" w:lineRule="auto"/>
        <w:rPr>
          <w:sz w:val="20"/>
          <w:szCs w:val="20"/>
          <w:color w:val="auto"/>
        </w:rPr>
      </w:pPr>
      <w:r>
        <w:rPr>
          <w:rFonts w:ascii="Times New Roman" w:cs="Times New Roman" w:eastAsia="Times New Roman" w:hAnsi="Times New Roman"/>
          <w:sz w:val="18"/>
          <w:szCs w:val="18"/>
          <w:color w:val="auto"/>
        </w:rPr>
        <w:t xml:space="preserve">Net cash used for investing activities in the first three months of 2023 primarily reflects capital expenditures of $16.6 million. </w:t>
      </w:r>
      <w:r>
        <w:rPr>
          <w:rFonts w:ascii="Times New Roman" w:cs="Times New Roman" w:eastAsia="Times New Roman" w:hAnsi="Times New Roman"/>
          <w:sz w:val="18"/>
          <w:szCs w:val="18"/>
          <w:i w:val="1"/>
          <w:iCs w:val="1"/>
          <w:color w:val="auto"/>
        </w:rPr>
        <w:t>Financing activities</w:t>
      </w: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2024 primarily relates to net borrowings of revolving long-term debt of $101.4 million, partially offset by dividend payments of $38.0 million.</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2023 primarily relates to net borrowings of revolving long-term debt of $173.6 million, partially offset by dividend payments of $36.2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total availability under the Senior Credit Facility was $798.6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$20.8 million, of which there were no outstanding borrowings at March 31, 2024. Borrowings under these credit facilities bear interest at variable rates.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$43.8 million of Term Loan Facility payments and $200.0 million of payments under the senior unsecured term loan facility, associated with the Senior Credit Facility, due in the next twelve months. We classified this debt as long-term as of March 31, 2024 as we have the intent and ability to refinance such obligation on a long-term basis under the revolving credit facility under the Senior Credit Facility.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$89.1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 During the three months ended March 31, 2024, no ordinary shares were repurchased. As of March 31, 2024, we had $600.0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19, 2024, the Board of Directors declared a quarterly cash dividend of $0.23 per share, payable on May 3, 2024 to shareholders of record at the close of business on April 19, 2024.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$38.2 million at March 31, 2024, compared to $38.0 million at December 31, 2023.</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three months of 2024 of $38.0 million, or $0.23 per ordinary share compared with $36.2 million, or $0.22 per ordinary share, in the prior year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$6.9 billion as of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March 31, 2024 and December 31, 2023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6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March 31, 2024 and December 31, 2023, respectively.</w:t>
      </w:r>
    </w:p>
    <w:p>
      <w:pPr>
        <w:spacing w:after="0" w:line="66"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assets due from non-guarantor subsidiaries of $2,554.6 million and $2,673.3 million as of March 31,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$1,115.7 million and $1,583.6 million as of March 31, 2024 and December 31, 2023,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$157.1 million and $268.4 million as of March 31, 2024 and December 31, 2023,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2023,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2023.</w:t>
      </w:r>
    </w:p>
    <w:p>
      <w:pPr>
        <w:spacing w:after="0" w:line="1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March 31, 2024. For additional information refer to Item 7A of our Annual Report on Form 10-K for the year ended December 31, 2023.</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2024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2024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rFonts w:ascii="Times New Roman" w:cs="Times New Roman" w:eastAsia="Times New Roman" w:hAnsi="Times New Roman"/>
          <w:sz w:val="18"/>
          <w:szCs w:val="18"/>
          <w:b w:val="1"/>
          <w:bCs w:val="1"/>
          <w:color w:val="auto"/>
        </w:rPr>
      </w:pPr>
    </w:p>
    <w:p>
      <w:pPr>
        <w:ind w:left="42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first quarter of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9"/>
                <w:szCs w:val="19"/>
                <w:color w:val="auto"/>
              </w:rPr>
            </w:pPr>
          </w:p>
        </w:tc>
        <w:tc>
          <w:tcPr>
            <w:tcW w:w="13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4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500" w:type="dxa"/>
            <w:vAlign w:val="bottom"/>
          </w:tcPr>
          <w:p>
            <w:pPr>
              <w:spacing w:after="0"/>
              <w:rPr>
                <w:sz w:val="19"/>
                <w:szCs w:val="19"/>
                <w:color w:val="auto"/>
              </w:rPr>
            </w:pP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0" w:type="dxa"/>
            <w:vAlign w:val="bottom"/>
          </w:tcPr>
          <w:p>
            <w:pPr>
              <w:jc w:val="center"/>
              <w:ind w:left="7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500" w:type="dxa"/>
            <w:vAlign w:val="bottom"/>
          </w:tcPr>
          <w:p>
            <w:pPr>
              <w:spacing w:after="0"/>
              <w:rPr>
                <w:sz w:val="16"/>
                <w:szCs w:val="16"/>
                <w:color w:val="auto"/>
              </w:rPr>
            </w:pP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500" w:type="dxa"/>
            <w:vAlign w:val="bottom"/>
          </w:tcPr>
          <w:p>
            <w:pPr>
              <w:spacing w:after="0"/>
              <w:rPr>
                <w:sz w:val="15"/>
                <w:szCs w:val="15"/>
                <w:color w:val="auto"/>
              </w:rPr>
            </w:pP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400" w:type="dxa"/>
            <w:vAlign w:val="bottom"/>
          </w:tcPr>
          <w:p>
            <w:pPr>
              <w:jc w:val="center"/>
              <w:ind w:left="71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500" w:type="dxa"/>
            <w:vAlign w:val="bottom"/>
          </w:tcPr>
          <w:p>
            <w:pPr>
              <w:spacing w:after="0"/>
              <w:rPr>
                <w:sz w:val="16"/>
                <w:szCs w:val="16"/>
                <w:color w:val="auto"/>
              </w:rPr>
            </w:pP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24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2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400" w:type="dxa"/>
            <w:vAlign w:val="bottom"/>
          </w:tcPr>
          <w:p>
            <w:pPr>
              <w:jc w:val="center"/>
              <w:ind w:left="71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500" w:type="dxa"/>
            <w:vAlign w:val="bottom"/>
          </w:tcPr>
          <w:p>
            <w:pPr>
              <w:spacing w:after="0"/>
              <w:rPr>
                <w:sz w:val="15"/>
                <w:szCs w:val="15"/>
                <w:color w:val="auto"/>
              </w:rPr>
            </w:pP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4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5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27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68.73</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28 - February 24</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54,486</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74.60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25 - March 31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43,085</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78.30</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600,002,203</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123,012</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25,441 shares for the period January 1 - January 27, 54,486 shares for the period January 28 - February 24 and 43,085 shares for the period February 25 - March 31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2020, the Board of Directors authorized the repurchase of our ordinary shares up to a maximum dollar limit of $750.0 million. This authorization expires on December 31, 2025. As of March 31, 2024, we had $600.0 million remaining availability for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2024, none of our directors or Section 16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March 31, 2024</w:t>
      </w:r>
    </w:p>
    <w:p>
      <w:pPr>
        <w:spacing w:after="0" w:line="337" w:lineRule="exact"/>
        <w:rPr>
          <w:sz w:val="20"/>
          <w:szCs w:val="20"/>
          <w:color w:val="auto"/>
        </w:rPr>
      </w:pPr>
    </w:p>
    <w:p>
      <w:pPr>
        <w:ind w:left="940" w:right="120" w:hanging="806"/>
        <w:spacing w:after="0" w:line="237" w:lineRule="auto"/>
        <w:tabs>
          <w:tab w:leader="none" w:pos="940" w:val="left"/>
        </w:tabs>
        <w:numPr>
          <w:ilvl w:val="0"/>
          <w:numId w:val="42"/>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March 31, 2024 are filed herewith, formatted in iXBRL (Inline Extensible Business Reporting Language): (i) the Condensed Consolidated Statements of Operations and Comprehensive Income for the three months ended March 31, 2024 and 2023, (ii) the Condensed Consolidated Balance Sheets as of March 31, 2024 and December 31, 2023, (iii) the Condensed Consolidated Statements of Cash Flows for the three months ended March 31, 2024 and 2023, (iv) the Condensed Consolidated Statements of Changes in Equity for the three months ended March 31, 2024 and 2023, (v) Notes to Condensed Consolidated Financial Statements, and (vi) the information included in Part II, Item 5(c).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April 23, 2024.</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p>
      <w:pPr>
        <w:ind w:left="67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2024</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March 31, 2024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March 31, 2024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07" w:lineRule="exact"/>
        <w:rPr>
          <w:sz w:val="20"/>
          <w:szCs w:val="20"/>
          <w:color w:val="auto"/>
        </w:rPr>
      </w:pPr>
    </w:p>
    <w:p>
      <w:pPr>
        <w:ind w:left="720" w:hanging="388"/>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2024</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180"/>
        </w:trPr>
        <w:tc>
          <w:tcPr>
            <w:tcW w:w="5420" w:type="dxa"/>
            <w:vAlign w:val="bottom"/>
          </w:tcPr>
          <w:p>
            <w:pPr>
              <w:spacing w:after="0"/>
              <w:rPr>
                <w:sz w:val="15"/>
                <w:szCs w:val="15"/>
                <w:color w:val="auto"/>
              </w:rPr>
            </w:pPr>
          </w:p>
        </w:tc>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and Chief Accounting</w:t>
            </w:r>
          </w:p>
        </w:tc>
      </w:tr>
      <w:tr>
        <w:trPr>
          <w:trHeight w:val="234"/>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0"/>
    </w:lvl>
  </w:abstractNum>
  <w:abstractNum w:abstractNumId="8">
    <w:nsid w:val="836C40E"/>
    <w:multiLevelType w:val="hybridMultilevel"/>
    <w:lvl w:ilvl="0">
      <w:lvlJc w:val="left"/>
      <w:lvlText w:val="•"/>
      <w:numFmt w:val="bullet"/>
      <w:start w:val="1"/>
    </w:lvl>
    <w:lvl w:ilvl="1">
      <w:lvlJc w:val="left"/>
      <w:lvlText w:val="•"/>
      <w:numFmt w:val="bullet"/>
      <w:start w:val="1"/>
    </w:lvl>
  </w:abstractNum>
  <w:abstractNum w:abstractNumId="9">
    <w:nsid w:val="2901D82"/>
    <w:multiLevelType w:val="hybridMultilevel"/>
    <w:lvl w:ilvl="0">
      <w:lvlJc w:val="left"/>
      <w:lvlText w:val="%1."/>
      <w:numFmt w:val="decimal"/>
      <w:start w:val="11"/>
    </w:lvl>
  </w:abstractNum>
  <w:abstractNum w:abstractNumId="10">
    <w:nsid w:val="3A95F874"/>
    <w:multiLevelType w:val="hybridMultilevel"/>
    <w:lvl w:ilvl="0">
      <w:lvlJc w:val="left"/>
      <w:lvlText w:val="%1."/>
      <w:numFmt w:val="decimal"/>
      <w:start w:val="13"/>
    </w:lvl>
  </w:abstractNum>
  <w:abstractNum w:abstractNumId="11">
    <w:nsid w:val="8138641"/>
    <w:multiLevelType w:val="hybridMultilevel"/>
    <w:lvl w:ilvl="0">
      <w:lvlJc w:val="left"/>
      <w:lvlText w:val="%1."/>
      <w:numFmt w:val="decimal"/>
      <w:start w:val="15"/>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3"/>
    </w:lvl>
  </w:abstractNum>
  <w:abstractNum w:abstractNumId="41">
    <w:nsid w:val="57E4CCAF"/>
    <w:multiLevelType w:val="hybridMultilevel"/>
    <w:lvl w:ilvl="0">
      <w:lvlJc w:val="left"/>
      <w:lvlText w:val="%1"/>
      <w:numFmt w:val="decimal"/>
      <w:start w:val="22"/>
    </w:lvl>
  </w:abstractNum>
  <w:abstractNum w:abstractNumId="42">
    <w:nsid w:val="7A6D8D3C"/>
    <w:multiLevelType w:val="hybridMultilevel"/>
    <w:lvl w:ilvl="0">
      <w:lvlJc w:val="left"/>
      <w:lvlText w:val="%1"/>
      <w:numFmt w:val="decimal"/>
      <w:start w:val="101"/>
    </w:lvl>
  </w:abstractNum>
  <w:abstractNum w:abstractNumId="43">
    <w:nsid w:val="4B588F54"/>
    <w:multiLevelType w:val="hybridMultilevel"/>
    <w:lvl w:ilvl="0">
      <w:lvlJc w:val="left"/>
      <w:lvlText w:val="%1"/>
      <w:numFmt w:val="decimal"/>
      <w:start w:val="10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2024-04-23T16:08:05Z</dcterms:created>
  <dcterms:modified xsi:type="dcterms:W3CDTF">2024-04-23T16:08:05Z</dcterms:modified>
</cp:coreProperties>
</file>