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972185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0" w:lineRule="exact"/>
        <w:rPr>
          <w:sz w:val="24"/>
          <w:szCs w:val="24"/>
          <w:color w:val="auto"/>
        </w:rPr>
      </w:pPr>
    </w:p>
    <w:p>
      <w:pPr>
        <w:ind w:left="3880" w:right="1920" w:hanging="3854"/>
        <w:spacing w:after="0" w:line="380" w:lineRule="auto"/>
        <w:tabs>
          <w:tab w:leader="none" w:pos="5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03" w:lineRule="exact"/>
        <w:rPr>
          <w:sz w:val="24"/>
          <w:szCs w:val="24"/>
          <w:color w:val="auto"/>
        </w:rPr>
      </w:pPr>
    </w:p>
    <w:p>
      <w:pPr>
        <w:ind w:left="4280" w:right="1560" w:hanging="4254"/>
        <w:spacing w:after="0" w:line="380" w:lineRule="auto"/>
        <w:tabs>
          <w:tab w:leader="none" w:pos="53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-15875</wp:posOffset>
            </wp:positionV>
            <wp:extent cx="197167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98-1141328</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gridSpan w:val="2"/>
          </w:tcPr>
          <w:p>
            <w:pPr>
              <w:jc w:val="center"/>
              <w:ind w:right="1820"/>
              <w:spacing w:after="0" w:line="16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0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r>
      <w:tr>
        <w:trPr>
          <w:trHeight w:val="344"/>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Regal House, 70 London Road,</w:t>
            </w:r>
          </w:p>
        </w:tc>
        <w:tc>
          <w:tcPr>
            <w:tcW w:w="17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8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London,  TW13QS</w:t>
            </w:r>
          </w:p>
        </w:tc>
        <w:tc>
          <w:tcPr>
            <w:tcW w:w="3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540" w:type="dxa"/>
            <w:vAlign w:val="bottom"/>
            <w:gridSpan w:val="6"/>
          </w:tcPr>
          <w:p>
            <w:pPr>
              <w:jc w:val="center"/>
              <w:ind w:right="5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40" w:type="dxa"/>
            <w:vAlign w:val="bottom"/>
            <w:gridSpan w:val="9"/>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44-74-9421-6154</w:t>
            </w:r>
          </w:p>
        </w:tc>
      </w:tr>
      <w:tr>
        <w:trPr>
          <w:trHeight w:val="310"/>
        </w:trPr>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8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680" w:type="dxa"/>
            <w:vAlign w:val="bottom"/>
          </w:tcPr>
          <w:p>
            <w:pPr>
              <w:spacing w:after="0"/>
              <w:rPr>
                <w:sz w:val="21"/>
                <w:szCs w:val="21"/>
                <w:color w:val="auto"/>
              </w:rPr>
            </w:pPr>
          </w:p>
        </w:tc>
        <w:tc>
          <w:tcPr>
            <w:tcW w:w="1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PNR</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67" w:lineRule="exact"/>
        <w:rPr>
          <w:sz w:val="24"/>
          <w:szCs w:val="24"/>
          <w:color w:val="auto"/>
        </w:rPr>
      </w:pPr>
    </w:p>
    <w:p>
      <w:pPr>
        <w:ind w:left="180" w:right="2140" w:hanging="179"/>
        <w:spacing w:after="0" w:line="300" w:lineRule="exact"/>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8" w:lineRule="exact"/>
        <w:rPr>
          <w:sz w:val="24"/>
          <w:szCs w:val="24"/>
          <w:color w:val="auto"/>
        </w:rPr>
      </w:pPr>
    </w:p>
    <w:p>
      <w:pPr>
        <w:spacing w:after="0" w:line="207"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2060" w:type="dxa"/>
            <w:vAlign w:val="bottom"/>
            <w:vMerge w:val="restart"/>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420" w:type="dxa"/>
            <w:vAlign w:val="bottom"/>
            <w:vMerge w:val="restart"/>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company</w:t>
            </w:r>
          </w:p>
        </w:tc>
        <w:tc>
          <w:tcPr>
            <w:tcW w:w="520" w:type="dxa"/>
            <w:vAlign w:val="bottom"/>
            <w:vMerge w:val="continue"/>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207" w:lineRule="exact"/>
        <w:tabs>
          <w:tab w:leader="none" w:pos="7580" w:val="left"/>
          <w:tab w:leader="none" w:pos="8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market value of voting and non-voting common equity held by non-affiliates of the Registrant, based on the closing price of $76.67 per share as reported on the New York Stock Exchange on June 30, 2024 (the last business day of Registrant’s most recently completed second quarter): $12,544,144,875.</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only class of common stock on December 31, 2024 was 164,817,183.</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1440" w:right="339" w:bottom="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Parts of the Registrant’s definitive proxy statement for its annual general meeting to be held on May 6, 2025, are incorporated by reference in this Form 10-K in response to Part III, ITEM 10, 11, 12,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Pentair plc</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8"/>
            <w:vMerge w:val="restart"/>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gridSpan w:val="8"/>
            <w:vMerge w:val="continue"/>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600" w:type="dxa"/>
            <w:vAlign w:val="bottom"/>
            <w:gridSpan w:val="16"/>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460" w:type="dxa"/>
            <w:vAlign w:val="bottom"/>
            <w:gridSpan w:val="11"/>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4"/>
          </w:tcPr>
          <w:p>
            <w:pPr>
              <w:spacing w:after="0"/>
              <w:rPr>
                <w:sz w:val="22"/>
                <w:szCs w:val="22"/>
                <w:color w:val="auto"/>
              </w:rPr>
            </w:pPr>
          </w:p>
        </w:tc>
        <w:tc>
          <w:tcPr>
            <w:tcW w:w="6460" w:type="dxa"/>
            <w:vAlign w:val="bottom"/>
            <w:gridSpan w:val="11"/>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80" w:type="dxa"/>
            <w:vAlign w:val="bottom"/>
            <w:gridSpan w:val="4"/>
          </w:tcPr>
          <w:p>
            <w:pPr>
              <w:spacing w:after="0"/>
              <w:rPr>
                <w:sz w:val="22"/>
                <w:szCs w:val="22"/>
                <w:color w:val="auto"/>
              </w:rPr>
            </w:pPr>
          </w:p>
        </w:tc>
        <w:tc>
          <w:tcPr>
            <w:tcW w:w="7500" w:type="dxa"/>
            <w:vAlign w:val="bottom"/>
            <w:gridSpan w:val="15"/>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540" w:type="dxa"/>
            <w:vAlign w:val="bottom"/>
            <w:gridSpan w:val="2"/>
            <w:vMerge w:val="restart"/>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80" w:type="dxa"/>
            <w:vAlign w:val="bottom"/>
            <w:tcBorders>
              <w:top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4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0" w:type="dxa"/>
            <w:vAlign w:val="bottom"/>
            <w:tcBorders>
              <w:right w:val="single" w:sz="8" w:color="0000FF"/>
            </w:tcBorders>
            <w:gridSpan w:val="4"/>
          </w:tcPr>
          <w:p>
            <w:pPr>
              <w:spacing w:after="0"/>
              <w:rPr>
                <w:sz w:val="2"/>
                <w:szCs w:val="2"/>
                <w:color w:val="auto"/>
              </w:rPr>
            </w:pPr>
          </w:p>
        </w:tc>
        <w:tc>
          <w:tcPr>
            <w:tcW w:w="520" w:type="dxa"/>
            <w:vAlign w:val="bottom"/>
            <w:gridSpan w:val="4"/>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720" w:type="dxa"/>
            <w:vAlign w:val="bottom"/>
            <w:gridSpan w:val="18"/>
          </w:tcPr>
          <w:p>
            <w:pPr>
              <w:spacing w:after="0"/>
              <w:rPr>
                <w:sz w:val="23"/>
                <w:szCs w:val="23"/>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22"/>
                <w:szCs w:val="22"/>
                <w:color w:val="auto"/>
              </w:rPr>
            </w:pPr>
          </w:p>
        </w:tc>
        <w:tc>
          <w:tcPr>
            <w:tcW w:w="2060" w:type="dxa"/>
            <w:vAlign w:val="bottom"/>
            <w:gridSpan w:val="3"/>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39</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80" w:type="dxa"/>
            <w:vAlign w:val="bottom"/>
            <w:gridSpan w:val="2"/>
          </w:tcPr>
          <w:p>
            <w:pPr>
              <w:spacing w:after="0"/>
              <w:rPr>
                <w:sz w:val="22"/>
                <w:szCs w:val="22"/>
                <w:color w:val="auto"/>
              </w:rPr>
            </w:pPr>
          </w:p>
        </w:tc>
        <w:tc>
          <w:tcPr>
            <w:tcW w:w="4200" w:type="dxa"/>
            <w:vAlign w:val="bottom"/>
            <w:gridSpan w:val="6"/>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80" w:type="dxa"/>
            <w:vAlign w:val="bottom"/>
            <w:gridSpan w:val="9"/>
          </w:tcPr>
          <w:p>
            <w:pPr>
              <w:spacing w:after="0"/>
              <w:rPr>
                <w:sz w:val="22"/>
                <w:szCs w:val="22"/>
                <w:color w:val="auto"/>
              </w:rPr>
            </w:pPr>
          </w:p>
        </w:tc>
        <w:tc>
          <w:tcPr>
            <w:tcW w:w="2060" w:type="dxa"/>
            <w:vAlign w:val="bottom"/>
            <w:gridSpan w:val="3"/>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40" w:type="dxa"/>
            <w:vAlign w:val="bottom"/>
            <w:gridSpan w:val="12"/>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Executive Compensation</w:t>
            </w:r>
          </w:p>
        </w:tc>
        <w:tc>
          <w:tcPr>
            <w:tcW w:w="2320" w:type="dxa"/>
            <w:vAlign w:val="bottom"/>
            <w:gridSpan w:val="5"/>
          </w:tcPr>
          <w:p>
            <w:pPr>
              <w:spacing w:after="0"/>
              <w:rPr>
                <w:sz w:val="22"/>
                <w:szCs w:val="22"/>
                <w:color w:val="auto"/>
              </w:rPr>
            </w:pPr>
          </w:p>
        </w:tc>
        <w:tc>
          <w:tcPr>
            <w:tcW w:w="4420" w:type="dxa"/>
            <w:vAlign w:val="bottom"/>
            <w:gridSpan w:val="7"/>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20" w:type="dxa"/>
            <w:vAlign w:val="bottom"/>
            <w:gridSpan w:val="2"/>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2"/>
          </w:tcPr>
          <w:p>
            <w:pPr>
              <w:spacing w:after="0"/>
              <w:rPr>
                <w:sz w:val="22"/>
                <w:szCs w:val="22"/>
                <w:color w:val="auto"/>
              </w:rPr>
            </w:pPr>
          </w:p>
        </w:tc>
        <w:tc>
          <w:tcPr>
            <w:tcW w:w="1220" w:type="dxa"/>
            <w:vAlign w:val="bottom"/>
            <w:gridSpan w:val="2"/>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060" w:type="dxa"/>
            <w:vAlign w:val="bottom"/>
            <w:gridSpan w:val="4"/>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4"/>
          </w:tcPr>
          <w:p>
            <w:pPr>
              <w:spacing w:after="0"/>
              <w:rPr>
                <w:sz w:val="22"/>
                <w:szCs w:val="22"/>
                <w:color w:val="auto"/>
              </w:rPr>
            </w:pPr>
          </w:p>
        </w:tc>
        <w:tc>
          <w:tcPr>
            <w:tcW w:w="5360" w:type="dxa"/>
            <w:vAlign w:val="bottom"/>
            <w:gridSpan w:val="9"/>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86</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960" w:type="dxa"/>
            <w:vAlign w:val="bottom"/>
            <w:gridSpan w:val="13"/>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spacing w:after="0"/>
              <w:rPr>
                <w:sz w:val="22"/>
                <w:szCs w:val="22"/>
                <w:color w:val="auto"/>
              </w:rPr>
            </w:pPr>
          </w:p>
        </w:tc>
        <w:tc>
          <w:tcPr>
            <w:tcW w:w="1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960" w:type="dxa"/>
            <w:vAlign w:val="bottom"/>
            <w:gridSpan w:val="13"/>
          </w:tcPr>
          <w:p>
            <w:pPr>
              <w:spacing w:after="0"/>
              <w:rPr>
                <w:sz w:val="22"/>
                <w:szCs w:val="22"/>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87</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9"/>
        </w:trPr>
        <w:tc>
          <w:tcPr>
            <w:tcW w:w="17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herein to “Pentair,” the “Company,” and such words as “we,” “us,” and “our” include Pentair plc and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Pentair, we help the world sustainably move, improve and enjoy water, life’s most essential resource. From our residential and commercial water solutions to industrial water management and everything in between, Pentair is focused on smart, sustainable water solutions that help our planet and people thrive.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vision is to be the world’s most valued sustainable water solutions company for our employees, customers and shareholders. As a company, we:</w:t>
      </w:r>
    </w:p>
    <w:p>
      <w:pPr>
        <w:spacing w:after="0" w:line="15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growth in our core businesses and strategic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digital innovation and technology as well as sustainability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 growth and drive margin expansion through our Transformation Program;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 performance growth culture and deliver on our commitments while living our Win Right values.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 2024, as part of our Pool reportable segment, we completed the acquisition of G &amp; F Manufacturing, LLC (“G &amp; F Manufacturing”) for $116.0 million in cash, net of cash acquired and subject to customary adjustments. The net purchase price is comprised of an upfront cash payment of $108.0 million, subject to customary adjustments, and the estimated fair value at the acquisition date of a contingent earn-out liability based upon the achievement of certain defined operating results in the two years following the acquisition. G &amp; F Manufacturing manufactures and services pool heat pumps.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registered principal office is located at Regal House, 70 London Road, Twickenham, London, TW13QS United Kingdom. Our management office in the United States (“U.S.”) is located at 5500 Wayzata Boulevard, Suite 900, Golden Valley, Minnesota.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PRODUCTS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is comprised of three reportable segments: Flow, Water Solutions and Pool. The following is a brief description of each of the Company’s reportable segments and business activities.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Flow segment aims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2024, our residential and irrigation flow businesses, which sell pumps focused on residential and agriculture, comprised approximately 37% of Flow sales. Another approximately 29% of Flow sales were from the commercial &amp; infrastructure flow businesses, which sell larger pumps focused on fire suppression, water supply, wastewater and flood control. The remaining approximately 34% of Flow sales were from the industrial solutions business, comprised of applications focused on industrial process and air filtration and sustainable gas.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Flow brand names include Pentair Flow, Aurora, Berkeley, Codeline, Fairbanks-Nijhuis, Haffmans, Hydromatic, Hypro, Jung Pumpen, Myers, Sta-Rite, Shurflo, Südmo and X-Flow.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Flow customers include businesses engaged with end users, and wholesale and retail distribution in the residential, agricultural, commercial, food and beverage, and industrial vertical markets.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historically experienced increased demand following warm weather trends for residential water supply and agricultural products. Such demand historically has been at seasonal highs from April to August. Seasonal effects may vary from year to year and are impacted by weather patterns, particularly by temperatures, heavy flooding and droughts.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Flow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we believe are competitively priced.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Water Solutions segment aims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for use in residential whole home water filtration, drinking water filtration and water softening solutions in addition to commercial water management and filtration in foodservice operations. In addition, our water solutions business also provides installation and preventative services for water management solutions for commercial operators.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our commercial business, which offers products such as conventional filtration products, commercial point-of-entry and point-of-use water treatment systems, activated carbon products and commercial ice machines, comprised approximately 66% of Water Solutions sales. In addition, our commercial business also provides installation and preventative services for water management solutions for commercial operators. The other approximately 34% of Water Solutions sales were associated with our residential business, which primarily focuses on products associated with residential point of entry and point of use filtration and softening systems, pressure tanks and control valves.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Solutions brand names include Pentair Water Solutions, Everpure, Fleck, KBI, Manitowoc Ice, Pentek and RainSoft.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Water Solutions customers include businesses engaged in wholesale and retail distribution in the residential, commercial and food and beverage vertical markets. Customers also include end users, consumers, commercial operators and original equipment manufacturers.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experience seasonal demand with several end customers and end users within Water Solutions. End-user demand for water solution products generally follows warm weather trends and is at seasonal highs from April to September.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Water Solutions faces numerous domestic and international competitors, some of which have substantially greater resources directed to the vertical markets in which we compete. Competition focuses on brand names, product performance (including required specifications), quality and price. We compete by offering a wide variety of innovative and high-quality products, which we believe are competitively priced. We believe our distribution channels and reputation for quality also provide us a competitive advantage.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Pool segment aims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brand names associated with the Pool segment are Pentair Pool, Kreepy Krauly, Pleatco and Sta-Rite.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Pool customers include businesses engaged in wholesale and retail distribution in the residential and commercial vertical markets. Customers in the residential and commercial verticals also include end users and consumers.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customer in the Pool business represented approximately 15% of our consolidated net sales in both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 demand with several end customers and end users. End-user demand for pool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Pool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we believe are competitively priced. We believe our distribution channels and reputation for quality also provide us a competitive advantage.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ALL REPORTABLE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conduct research and development activities primarily in our own facilities. These efforts consist mostly of the development of new products, product applications and manufacturing processes.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materials we use in manufacturing our products are mild steel, stainless steel, electronic components (including drives and motors), plastics (resins, fiberglass, epoxies), metals and paint (powder and liquid). In addition to the purchase of raw materials, we purchase some finished goods for distribution for resale.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 the materials we use in various manufacturing processes on the open market. We believe the majority of such materials are available through multiple sources and in adequate supply. We have certain long-term commitments, principally price commitments, for the purchase of various component parts and raw materials and continue to work with our suppliers to maintain delivery continuity. Alternate sources of supply are available for most materials and we believe that the termination of any of these commitments would not have a material adverse effect on our financial position, results of operations or cash flows.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commodities, such as metals and resins, are subject to commodity market and duty-driven price fluctuations. We manage these fluctuations through several mechanisms, including long-term agreements with price adjustment clauses for significant commodity market movements in certain circumstances. Prices for raw materials, such as metals, may trend higher in the near future due to the volatile market trends.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diversity foster innovation and curiosity, which, in turn, can contribute to us being an industry leader.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9,750 employees worldwide, of which approximately 50% are located in the U.S. A small portion of our U.S. employees are unionized. Outside the U.S. we have employees in certain countries, primarily in Europe, who are represented by an employee representative organization, such as a union, works council or employee association.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Employee engagement and development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engaging our employees and developing their careers is important to our long-term success and ties directly to our Win Right culture and</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values. We support our Win Right culture by providing dedicated culture training to our employees globally. We engage with our employees and gather feedback about our employee programs, practices and policies through various approaches that include town hall meetings where Pentair leaders share strategies and perspectives and answer questions; quarterly leadership meetings to communicate our results and expectations; and an annual senior leadership meeting to drive growth and productivity initiatives, share best practices, and invest in our leaders. In addition, we conduct employee engagement and pulse surveys during the year to gauge the level of engagement and potential actions needed on culture, the business, employee experience</w:t>
      </w:r>
    </w:p>
    <w:p>
      <w:pPr>
        <w:spacing w:after="0" w:line="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and retention. We believe in transparency with our employees and provide the results of those surveys to the manager level and above which drive the development of action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support employees in their career journey, we have developed and shared through our dedicated development site, a number of tools and resources. We offer career pathing and development resources for all functions throughout Pentair. We support development annually with a dedicated career week, individual development planning and targeted development experiences supported through live training sessions; on-demand eLearning, virtual classrooms and downloadable materials. Additionally, our annual talent management process supports employees to set objectives, receive feedback and development, and build development plans with their leaders.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talent development efforts span across various levels of our organization, including our early career Leadership Development Program, a 36-month program in which potential future leaders participate in rotations intended to develop their capabilities through organization-wide exposure, and our Growth Manager development programs that prepare our new and experienced managers to be more effective and inclusive leaders at Pentair.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commitment to inclusion is part of living our Win Right values. Our success also depends on our ability to attract, engage, develop and retain our employees, which includes diverse employees from an array of backgrounds. We believe an inclusive and diverse workforce contributes different perspectives and innovative ideas that enable us to improve. We believe that every employee should be provided the same opportunity to be heard, respected, have a sense of belonging and contribute to our mission. Our Business Resource Groups, which are open to everyone, have been established to help promote a culture of inclusion by providing an additional forum for employee feedback, such as sharing insights that could help the business improve, and sponsoring awareness, education and engagement.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take an integrated approach to supporting and promoting workplace inclusion by fostering a globally aware, inclusive culture; and reinforcing our practices to be fair and nondiscriminatory. We have various training and organizational approaches dedicated to fostering inclusion, including a training called the “The Power of Inclusion;” Business Resource Groups led by employees; Pentair’s Code of Business Conduct and Ethics; and other resources on our company’s intranet.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safety and wellness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committed to providing a safe workplace for all of our employees. We encourage employees to “Stop Work” anytime there is a potential concern regarding worker safety, and promote an open 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are required to meet regulatory agency standards as applicable to each site’s location.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benefits; employee stock purchase plan; tuition reimbursement; holidays; vacation and sick time. Benefits for union employees and employees of G &amp; F Manufacturing, which was acquired on December 2, 2024, may vary.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Activities</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a leading provider of smart, sustainable water solutions and with a foundation of Win Right values, we recognize that the work we do and the products and services we provide help to improve lives and the environment around the world. We are focused on building on our Win Right values and culture by further contributing to the development of a sustainable and responsible society that we believe will also drive our future growth. We are also focused on further integrating our sustainability goals throughout our business by creating accountability for our sustainability strategy and shared commitments. We have established formal sustainability programs to further advance our sustainability goals.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Pentair completed an Environmental, Social and Governance (“ESG”) assessment in alignment with the European Union’s Corporate Sustainability Reporting Directive (“CSRD”). This assessment supported the topics focused on in our first set of social responsibility strategic targets, which we announced in 2021. These strategic targets remained in effect through 2024 and reflected the Company’s social responsibility focus areas. Also in alignment with the CSRD, in 2025 we are conducting an updated sustainability assessment, and expect to use the results of this updated assessment for continued sustainability strategic planning and risk management, as well as to determine future focus areas, targets, goals and disclosure requirements under the CSRD.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Annually, we publish a corporate responsibility/sustainability report on our sustainability activities and accomplishments, which can be found on our corporate website, and which is not incorporated by reference into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 We are exposed to environmental laws, liabilities and litigation.”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Captive insurance subsidiary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Matters pertaining to Penwald are discussed in ITEM 8, Note 1 of the Notes to Consolidated Financial Statements – Insurance subsidiary, included 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make available free of charge (other than an investor’s own Internet access charges) through our Internet website (</w:t>
      </w:r>
      <w:r>
        <w:rPr>
          <w:rFonts w:ascii="Times New Roman" w:cs="Times New Roman" w:eastAsia="Times New Roman" w:hAnsi="Times New Roman"/>
          <w:sz w:val="18"/>
          <w:szCs w:val="18"/>
          <w:u w:val="single" w:color="auto"/>
          <w:color w:val="auto"/>
        </w:rPr>
        <w:t>https://www.pentair.com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U.S.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the SEC maintains an internet site that contains reports, proxy and information statements, and other information regarding issuers that file electronically with the SEC, and you may access any materials we file with the SEC through their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global economic and business conditions affect demand for our products.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Important factors for our businesses and the businesses of our customers and suppliers include the overall strength of the global economy and various regional economies and our customers’ confidence in these economies, industrial and governmental capital spending, the strength of residential and commercial real estate markets, residential housing markets, the food service industry, the commercial business climate, global supply chain stability, possible tariff increases, unemployment rates, availability of consumer and commercial financing, interest rates, inflation rates, and energy and commodity prices. Recessions, economic downturns, inflation, slowing economic growth and social and political instability in the industries and/or markets where we compete could negatively affect our revenues and financial performance in future periods, result in future restructuring charges, and adversely impact our ability to grow or sustain our business. For example, current macroeconomic and political instability, inflation and the strengthening of the U.S. dollar have and could continue to adversely impact our results of operations. In addition, military conflicts, such as those between Russia and Ukraine and in the Middle East, and their impact on economies, may adversely impact our results of operations.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markets for our products and services are geographically diverse and highly competitive. We compete against large and well-established national and global companies, regional and local companies, diversified and pure-play companies, and lower-cost manufacturers. Competition may also result from new entrants into the markets we serve offering products and/or services that compete with ours. We compete based on technical expertise, intellectual property, reputation for quality and reliability, timeliness of delivery, previous installation history, contractual terms, service offerings, customer experience and service, and price.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If we are unable to continue to differentiate our products, services and solutions or adapt to changes in customer purchasing behavior or shifts in distribution channels, or if we are unable to maintain our desired pricing or forced to incur additional costs to remain competitive, it could have a material adverse effect on our business, financial condition, results of operations and cash flows.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global markets that are characterized by customer demand that is often global in scope but localized in delivery. We compete with numerous smaller regional and local companies that may be positioned to offer products produced at lower cost than ours, or to capitalize on highly localized relationships and knowledge that are difficult for us to replicate. Also, in several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climate change and sustainability matters as well as regulatory requirements. 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these markets, our core sales growth will likely be limited or may decline. Accordingly, our future success depends upon a number of factors, including our ability to transform and adapt our products, services, solutions, organization, workforce and sales strategies to fit localities throughout the world; identify emerging technological and other trends in our target end markets; and develop or acquire competitive technologies, products, services, and solutions and bring them to market quickly and cost-effectively. We must also monitor emerging technologies, such as artificial intelligence, and business models, and we may not be able to take advantage of such technologies, which could include not being able to attract and retain talent that would enable us to leverage such technologies. Our competitors may be more successful in their technology strategy and develop superior products and services with the aid of emerging technologies. In addition, the markets for our products, services and solutions may not develop or grow as we anticipate. The failure of our products, services or solutions to gain market acceptance due to more attractive offerings by our competitors, the introduction of new competitors to the market with new or innovative product offerings, or the failure to address any of the above factors could have a material adverse effect on our business, financial condition, results of operations and cash flows.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finance and complete suitable acquisitions and investments, and any completed acquisitions and investments may be unsuccessful or consume significant resources.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spacing w:after="0" w:line="1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from daily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businesses, technologies and personnel into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and verifying the financial statements and other business information of acquired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regulatory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key contractual relationships or key customers of acquired companies or of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the liabilities and exposure to unforeseen liabilities of acquired companies;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interests of holders of our shares through the issuance of equity securities or equity-linked securities.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may be difficult for us to integrate acquired businesses efficiently into our business operations. Any acquisitions or investments may not be successful or realize the intended benefits and may ultimately result in impairment charges or have a material adverse effect on our business, financial condition,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our business initiatives.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2024 and 2023, we executed certain business restructuring initiatives aimed at reducing our fixed cost structure and realigning our business. Additionally, in 2024 and 2023, we made progress on our Transformation Program designed to accelerate growth and drive margin expansion by driving operational excellence, reducing complexity and streamlining our processes. As a result, we have incurred and expect to continue to incur in the future substantial expense, including transformation costs that include professional services, project management and related design and execution charges, as well as costs related to both labor and non-labor restructuring and IT investments, and restructuring charges. In 2024, we also began using 80/20 guiding principles, which focus on key customers and products through quadrant-based strategies, and we expect this analysis to result in actions to improve operating performance by reducing lower margin sales and removing complexity. As a result, it is possible our revenues could be reduced by exiting certain customers and products. In addition, we may not be able to achieve accelerated growth and margin expansion or operating efficiencies to reduce costs or realize benefits that we anticipate in connection with the foregoing initiatives. If we are unable to execute these initiatives as planned, we may not realize all or any of the anticipated benefits, which could have a material adverse effect on our business, financial condition, results of operations and cash flows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cost increases and other inflation.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recent years, we experienced inflationary cost increases of raw materials, such as metals and resins, drives and motors, as well as increases in logistics, transportation, energy, insurance and labor costs (including wages, pensions and health care benefits). The ongoing volatile market for commodities has the potential to continue to drive price increases in our supply chain. The current U.S. administration has recently implemented tariffs and has announced the possibility of implementing additional, or increasing current, tariffs; these actions and any reactionary tariff adjustments by other countries may also contribute to inflationary cost increases. We strive for productivity improvements and implement increases in selling prices to help mitigate cost increases. We also implement operational initiatives to mitigate the impacts of inflation and reduce our costs. However, these actions may not be successful in managing our costs or increasing our productivity. We anticipate supply chain pressures and inflationary cost increases due to potential tariffs and pressure on global manufacturing to continue into 2025. Continued cost inflation, new or increased tariffs, or our failure to increase prices, generate cost savings or improve productivity could have a material adverse effect on our business, financial condition, results of operations and cash flows.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Interruption of our supply chain could affect our ability to produce or deliver our products and could negatively impact our business and profitability. </w:t>
      </w:r>
      <w:r>
        <w:rPr>
          <w:rFonts w:ascii="Times New Roman" w:cs="Times New Roman" w:eastAsia="Times New Roman" w:hAnsi="Times New Roman"/>
          <w:sz w:val="18"/>
          <w:szCs w:val="18"/>
          <w:color w:val="auto"/>
        </w:rPr>
        <w:t>In recent years, we experienced supply chain challenges, including increased lead times for raw materials due to availability constraints and high demand for these materials. These disruptions or our failure to effectively respond to them may increase product, logistics or labor costs, limit availability of raw materials or cause delays in delivering our backlog, or may cause an inability to deliver products to our customers or meet customer demand. While we have elevated our engagement with our suppliers and used secondary suppliers and new methods of procurement where available to mitigate supply chain pressures, supply chain challenges may continue in the future. In addition, as we execute on our ongoing Transformation Program, we may incur additional costs as a result of changing to new suppliers and investing in alternative fixtures and tools. 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increased logistics costs, including air freight; lack of availability of marine cargo insurance for shipments in certain geographies due to hostilities; trade restrictions, such as increased tariffs or quotas, embargoes or customs restrictions or inspections; or other unexpected or uncontrollable events that cause a material interruption in our supply chain such as pandemics, social or labor unrest, natural disasters, or political disputes, international hostilities, and military conflicts could negatively affect our ability to produce or deliver our products and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In addition, our competitors may be less reliant on third-party suppliers than we are or have suppliers in a region that has a better cost position or an enhanced logistical advantage than we have, which may give such competitors more control over their supply chain and lead times for manufacturing products. These issues could have a material adverse effect on our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political, regulatory, economic, trade, and other risks that arise from operating a multinational business.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Sales outside of the U.S. for the year ended December 31, 2024 accounted for 31%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spacing w:after="0" w:line="13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political conditions in countries where we operate or purchase from, particularly in emerging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more severe or unpredictable economic conditions in some international markets than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tariffs, duties, exchange controls, currency restrictions or other trade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treaties, laws or rulings that could have a material adverse impact on our effective tax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enforcing agreements and collecting receivables through non-U.S. legal systems;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communicating and monitoring evolving regulations, standards and directives across our sales channels, product lines, services and global facilities;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ensuring that our products, services, sales channels and supply chains meet ever-changing regional regulations and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 and restrictions;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international hostilities, military conflicts or terrorist action affecting us, our operations, supply chains, our end-markets or economies generally;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nationalization and expropriation;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due to nationalist consumer sentiment;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staffing and managing widespread operations in non-U.S. labor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repatriation of earnings or other regionally-imposed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protecting intellectual property in non-U.S. countries;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required compliance with a variety of non-U.S. laws and regulations, some of which may be incompatible with each other or U.S. laws and regulations.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1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government administrative policy, including the imposition of, or increases in, tariffs and changes to existing trade agreements, could have a material adverse effect on us.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result of changes to U.S. or foreign government administrative policy, there may be changes to existing trade agreements; greater restrictions on free trade generally; imposition of or significant increases in tariffs on goods including those imported into the U.S., particularly tariffs on products manufactured in Mexico, China, Canada, or other countries where we purchase, have operations or manufacture or sell products; prohibitions or restrictions on doing business with certain entities, including those with certain relationships with China; and adverse responses by foreign governments to U.S. trade policy, among other possible changes. The current U.S. administration has recently implemented tariffs and has announced the possibility of implementing additional, or increasing current, tariffs, and it remains unclear what the U.S. administration or foreign governments, including China, will or will not do with respect to tariffs or international trade agreements and policies. A trade war; other governmental action, including threatened actions and uncertainty, related to tariffs or international trade agreements; changes in U.S. social, political, regulatory and economic conditions or in laws and policies governing foreign trade, manufacturing, development and investment in the territories and countries where we currently purchase, have operations or manufacture and sell products; and any resulting negative sentiments towards the U.S. as a result of such changes, could have a material adverse effect on our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challenges may hinder our ability to develop, engineer and market our products.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Patents, non-compete agreements, proprietary technologies, customer relationships, trademarks, trade names and brand names are important to our business. Intellectual property protections, however, may not preclude competitors from developing products like ours, or from challenging our names or products. Our pending patent, copyright, and trademark registration applications may not be accepted,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 offerings and there are many other companies that hold patents in this space. We have noticed an increasing tendency for participants in our markets, including competitors, to use challenges to intellectual property to compete. Patent and trademark challenges increase our costs to develop, engineer and market our products. We may need to spend significant resources monitoring, enforcing and defending, including through litigation,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and other indefinite-lived intangible assets for impairment on at least an annual basis, and more frequently if circumstances warrant. As of December 31, 2024, our goodwill and intangible assets were $4,320.4 million and represented approximately 67% of our total assets. Declines in fair market value could result in future goodwill and intangible asset impairment charges.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loss of, or material cancellation, reduction, or delay in purchases by or delivery of products to, one or more of our largest customers could harm our business.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net sales to our largest customer represented approximately </w:t>
      </w:r>
      <w:r>
        <w:rPr>
          <w:rFonts w:ascii="Times New Roman" w:cs="Times New Roman" w:eastAsia="Times New Roman" w:hAnsi="Times New Roman"/>
          <w:sz w:val="16"/>
          <w:szCs w:val="16"/>
          <w:color w:val="auto"/>
        </w:rPr>
        <w:t>15%</w:t>
      </w:r>
      <w:r>
        <w:rPr>
          <w:rFonts w:ascii="Times New Roman" w:cs="Times New Roman" w:eastAsia="Times New Roman" w:hAnsi="Times New Roman"/>
          <w:sz w:val="18"/>
          <w:szCs w:val="18"/>
          <w:color w:val="auto"/>
        </w:rPr>
        <w:t xml:space="preserve"> of our consolidated net sales in 2024. While we do not have any other customers that accounted for more than 10% of our consolidated net sales in 2024,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or a delay in purchases of our products. In addition, our customers may cancel orders for purchases of our products or may not order products at rates consistent with past order levels, including due to inventory rebalancing or corrections in channels. In addition, we may not be able to timely deliver products to our largest customers due to supply chain interruptions or otherwise.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or delivery of products to these customers, or our inability to successfully develop relationships with additional customers could have a material adverse effect on our business, financial condition, results of operations and cash flows.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Catastrophic and other events beyond our control may disrupt operations at our manufacturing facilities and those of our suppliers, which could cause us to be unable to meet customer demands or increase our costs, or reduce customer spending.</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If operations at any of our manufacturing facilities or those of our suppliers were to be disrupted as a result of significant equipment failures, natural disasters, earthquakes, power outages, fires, explosions, terrorism, political disputes, international hostilities, military conflicts, cybersecurity incidents, adverse weather conditions, labor disputes, public health epidemics or pandemics, or other catastrophic events or disruptions outside of our control, we may be unable to fill customer orders and otherwise meet customer demand for our products. Some of our operations, including our pool business operations in North Carolina, Florida and California, are in areas that are more susceptible to natural disasters such as hurricanes, wildfires and earthquakes. These types of events may negatively impact residential, commercial and industrial spending in impacted regions or, depending on the severity, global spending.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and may also affect the price and availability of insurance in the future, which could have a material adverse effect on our business, financial condition, results of operations and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sales and weather conditions could have a material adverse effect on our financial results.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experience seasonal demand with end customers and end users within each of our business segments. Demand for pool equipment in the Pool segment, water solution products in the Water Solutions segment, and residential water supply and agricultural products within the Flow segment follows warm weather trends, with seasonal highs ranging from April to September. While historically we have attempted to mitigate the magnitude of the sales spikes in the Pool segment by employing some advance sale “early buy” programs (generally including extended payment terms and/or additional discounts), we cannot provide assurance that these programs will be successful should we continue to use them in the future. In addition, seasonal effects associated with products within our Flow, Water Solutions and Pool segments may vary from year-to-year and be impacted by weather patterns, such as temperature, heavy flooding and droughts. Moreover, adverse weather conditions, such as cold or wet weather, may negatively impact demand for, and sales of, products within our business segments.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Volatility in currency exchange rates and failure to effectively hedge our exposure to fluctuations could have a material adverse effect on our financial condition, results of operations and cash flows.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outside of the U.S. for the year ended December 31, 2024 accounted for approximately 31%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use derivative financial instruments to manage or reduce the impact of changes in foreign currency rates. If we are not successful in monitoring our foreign currency exchange exposures and conducting an effective hedging program, our foreign currency hedging activities may not offset the impact of fluctuations in currency exchange rates on our results of operations and financial position.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matters associated with our labor force.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of our employees are covered by collective bargaining agreements or represented by works councils. Although we believe that our relations with the labor unions and works councils that represent our employees are generally good and we have experienced no material work stoppages recently, we may experience these and other types of conflicts with labor unions, works councils, or other groups representing our employees. Any future negotiations with these groups may result in significant increases in our cost of labor. In addition, an important aspect of attracting and retaining qualified personnel is continuing to offer competitive wages, employee healthcare, retirement plans and other benefits. The expenses we record for our employee benefit plans depend on factors such as changes in market interest rates and healthcare cost inflation, and significant unfavorable changes in these factors could increase our expenses and funding requirements. An inability to control costs and funding requirements related to employee benefits could negatively impact our results of operations and financial condition.</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Complications with the design or implementation of our updated enterprise resource planning system could adversely impact our business and operations.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operate and manage our business and summarize operating results. We are in the process of a multi-year implementation of an updated global enterprise resource planning (“ERP”) system in connection with moving to digital processes under our Transformation Program. Ultimately, this ERP system will modernize several of our existing operating and transactional financial systems. The ERP system is designed to accurately maintain our financial records, enhance operational functionality and provide timely information to our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updated ERP system as planned, our financial position,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 and Financial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business,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$1,663.1 million of total debt outstanding on a consolidated basis. Subject to restrictions in our debt agreements, we and our subsidiaries may incur additional indebtedness in the future, including in connection with acquisitions. Our level of indebtedness and any future increases in our level of indebtedness may have important effects on our future operations, including, without limitation:</w:t>
      </w:r>
    </w:p>
    <w:p>
      <w:pPr>
        <w:spacing w:after="0" w:line="13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requirements in order to support the payment of interest on our outstanding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and industry conditions, as well as to competitive pressure;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obtain additional financing for working capital, capital expenditures, general corporate and other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flexibility in planning for, or reacting to, changes in our business and our industry;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flexibility to make acquisitions and develop technology.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of principal and interest on and to refinance our indebtedness, including our existing debt as well as any future debt that we may incur, will depend on our ability to generate cash in the future from operations, financings or sales of assets or businesses. Our ability to generate cash is subject to general economic conditions and financial, business and other factors affecting our operations, many of which are beyond our control. If we are unable to generate sufficient cash flow from operations in the future to service our debt and meet our other cash requirements, we may be required, among other things:</w:t>
      </w:r>
    </w:p>
    <w:p>
      <w:pPr>
        <w:spacing w:after="0" w:line="1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 addition, any such financing, refinancing or sale of assets or businesses might not be available at all or on economically favorable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instruments may adversely affect 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increase our debt or raise additional capital, our credit ratings may be downgraded in the future, or our interest rates may increase, each of which could affect our financial condition, and may decrease our profitability.</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2024, we had $1,663.1 million of total debt outstanding on a consolidated basis.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or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To the extent that our interest rates increase, our interest expense will increase, which could adversely affect our financial condition, results of operations and cash flows.</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including due to failures of financial institutions,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may have adverse effects on various areas of the economy, which could lead to a slowdown in general economic activity and adversely affect our businesses. One or more of these factors could adversely affect our business, financial condition, results of operations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Compliance Matters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Violations of the U.S. Foreign Corrupt Practices Act, U.K. Bribery Act, and other anti-corruption laws outside the U.S. could have a material adverse effect on us.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the world that are recognized as having governmental and commercial corruption and, in certain circumstances, strict compliance with anti-bribery laws may conflict with local customs and practices. We cannot assure that our internal control policies and procedures will always protect us from negligent, reckless or criminal acts committed by our employees or third-party intermediaries. In the event that we believe or have reason to believe that our employees, suppliers,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13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failure to satisfy international trade compliance regulations, and changes in U.S. government and other applicable sanctions, could have a material adverse effect on us.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policies mandate strict compliance with U.S. and non-U.S. trade laws applicable to our products. However, even when we are in strict compliance with law and our policies, we may suffer reputational damage if certain of our products are sold through various intermediaries to sanctioned entities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applicable laws. Any improper actions could subject us to civil or criminal penalties, including material monetary fines, or other adverse actions including denial of import or export privileges, and could damage our reputation and business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environmental, and health and safety laws, liabilities and 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U.S. federal, state, local and non-U.S. laws and regulations governing protection of the environment and worker health and safety. Compliance with these environmental, health and safety regulations could require us to satisfy environmental requirements,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be adversely impacted if we are unable to renew existing permits or to obtain any additional permits that may be required. Compliance with environmental requirements also could require significant operating or capital expenditures or result in significant operational restrictions. We cannot provide assurance that we have been or will be at all times in compliance with environmental and health and safety laws. If we violate these laws, we could be fined, criminally charged or otherwise sanctioned by regulators.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named as a defendant, target or a potentially responsible party (“PRP”) in a number of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claims due to the presence of, or exposure to, hazardous substances, including at sites where we did not have operations but may have acquired liability through an acquisition of a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and is typically excluded by insurance. In addition, environmental requirements change and tend to become more stringent over time. Our eventual environmental remediation costs and liabilities could exceed the amount of our current reserves.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are party to asbestos-related litigation that could adversely affect our financial condition, results of operations and cash flows.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parties or to which asbestos insulation was applied after installation. In addition, some cases brought against us involve the presence of asbestos at facilities that we own or used to own.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2024, there were approximately 690 asbestos-related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Unfavorable rulings, judgments or settlement terms could have a material adverse impact on our business and financial condition, results of operations and cash flows. In addition, while most of the asbestos claims against us are covered by liability insurance policies from many years ago, not all claims are insured. As our insurers resolve claims relating to past policy periods, the aggregate coverage provided by those policies erodes. If we exhaust our coverage under those policies, we will be exposed to potential uninsured losses. Over time, the uninsured portion of our asbestos docket may increase, which may require us to set greater reserves to resolve future asbestos cases.</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manufacturing facilities and business operations are subject to numerous federal, state and local statutory and regulatory requirements, both within and outside the U.S. These laws and regulations impose on us increasingly complex, stringent and costly monitoring and compliance activities, including but not limited to environmental, health, and safety protection standards and permitting, labeling and other requirements regarding (among other things) product efficiency and performance, material makeup, air quality and emissions, and wastewater discharges; the use, handling, and disposal of hazardous or toxic materials and substances, including perfluoroalkyl and polyfluoroalkyl substances (“PFAS”) and other substances of concern; remediation of environmental contamination; and working conditions for and compensation of our employees. We may also be affected by future standards, laws or regulations, including those 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certain regulatory, financial and other risks related to climate change and other sustainability matters.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These and other existing or potential international initiatives and regulations could affect our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sustainability claims relating to product marketing are inaccurate. It is uncertain what new laws will be enacted and therefore we cannot predict the potential impact of such laws on our future financial condition, results of operations and cash flows. The laws and regulations regarding sustainability disclosures and requirements, including the Corporate Sustainability Reporting Directive in the European Union and various U.S. state requirements such as in California, are rapidly evolving and could have an adverse effect on our operations and the costs of compliance with, and the other burdens imposed by, these and other laws or regulatory actions may increase our operational costs.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strategy regarding environmental, climate change and sustainability matters, we have set and may adjust corporate responsibility strategic targets or set additional targets aimed at reducing our impact on the environment and climate change and/or targets relating to other sustainability matters. In addition, as a leading provider of water treatment solutions, our business strategy includes positioning our products and services as sustainable solutions. Actions we take to achieve our targets or strategy could result in increased costs to our operations. We may not be able to achieve such targets or our desired impact, and any future investments we make in furtherance of achieving such targets and our strategy may not meet investor expectations or standards regarding sustainability performance. Moreover, we may determine that it is in the best interest of our company and our shareholders to prioritize other business, social, governance or sustainable investments over the achievement of our current targets based on economic, regulatory and social factors, business strategy or feedback from investors or other stakeholders. In addition, investors and other stakeholders are increasingly focused on these matters, and as stakeholder expectations and standards are evolving, we may not be able to sufficiently respond to these evolving standards and expectations or investors may not view our products and services as sustainable solutions. Furthermore, we could be criticized for the accuracy or completeness of the disclosure of our corporate responsibility and sustainability initiatives. If we are unable to meet our targets or successfully implement our strategy or our corporate responsibility and sustainability reporting is inaccurate or incomplete, then we could suffer from reputational damage and incur adverse reaction from investors and other stakeholders, which could adversely impact the perception of our brand and our products and services by current and potential investors and customers, which could in turn adversely impact our business, results of operations, or financial condition.</w:t>
      </w:r>
    </w:p>
    <w:p>
      <w:pPr>
        <w:spacing w:after="0" w:line="1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Increased cybersecurity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subjects us to increased cyber and technology risks. The secure operation of our information technology systems and networks is critical to our business operations and strategy. Cybersecurity threats designed to gain unauthorized access to our systems, networks and data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cybersecurity incidents, and, although we have determined these cybersecurity incidents to be immaterial and to have had no material adverse effect on our business strategy, financial condition, results of operations or cash flows, there can be no assurance of similar results in the future. Should future attacks succeed, it could expose us and our employees, customers, dealers and suppliers to the theft of assets, misuse of information or systems, compromises of confidential information, manipulation and destruction of data, product failures, production downtimes and operations disruptions. The occurrence of any of these events could have a material adverse effect on our reputation, business, financial condition, results of operations and cash flows. While we maintain cybersecurity insurance, the costs related to cybersecurity threats or incidents may not be fully insured, and future cybersecurity coverage may become more expensive if we experience a cybersecurity incident. In addition, such cybersecurity incidents could result in litigation, reputational impacts, regulatory action and potential liability, and additional costs and operational consequences of implementing further data protection measures. For information on our cybersecurity risk management, strategy and governance, see ITEM 1C.- Cybersecurity.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data privacy laws and our ability to comply with them could have a material adverse effect on 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collect and store data that is sensitive to us and our employees, customers, dealers and suppliers. A variety of U.S. and non-U.S. state and national, and international laws and regulations apply to the collection, use, retention, protection, security, disclosure, transfer and other processing of personal and other data. Many data privacy regulations outside of the U.S., including the General Data Protection Regulation (the “GDPR”) in the European Union, are more stringent than federal regulations in the U.S. Within the U.S., many states are considering adopting, or have already adopted privacy regulations, including, for example, the California Consumer Privacy Act. These laws and regulations are rapidly evolving and changing, and could have an adverse effect on our operations. Companies’ obligations and requirements under these laws and regulations are subject to uncertainty in how courts and governmental authorities may interpret them.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laws or regulations, or could become subject to litigation. The occurrence of any of these events could have a material adverse effect on our reputation,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litigation and other claims.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and may in the future become, subject to litigation and other claims. These legal proceedings are typically claims that relate to our products or services or to the conduct of our business and include, without limitation, claims relating to commercial, regulatory or contractual disputes with suppliers, authorities, customers or parties to acquisitions and divestitures;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intellectual property matters; environmental, asbestos, safety and health matters; product quality and liability matters; matters arising from the use or installation of our products; consumer protection matters; and employment and labor matters. The outcome of such legal proceedings cannot be predicted with certainty, and some may be disposed of unfavorably to us. In addition to insurance costs rising and insurers decreasing coverage, insurance coverage is not available for some of our claims and may be disputed by carriers in others. While we currently maintain what we believe to be suitable product liability insurance, we may not be able to maintain this insurance on our preferred terms or at an acceptable cost. Further, this insurance may not provide adequate protection against potential or previously existing liabilities. In addition, we self-insure a portion of product liability claims and must satisfy deductibles on other insured claims. Additionally,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including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 and Tax Residency in the U.K.</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For example, the Organization for Economic Co-operation and Development Pillar Two Model Rules (“Pillar Two”) for a global 15.0% minimum tax, have been adopted by a number of jurisdictions in which we operate. Pillar Two has negatively impacted our effective tax rate in 2024 and is likely to continue to impact our effective tax rate in the future. We continue to evaluate the enacted legislative changes and new guidance as it becomes available.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and/or be required to take action to maintain our effective tax rate, which could materially adversely affect our financial condition, results of operations, cash flows or our effective tax rate in future reporting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on dividends or exit charges.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proposed a number of measures relating to the tax treatment of multinationals, some of which are implemented by amending double tax treaties through the multilateral convention to implement tax treaty-related measures to prevent base erosion and profit shifting (the “MLI”). The MLI has now entered into force for a number of countries, including Ireland and the U.K. Under the Double Taxation Convention between Ireland and the U.K., as amended by the MLI, the residency tie-breaker provides that a company will remain dual resident unless there is a determination otherwise by the tax authorities of the two contracting states.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2021, we obtained a determination from the tax authorities in Ireland, the Irish Revenue Commissioners, and in the U.K., HM Revenue &amp; Customs, which states that we are resident for tax purposes only in the U.K.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taxation in multiple jurisdictions. If, for example, we were considered to be a tax resident of Ireland, we could become liable for Irish corporation tax, and any dividends paid by us could be subject to Irish dividend withholding tax.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the United States and may afford less protection to holders of our securities.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Irish company, we are governed by Irish law and the Irish Companies Act 2014, which differs in some material respects from laws generally applicable to U.S. corporations and shareholders, including, among others, differences relating to interested director and officer transactions, mergers and acquisitions and takeovers, and shareholder lawsuits and indemnification of directors. Further,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and require court permission to do so. Accordingly, holders of our securities may have more difficulty protecting their interests than would holders of securities of a corporation incorporated in a jurisdiction of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the United States, which may negatively impact our ability to issue ordinary shares.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Irish law, we must have authority from our shareholders to issue any ordinary shares, including shares that are part of our authorized but unissued share capital. In addition, unless otherwise authorized by its shareholders or constitutional document, when an Irish company issues shares for cash to new shareholders, it is required first to offer those shares on the same or more favorable terms to existing shareholders on a pro-rata basis. If we are unable to continue to obtain these authorizations from our shareholders, or are otherwise limited by the terms of our authorizations, our ability to issue ordinary shares under our equity compensation plans and, if applicable, to facilitate funding acquisitions or otherwise raise capital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our ordinary shares may be subject to Irish stamp duty.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received by means of a gift or inheritance could be subject to Irish capital acquisitions tax.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€400,000 per lifetime in respect of taxable gifts or inheritances received from their parents for periods on or after October 2, 2024. The standard rate of CAT for gifts and inheritances received above this threshold is 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fluctuate significantly.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cannot predict the prices at which our shares may trade. The market price of our shares may fluctuate widely, depending on many factors, some of which may be beyond our control, including:</w:t>
      </w:r>
    </w:p>
    <w:p>
      <w:pPr>
        <w:spacing w:after="0" w:line="127" w:lineRule="exact"/>
        <w:rPr>
          <w:sz w:val="20"/>
          <w:szCs w:val="20"/>
          <w:color w:val="auto"/>
        </w:rPr>
      </w:pPr>
    </w:p>
    <w:p>
      <w:pPr>
        <w:ind w:left="5540" w:right="3520" w:hanging="5208"/>
        <w:spacing w:after="0" w:line="923"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third-party financing as needed;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guidance by us or securities analysts or our ability to meet those estimates or guidance;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certain events or occurrences on our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governmental investigation or environmental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environmental disasters;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and Board of Directors (the “Board”) recognize the importance of maintaining the security and resiliency of our cybersecurity environment to deliver on the expectations of our customers, dealers, business partners, employees and investors. The Board oversees our risk management practices, including our overall enterprise risk management (“ERM”) program, in which cybersecurity risk is included. Our cybersecurity program is aligned with the National Institute of Standards and Technology (“NIST”) Cybersecurity Framework (“CSF”) and leverages the International Organization for Standardization and other applicable industry standards. Overall, the purpose of our information security program is to protect the confidentiality, integrity and availability of our systems and data, along with the safe operation of our connected products. This is supported by our security operating framework, roadmap and governance.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program is focused on the following areas: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governance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established processes aimed to assess, identify and manage material risks from cybersecurity threats. Our ERM organizational process includes annual risk assessments. Our cybersecurity team, which is led by our Chief Information Officer and Chief Information Security Officer (the “CIO/CISO”), is responsible for identifying, assessing and managing strategic and operational cybersecurity risks. Our cybersecurity team shares information regarding such risks with our Security Steering Committee, which consists of our General Counsel, Chief Financial Officer, CIO/CISO, and members of our IT, Legal and ERM functions. Both our Security Steering Committee and our ERM function support the Board’s oversight of cybersecurity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safeguards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deploy technical safeguards designed to protect our systems from cybersecurity threats, including firewalls, anti-malware software, and authentication and authorization controls. Ongoing enhancements are integrated into our security roadmap, as informed by our security audits and assessments.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Security and privacy incident response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incident response plan to identify, protect, detect, respond to and recover from cybersecurity threats and incidents. We test and evaluate our plans on a regular basis. The CIO/CISO, the Security Steering Committee, our Chief Executive Officer and the Board are notified of any material cybersecurity incidents through an established escalation process.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a risk-based third-party risk management process designed to identify, assess and manage risks presented by service providers, vendors and other third parties that access our systems or that process or store our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awareness and training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ongoing security awareness and training to educate internal users on how to identify and report potential issues. Professional-level employees receive mandatory cybersecurity education and training. Employee phishing tests are conducted on a regular basis. Employees who do not follow protocol are redirected for additional training. We also provide periodic updates to employees on emerging cybersecurity trends and ways to protect themselves and our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audits and assessments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periodic security audits and assessments to test our cybersecurity program. These efforts span across our cybersecurity program, including but not limited to audits, assessments, tabletop exercises, vulnerability scanning and penetration tests. We regularly engage third parties to assess our cybersecurity program, including cybersecurity maturity assessments, penetration testing, and independent review of our security control environment and operating effectiveness. The results of the assessments are included for review by the Security Steering Committee and the Audit and Finance Committee of the Board. We look to enhance our cybersecurity program with the results of the audits, assessments and reviews we perform.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is responsible for general oversight of our risk management, including cybersecurity risk. The Audit and Finance Committee of the Board is responsible for overseeing our risk exposure to information security, cybersecurity and data protection, as well as the steps management has taken to monitor and control such exposures. We conduct cybersecurity audits and assessments on a regular basis and either our CIO/CISO or Chief Financial Officer report to the Audit and Finance Committee on a quarterly basis.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cybersecurity team, which is responsible for assessing and managing our risks from cybersecurity threats, is led by the CIO/CISO, who reports to our Chief Financial Officer. The Security Steering Committee provides additional oversight for assessing and managing cybersecurity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CIO/CISO has over 20 years of cybersecurity and technology experience and has previously held Chief Information Security Officer positions at a large public retail company, as well as at a public technology company and services organization. The CIO/CISO has an undergraduate degree in Management Information Systems. Members of our cybersecurity team have broad experience in security functions in various industries. Our Chief Executive Officer, Chief Financial Officer and General Counsel each hold degrees in their respective fields, and each have over 25 years of experience managing risks at the Company and at similar companies, including risks arising from cybersecurity threats.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Cybersecurity Threats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Previous cybersecurity incidents have not materially affected us, including our business strategy, results of operations or financial condition. However, risks from cybersecurity threats, including but not limited to exploitation of vulnerabilities, ransomware, denial of service, supply chain attacks, or other similar threats may materially affect us, including our execution of business strategy, reputation, results of operations and/or financial condition. See ITEM 1A. “Risk Factors - Increased cybersecurity threats and computer crime pose a risk to our systems, networks, products and services, and we are exposed to potential regulatory, financial and reputational risks relating to the protection of our data”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office is located in leased premises in London, U.K., and our management office in the U.S. is located in leased premises in Golden Valley, Minnesota.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conducted in sites throughout the world. These sites house manufacturing and distribution operations, as well as sales and marketing, engineering and administrative offices. The following is a summary of our principal properties as of December 31, 2024, including manufacturing, distribution, sales offices and service centers: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No. of Sites</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320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9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Sales and Corporate</w:t>
            </w:r>
          </w:p>
        </w:tc>
        <w:tc>
          <w:tcPr>
            <w:tcW w:w="1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Service Centers</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1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3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and 15 foreign countries</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3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and 5 foreign countries</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and 2 foreign countries</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U.S. and 3 foreign countries</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production sites, as well as the related machinery and equipment, are well maintained and suitable for their purpose and are adequate to support our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Refer to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u w:val="single" w:color="auto"/>
          <w:color w:val="0000FF"/>
        </w:rPr>
        <w:t>Note 15 “Commitments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consolidated financial statements included in ITEM 8 of Part II of this Form 10-K for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regarding legal and regulatory proceedings we are involved in. In addition, see </w:t>
      </w:r>
      <w:r>
        <w:rPr>
          <w:rFonts w:ascii="Times New Roman" w:cs="Times New Roman" w:eastAsia="Times New Roman" w:hAnsi="Times New Roman"/>
          <w:sz w:val="18"/>
          <w:szCs w:val="18"/>
          <w:u w:val="single" w:color="auto"/>
          <w:color w:val="0000FF"/>
        </w:rPr>
        <w:t>Item 1A “Risk Factors - Our subsidiaries are party to asbestos-related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litigation that could adversely affect our financial condition, results of operations and cash flows”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related to asbestos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executive officers of Pentair plc, their ages, current position and their business experience during at least the past five years are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40" w:type="dxa"/>
            <w:vAlign w:val="bottom"/>
          </w:tcPr>
          <w:p>
            <w:pPr>
              <w:spacing w:after="0"/>
              <w:rPr>
                <w:sz w:val="17"/>
                <w:szCs w:val="17"/>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Position and Business Experience</w:t>
            </w:r>
          </w:p>
        </w:tc>
      </w:tr>
      <w:tr>
        <w:trPr>
          <w:trHeight w:val="20"/>
        </w:trPr>
        <w:tc>
          <w:tcPr>
            <w:tcW w:w="4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John L. Stauch</w:t>
            </w:r>
          </w:p>
        </w:tc>
        <w:tc>
          <w:tcPr>
            <w:tcW w:w="660" w:type="dxa"/>
            <w:vAlign w:val="bottom"/>
            <w:gridSpan w:val="2"/>
          </w:tcPr>
          <w:p>
            <w:pPr>
              <w:jc w:val="center"/>
              <w:ind w:left="270"/>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tcPr>
          <w:p>
            <w:pPr>
              <w:spacing w:after="0"/>
              <w:rPr>
                <w:sz w:val="17"/>
                <w:szCs w:val="17"/>
                <w:color w:val="auto"/>
              </w:rPr>
            </w:pPr>
          </w:p>
        </w:tc>
        <w:tc>
          <w:tcPr>
            <w:tcW w:w="8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President and Chief Executive Officer since 2018; Executive Vice President and Chief Financial Officer 2007 – 2018;</w:t>
            </w:r>
          </w:p>
        </w:tc>
      </w:tr>
      <w:tr>
        <w:trPr>
          <w:trHeight w:val="176"/>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Chief Financial Officer of the Automation and Control Systems unit of Honeywell International Inc. 2005 – 2007; Vice</w:t>
            </w:r>
          </w:p>
        </w:tc>
      </w:t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9"/>
              </w:rPr>
              <w:t>President, Finance and Chief Financial Officer of the Sensing and Controls unit of Honeywell International Inc. 2004 –</w:t>
            </w:r>
          </w:p>
        </w:tc>
      </w:tr>
      <w:tr>
        <w:trPr>
          <w:trHeight w:val="180"/>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2005; Vice President, Finance and Chief Financial Officer of the Automation &amp; Control Products unit of Honeywell</w:t>
            </w:r>
          </w:p>
        </w:tc>
      </w:tr>
      <w:tr>
        <w:trPr>
          <w:trHeight w:val="176"/>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International Inc. 2002 – 2004; Chief Financial Officer and IT Director of PerkinElmer Optoelectronics, a unit of</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PerkinElmer, Inc., 2000 – 2002.</w:t>
            </w:r>
          </w:p>
        </w:tc>
      </w:tr>
      <w:tr>
        <w:trPr>
          <w:trHeight w:val="184"/>
        </w:trPr>
        <w:tc>
          <w:tcPr>
            <w:tcW w:w="17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Adrian C. Chiu</w:t>
            </w:r>
          </w:p>
        </w:tc>
        <w:tc>
          <w:tcPr>
            <w:tcW w:w="660" w:type="dxa"/>
            <w:vAlign w:val="bottom"/>
            <w:gridSpan w:val="2"/>
          </w:tcPr>
          <w:p>
            <w:pPr>
              <w:jc w:val="center"/>
              <w:ind w:left="270"/>
              <w:spacing w:after="0" w:line="184" w:lineRule="exact"/>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Executive Vice President and President of the Water Solutions reportable segment since 2023; Executive Vice</w:t>
            </w:r>
          </w:p>
        </w:tc>
      </w:tr>
      <w:tr>
        <w:trPr>
          <w:trHeight w:val="175"/>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President, Chief Human Resources Officer and Chief Transformation Officer 2021 – 2022; Vice President of Total</w:t>
            </w:r>
          </w:p>
        </w:tc>
      </w:t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Rewards and Human Resources Information Systems 2018 – 2021; Vice President and Project Management Office</w:t>
            </w:r>
          </w:p>
        </w:tc>
      </w:tr>
      <w:tr>
        <w:trPr>
          <w:trHeight w:val="180"/>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Leader for the separation of nVent plc (Pentair’s former electrical business) 2017 – 2018; Vice President of Human</w:t>
            </w:r>
          </w:p>
        </w:tc>
      </w:tr>
      <w:tr>
        <w:trPr>
          <w:trHeight w:val="175"/>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Resources Technology, Operations, and Equity Compensation 2016 – 2018; Senior Director of Human Resources</w:t>
            </w:r>
          </w:p>
        </w:tc>
      </w:t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Technology and Services 2011 – 2016; Various consulting positions of increasing responsibility at IBM Global</w:t>
            </w:r>
          </w:p>
        </w:tc>
      </w:tr>
      <w:tr>
        <w:trPr>
          <w:trHeight w:val="230"/>
        </w:trPr>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 2000 – 2011.</w:t>
            </w:r>
          </w:p>
        </w:tc>
      </w:tr>
      <w:tr>
        <w:trPr>
          <w:trHeight w:val="180"/>
        </w:trPr>
        <w:tc>
          <w:tcPr>
            <w:tcW w:w="1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Robert P. Fishman</w:t>
            </w:r>
          </w:p>
        </w:tc>
        <w:tc>
          <w:tcPr>
            <w:tcW w:w="660" w:type="dxa"/>
            <w:vAlign w:val="bottom"/>
            <w:gridSpan w:val="2"/>
          </w:tcPr>
          <w:p>
            <w:pPr>
              <w:jc w:val="center"/>
              <w:ind w:left="270"/>
              <w:spacing w:after="0" w:line="181" w:lineRule="exact"/>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Pr>
          <w:p>
            <w:pPr>
              <w:spacing w:after="0"/>
              <w:rPr>
                <w:sz w:val="15"/>
                <w:szCs w:val="15"/>
                <w:color w:val="auto"/>
              </w:rPr>
            </w:pPr>
          </w:p>
        </w:tc>
        <w:tc>
          <w:tcPr>
            <w:tcW w:w="8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since 2020; Executive Vice President</w:t>
            </w:r>
          </w:p>
        </w:tc>
      </w:tr>
      <w:tr>
        <w:trPr>
          <w:trHeight w:val="176"/>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and Chief Financial Officer of NCR Corporation (a global provider of omni-channel technology solutions) 2016 –</w:t>
            </w:r>
          </w:p>
        </w:tc>
      </w:t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2018; Senior Vice President and Chief Financial Officer of NCR Corporation 2010 – 2016; Vice President and</w:t>
            </w:r>
          </w:p>
        </w:tc>
      </w:tr>
      <w:tr>
        <w:trPr>
          <w:trHeight w:val="229"/>
        </w:trPr>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Controller of NCR Corporation 2007 – 2009.</w:t>
            </w:r>
          </w:p>
        </w:tc>
      </w:tr>
      <w:tr>
        <w:trPr>
          <w:trHeight w:val="180"/>
        </w:trPr>
        <w:tc>
          <w:tcPr>
            <w:tcW w:w="1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Tanya L. Hooper</w:t>
            </w:r>
          </w:p>
        </w:tc>
        <w:tc>
          <w:tcPr>
            <w:tcW w:w="660" w:type="dxa"/>
            <w:vAlign w:val="bottom"/>
            <w:gridSpan w:val="2"/>
          </w:tcPr>
          <w:p>
            <w:pPr>
              <w:jc w:val="center"/>
              <w:ind w:left="270"/>
              <w:spacing w:after="0" w:line="181" w:lineRule="exact"/>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5"/>
                <w:szCs w:val="15"/>
                <w:color w:val="auto"/>
              </w:rPr>
            </w:pPr>
          </w:p>
        </w:tc>
        <w:tc>
          <w:tcPr>
            <w:tcW w:w="8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Human Resources Officer since 2023; Vice President of Global Talent and</w:t>
            </w:r>
          </w:p>
        </w:tc>
      </w:tr>
      <w:tr>
        <w:trPr>
          <w:trHeight w:val="176"/>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Corporate Human Resources of Honeywell International Inc. 2021 – 2022; Vice President and Chief Human Resources</w:t>
            </w:r>
          </w:p>
        </w:tc>
      </w:tr>
      <w:tr>
        <w:trPr>
          <w:trHeight w:val="184"/>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Officer of Collins Aerospace 2019 – 2021; Vice President of Talent of Collins Aerospace 2018 – 2019; Vice President</w:t>
            </w:r>
          </w:p>
        </w:tc>
      </w:tr>
      <w:tr>
        <w:trPr>
          <w:trHeight w:val="180"/>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of Human Resources of Collins Aerospace 2016 – 2018; Various positions of increasing responsibility at Shell 2000 –</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5360" w:type="dxa"/>
            <w:vAlign w:val="bottom"/>
          </w:tcPr>
          <w:p>
            <w:pPr>
              <w:spacing w:after="0"/>
              <w:rPr>
                <w:sz w:val="20"/>
                <w:szCs w:val="20"/>
                <w:color w:val="auto"/>
              </w:rPr>
            </w:pPr>
          </w:p>
        </w:tc>
      </w:tr>
      <w:tr>
        <w:trPr>
          <w:trHeight w:val="184"/>
        </w:trPr>
        <w:tc>
          <w:tcPr>
            <w:tcW w:w="17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Jerome O. Pedretti</w:t>
            </w:r>
          </w:p>
        </w:tc>
        <w:tc>
          <w:tcPr>
            <w:tcW w:w="660" w:type="dxa"/>
            <w:vAlign w:val="bottom"/>
            <w:gridSpan w:val="2"/>
          </w:tcPr>
          <w:p>
            <w:pPr>
              <w:jc w:val="center"/>
              <w:ind w:left="270"/>
              <w:spacing w:after="0" w:line="184" w:lineRule="exact"/>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6"/>
                <w:szCs w:val="16"/>
                <w:color w:val="auto"/>
              </w:rPr>
            </w:pPr>
          </w:p>
        </w:tc>
        <w:tc>
          <w:tcPr>
            <w:tcW w:w="8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Executive Officer of the Pool reportable segment since 2023; Executive Vice</w:t>
            </w:r>
          </w:p>
        </w:tc>
      </w:tr>
      <w:tr>
        <w:trPr>
          <w:trHeight w:val="176"/>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President and President of the Flow reportable segment 2020 – 2022; Senior Vice President of Pentair’s former</w:t>
            </w:r>
          </w:p>
        </w:tc>
      </w:tr>
      <w:tr>
        <w:trPr>
          <w:trHeight w:val="204"/>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9"/>
              </w:rPr>
              <w:t>Aquatic Systems reportable segment 2016 – 2019; Vice President of Pentair’s former Valves &amp; Controls business 2014</w:t>
            </w:r>
          </w:p>
        </w:tc>
      </w:tr>
    </w:tbl>
    <w:p>
      <w:pPr>
        <w:ind w:left="2620" w:right="20"/>
        <w:spacing w:after="0" w:line="226" w:lineRule="auto"/>
        <w:rPr>
          <w:sz w:val="20"/>
          <w:szCs w:val="20"/>
          <w:color w:val="auto"/>
        </w:rPr>
      </w:pPr>
      <w:r>
        <w:rPr>
          <w:rFonts w:ascii="Times New Roman" w:cs="Times New Roman" w:eastAsia="Times New Roman" w:hAnsi="Times New Roman"/>
          <w:sz w:val="18"/>
          <w:szCs w:val="18"/>
          <w:color w:val="auto"/>
        </w:rPr>
        <w:t>– 2016; Vice President Growth Strategy 2010 – 2014; Various business leadership positions of Pentair 2005 – 2014; Consultant at Bain &amp; Co 2002 – 2005.</w:t>
      </w:r>
    </w:p>
    <w:tbl>
      <w:tblPr>
        <w:tblLayout w:type="fixed"/>
        <w:tblInd w:w="0" w:type="dxa"/>
        <w:tblCellMar>
          <w:top w:w="0" w:type="dxa"/>
          <w:left w:w="0" w:type="dxa"/>
          <w:bottom w:w="0" w:type="dxa"/>
          <w:right w:w="0" w:type="dxa"/>
        </w:tblCellMar>
      </w:tblPr>
      <w:tr>
        <w:trPr>
          <w:trHeight w:val="189"/>
        </w:trPr>
        <w:tc>
          <w:tcPr>
            <w:tcW w:w="18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Stephen J. Pilla</w:t>
            </w:r>
          </w:p>
        </w:tc>
        <w:tc>
          <w:tcPr>
            <w:tcW w:w="6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878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Executive Vice President, Chief Supply Chain Officer and Chief Transformation Officer since 2023; Executive Vice</w:t>
            </w:r>
          </w:p>
        </w:tc>
      </w:tr>
      <w:tr>
        <w:trPr>
          <w:trHeight w:val="175"/>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President and Chief Supply Chain Officer 2020 – 2022; Vice President and Chief Supply Chain Officer of Red Wing</w:t>
            </w:r>
          </w:p>
        </w:tc>
      </w:tr>
      <w:tr>
        <w:trPr>
          <w:trHeight w:val="18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Shoe Co. (a manufacturer of personal protection equipment and footwear) 2017 – 2020; Vice President and General</w:t>
            </w:r>
          </w:p>
        </w:tc>
      </w:tr>
      <w:tr>
        <w:trPr>
          <w:trHeight w:val="180"/>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Manager of Pentair’s former Enclosure Division 2015 – 2017; Vice President of Pentair’s Global Operations and</w:t>
            </w:r>
          </w:p>
        </w:tc>
      </w:tr>
      <w:tr>
        <w:trPr>
          <w:trHeight w:val="175"/>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Supply Chain 2014 – 2016; Vice President, Global Supply of Pentair 2009 – 2012; Various other business leadership</w:t>
            </w:r>
          </w:p>
        </w:tc>
      </w:tr>
      <w:tr>
        <w:trPr>
          <w:trHeight w:val="234"/>
        </w:trPr>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positions of Pentair 2002 – 2009.</w:t>
            </w: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Karla C. Robertson</w:t>
            </w:r>
          </w:p>
        </w:tc>
        <w:tc>
          <w:tcPr>
            <w:tcW w:w="660" w:type="dxa"/>
            <w:vAlign w:val="bottom"/>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54</w:t>
            </w: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Vice President, Chief Sustainability Officer, General Counsel and Secretary since 2020; Executive Vice</w:t>
            </w:r>
          </w:p>
        </w:tc>
      </w:tr>
      <w:tr>
        <w:trPr>
          <w:trHeight w:val="175"/>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President, General Counsel and Secretary 2018 – 2020; General Counsel, Water segment 2017 – 2018; Executive Vice</w:t>
            </w:r>
          </w:p>
        </w:tc>
      </w:tr>
      <w:tr>
        <w:trPr>
          <w:trHeight w:val="18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President, General Counsel and Corporate Secretary of SUPERVALU Inc. (a wholesaler and retailer of grocery</w:t>
            </w:r>
          </w:p>
        </w:tc>
      </w:tr>
      <w:tr>
        <w:trPr>
          <w:trHeight w:val="180"/>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products) 2013 – 2017; Vice President, Employment, Compensation and Benefits Law of SUPERVALU Inc. 2012 –</w:t>
            </w:r>
          </w:p>
        </w:tc>
      </w:tr>
      <w:tr>
        <w:trPr>
          <w:trHeight w:val="176"/>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2013; Director, Employment Law of SUPERVALU Inc. 2011 – 2012; Senior Counsel, Employment Law of</w:t>
            </w:r>
          </w:p>
        </w:tc>
      </w:tr>
      <w:tr>
        <w:trPr>
          <w:trHeight w:val="18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SUPERVALU Inc. 2009 – 2011; Senior Employee Relations Counsel of Target Corporation 2006 – 2008; Associate,</w:t>
            </w:r>
          </w:p>
        </w:tc>
      </w:tr>
      <w:tr>
        <w:trPr>
          <w:trHeight w:val="180"/>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Faegre &amp; Benson LLP 2000 – 2005; Judicial Clerk, United States District Court for the Southern District of Iowa 1998</w:t>
            </w:r>
          </w:p>
        </w:tc>
      </w:tr>
      <w:tr>
        <w:trPr>
          <w:trHeight w:val="234"/>
        </w:trPr>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2000.</w:t>
            </w: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Philip M. Rolchigo</w:t>
            </w:r>
          </w:p>
        </w:tc>
        <w:tc>
          <w:tcPr>
            <w:tcW w:w="660" w:type="dxa"/>
            <w:vAlign w:val="bottom"/>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63</w:t>
            </w: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Technology Officer since 2018; Chief Technology Officer 2017 – 2018; Vice</w:t>
            </w:r>
          </w:p>
        </w:tc>
      </w:tr>
      <w:tr>
        <w:trPr>
          <w:trHeight w:val="175"/>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President of Technology 2015 – 2017; Vice President of Engineering 2007 – 2015; Business Development Director of</w:t>
            </w:r>
          </w:p>
        </w:tc>
      </w:tr>
      <w:tr>
        <w:trPr>
          <w:trHeight w:val="18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Water Technologies business of GE Global Research Center 2006 – 2007; Director of Technology of GE Water &amp;</w:t>
            </w:r>
          </w:p>
        </w:tc>
      </w:tr>
      <w:tr>
        <w:trPr>
          <w:trHeight w:val="180"/>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Process Technologies 2003 – 2006; Chief Technology Officer of Osmonics 2000 – 2003; Vice President of Research &amp;</w:t>
            </w:r>
          </w:p>
        </w:tc>
      </w:tr>
      <w:tr>
        <w:trPr>
          <w:trHeight w:val="234"/>
        </w:trPr>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of Osmonics 1998 – 2000.</w:t>
            </w: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De’Mon L. Wiggins</w:t>
            </w:r>
          </w:p>
        </w:tc>
        <w:tc>
          <w:tcPr>
            <w:tcW w:w="660" w:type="dxa"/>
            <w:vAlign w:val="bottom"/>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50</w:t>
            </w: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Vice President and President of the Flow reportable segment since 2023; Group President of Pentair’s Pool</w:t>
            </w:r>
          </w:p>
        </w:tc>
      </w:tr>
      <w:tr>
        <w:trPr>
          <w:trHeight w:val="175"/>
        </w:trPr>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business 2021 – 2022; Vice President of Pentair’s Pool business 2017 – 2021; Vice President and Strategic Business</w:t>
            </w:r>
          </w:p>
        </w:tc>
      </w:tr>
      <w:tr>
        <w:trPr>
          <w:trHeight w:val="18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Unit leader for Pentair’s Fluid Motion platform 2016 – 2017; Various other business leadership positions of Pentair</w:t>
            </w:r>
          </w:p>
        </w:tc>
      </w:tr>
      <w:tr>
        <w:trPr>
          <w:trHeight w:val="234"/>
        </w:trPr>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2010 – 2016.</w:t>
            </w:r>
          </w:p>
        </w:tc>
      </w:tr>
      <w:tr>
        <w:trPr>
          <w:trHeight w:val="769"/>
        </w:trPr>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7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21</w:t>
            </w:r>
          </w:p>
        </w:tc>
      </w:tr>
      <w:tr>
        <w:trPr>
          <w:trHeight w:val="115"/>
        </w:trPr>
        <w:tc>
          <w:tcPr>
            <w:tcW w:w="1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ordinary shares are listed for trading on the New York Stock Exchange (“NYSE”) under the symbol “PNR.” As of December 31, 2024, there were 11,731 shareholders of record.</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Pentair has paid 196 consecutive quarterly cash dividends, including most recently a dividend of $0.23 per share in the fourth quarter of 2024. On December 16, 2024, Pentair’s Board of Directors approved a regular quarterly cash dividend of $0.25 per share that was paid on February 7, 2025 to shareholders of record at the close of business on January 24, 2025. This dividend reflects a 9 percent increase in the Company’s regular cash dividend rate and marks the 49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consecutive year that Pentair has increased its dividend.</w:t>
      </w:r>
    </w:p>
    <w:p>
      <w:pPr>
        <w:spacing w:after="0" w:line="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shareholder return on our ordinary shares for the last five years, assuming the investment of $100 on December 31, 2019 and the reinvestment of all dividends since that date to December 31, 2024. The graph also contains for comparison purposes the S&amp;P 500 Index and the S&amp;P 500 Industrials Index, assuming the same investment level and reinvestment of dividends.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80010</wp:posOffset>
            </wp:positionV>
            <wp:extent cx="5014595" cy="2983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1459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Base Period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INDEXED RETURNS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8"/>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1"/>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 / Index</w:t>
            </w: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Pentair plc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 Index</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 Industrials Index</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fourth quarter of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Pr>
          <w:p>
            <w:pPr>
              <w:spacing w:after="0"/>
              <w:rPr>
                <w:sz w:val="19"/>
                <w:szCs w:val="19"/>
                <w:color w:val="auto"/>
              </w:rPr>
            </w:pPr>
          </w:p>
        </w:tc>
        <w:tc>
          <w:tcPr>
            <w:tcW w:w="17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80" w:type="dxa"/>
            <w:vAlign w:val="bottom"/>
          </w:tcPr>
          <w:p>
            <w:pPr>
              <w:jc w:val="center"/>
              <w:ind w:right="2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90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360" w:type="dxa"/>
            <w:vAlign w:val="bottom"/>
          </w:tcPr>
          <w:p>
            <w:pPr>
              <w:spacing w:after="0"/>
              <w:rPr>
                <w:sz w:val="15"/>
                <w:szCs w:val="15"/>
                <w:color w:val="auto"/>
              </w:rPr>
            </w:pPr>
          </w:p>
        </w:tc>
        <w:tc>
          <w:tcPr>
            <w:tcW w:w="17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38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 purchased as</w:t>
            </w:r>
          </w:p>
        </w:tc>
        <w:tc>
          <w:tcPr>
            <w:tcW w:w="190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238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90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1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360" w:type="dxa"/>
            <w:vAlign w:val="bottom"/>
          </w:tcPr>
          <w:p>
            <w:pPr>
              <w:spacing w:after="0"/>
              <w:rPr>
                <w:sz w:val="15"/>
                <w:szCs w:val="15"/>
                <w:color w:val="auto"/>
              </w:rPr>
            </w:pPr>
          </w:p>
        </w:tc>
        <w:tc>
          <w:tcPr>
            <w:tcW w:w="1700" w:type="dxa"/>
            <w:vAlign w:val="bottom"/>
          </w:tcPr>
          <w:p>
            <w:pPr>
              <w:jc w:val="center"/>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238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190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 plans</w:t>
            </w:r>
          </w:p>
        </w:tc>
        <w:tc>
          <w:tcPr>
            <w:tcW w:w="0" w:type="dxa"/>
            <w:vAlign w:val="bottom"/>
          </w:tcPr>
          <w:p>
            <w:pPr>
              <w:spacing w:after="0"/>
              <w:rPr>
                <w:sz w:val="1"/>
                <w:szCs w:val="1"/>
                <w:color w:val="auto"/>
              </w:rPr>
            </w:pPr>
          </w:p>
        </w:tc>
      </w:tr>
      <w:tr>
        <w:trPr>
          <w:trHeight w:val="241"/>
        </w:trPr>
        <w:tc>
          <w:tcPr>
            <w:tcW w:w="2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3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26</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95.00</w:t>
            </w:r>
          </w:p>
        </w:tc>
        <w:tc>
          <w:tcPr>
            <w:tcW w:w="2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500,002,264</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27 – November 23</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99.06</w:t>
            </w:r>
          </w:p>
        </w:tc>
        <w:tc>
          <w:tcPr>
            <w:tcW w:w="2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500,002,264</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 December 31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473,457</w:t>
            </w:r>
          </w:p>
        </w:tc>
        <w:tc>
          <w:tcPr>
            <w:tcW w:w="3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106.05</w:t>
            </w:r>
          </w:p>
        </w:tc>
        <w:tc>
          <w:tcPr>
            <w:tcW w:w="2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471,493</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450,002,346</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474,772</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471,493</w:t>
            </w: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80" w:hanging="172"/>
        <w:spacing w:after="0" w:line="245" w:lineRule="auto"/>
        <w:tabs>
          <w:tab w:leader="none" w:pos="17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purchases in this column include 229 shares for the period October 1 – October 26, 1,086 shares for the period October 27 – November 23, and </w:t>
      </w:r>
      <w:r>
        <w:rPr>
          <w:rFonts w:ascii="Times New Roman" w:cs="Times New Roman" w:eastAsia="Times New Roman" w:hAnsi="Times New Roman"/>
          <w:sz w:val="17"/>
          <w:szCs w:val="17"/>
          <w:color w:val="auto"/>
        </w:rPr>
        <w:t>1,964</w:t>
      </w:r>
      <w:r>
        <w:rPr>
          <w:rFonts w:ascii="Times New Roman" w:cs="Times New Roman" w:eastAsia="Times New Roman" w:hAnsi="Times New Roman"/>
          <w:sz w:val="16"/>
          <w:szCs w:val="16"/>
          <w:color w:val="auto"/>
        </w:rPr>
        <w:t xml:space="preserve"> shares for the period November 24 – December 31 deemed surrendered to us by participants in our equity incentive plans to satisfy the exercise price or withholding of tax obligations related to the exercise of stock options and vesting of restricted and performance shares.</w:t>
      </w:r>
    </w:p>
    <w:p>
      <w:pPr>
        <w:spacing w:after="0" w:line="138" w:lineRule="exact"/>
        <w:rPr>
          <w:rFonts w:ascii="Times New Roman" w:cs="Times New Roman" w:eastAsia="Times New Roman" w:hAnsi="Times New Roman"/>
          <w:sz w:val="21"/>
          <w:szCs w:val="21"/>
          <w:color w:val="auto"/>
          <w:vertAlign w:val="superscript"/>
        </w:rPr>
      </w:pPr>
    </w:p>
    <w:p>
      <w:pPr>
        <w:jc w:val="both"/>
        <w:ind w:left="180" w:right="20" w:hanging="172"/>
        <w:spacing w:after="0" w:line="256"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average price paid in this column includes shares repurchased as part of our publicly announced plans and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42" w:lineRule="exact"/>
        <w:rPr>
          <w:rFonts w:ascii="Times New Roman" w:cs="Times New Roman" w:eastAsia="Times New Roman" w:hAnsi="Times New Roman"/>
          <w:sz w:val="20"/>
          <w:szCs w:val="20"/>
          <w:color w:val="auto"/>
          <w:vertAlign w:val="superscript"/>
        </w:rPr>
      </w:pPr>
    </w:p>
    <w:p>
      <w:pPr>
        <w:ind w:left="180" w:hanging="172"/>
        <w:spacing w:after="0" w:line="225" w:lineRule="auto"/>
        <w:tabs>
          <w:tab w:leader="none" w:pos="17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41" w:lineRule="exact"/>
        <w:rPr>
          <w:rFonts w:ascii="Times New Roman" w:cs="Times New Roman" w:eastAsia="Times New Roman" w:hAnsi="Times New Roman"/>
          <w:sz w:val="21"/>
          <w:szCs w:val="21"/>
          <w:color w:val="auto"/>
          <w:vertAlign w:val="superscript"/>
        </w:rPr>
      </w:pPr>
    </w:p>
    <w:p>
      <w:pPr>
        <w:jc w:val="both"/>
        <w:ind w:left="180" w:hanging="172"/>
        <w:spacing w:after="0" w:line="256"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December 2020, the Board of Directors authorized the repurchase of our ordinary shares up to a maximum dollar limit of $750.0 million. This authorization expires on December 31, 2025. As of December 31, 2024, we had $450.0 million remaining availability for repurchases under this authorization. From time to time, we may enter into a Rule 10b5-1 trading plan for the purpose of repurchasing shares under this authorization.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6" w:name="page27"/>
    <w:bookmarkEnd w:id="26"/>
    <w:p>
      <w:pPr>
        <w:ind w:right="12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Pentair plc and its consolidated subsidiaries (“we,” “us,” “our,” “Pentair” or the “Company”) is a pure play water industrial manufacturing company comprised of three reportable segments: Flow, Water Solutions and Pool. We classify our operations into business segments based primarily on types of products offered and markets served. For the year ended December 31, 2024, the Flow, Water Solutions and Pool reportable segments represented approximately 37%, 28% and 35% of total consolidated net sales, respectively.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 2024, as part of our Pool reportable segment, we completed the acquisition of G &amp; F Manufacturing, LLC (“G &amp; F Manufacturing”) for $116.0 million in cash, net of cash acquired and subject to customary adjustments. The net purchase price is comprised of an upfront cash payment of $108.0 million, subject to customary adjustments, and the estimated fair value at the acquisition date of a contingent earn-out liability based upon the achievement of certain defined operating results in the two years following the acquisition. G &amp; F Manufacturing manufactures and services pool heat pumps.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2024, and are reasonably likely to impact our results in the future:</w:t>
      </w:r>
    </w:p>
    <w:p>
      <w:pPr>
        <w:spacing w:after="0" w:line="153"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Transformation Program designed to accelerate growth and drive margin expansion by driving operational excellence, reducing complexity and streamlining our processes. During 2024,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in 2025 and beyond.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began using 80/20 guiding principles to enable our Transformation Program. This 80/20 analysis is expected to create value by focusing on key customers and products through quadrant-based strategies. We expect the analysis to result in actions to improve operating performance by driving growth with our highest value customers, reducing lower margin sales and removing complexity in the future.</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executed certain business restructuring initiatives aimed at reducing our fixed cost structure and realigning our business. We expect these actions to continue into 2025 and to drive margin growth.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experienced inflationary cost increases for certain raw materials as well as logistics and transportation costs. The ongoing volatile market for commodities has the potential to continue to drive price increases in our supply chain. In addition, the current U.S. administration has recently implemented tariffs and has announced the possibility of implementing additional, or increasing current, tariffs; these actions and any reactionary tariff adjustments by other countries may also contribute to inflationary cost increases. As a result, we have taken pricing actions, which may continue going forward, and implemented transformation initiatives that we expect to improve productivity and offset cost increases. We anticipate supply chain pressures and inflationary cost increases due to potential tariffs and pressure on global manufacturing to continue into 2025.</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Pillar Two has negatively impacted our effective tax rate in 2024 and is likely to continue to impact our effective tax rate in the future. We continue to evaluate the enacted legislative changes and new guidance as it becomes available.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innovation, technology and sustainability;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our Transformation Program initiatives that will drive operational excellence, reduce complexity and improve our organizational structure, which includes the focus on 80/20 actions to drive profitable growth;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 consolidated results of operations were as follows: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1"/>
        </w:trPr>
        <w:tc>
          <w:tcPr>
            <w:tcW w:w="4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200" w:type="dxa"/>
            <w:vAlign w:val="bottom"/>
            <w:tcBorders>
              <w:bottom w:val="single" w:sz="8" w:color="auto"/>
            </w:tcBorders>
          </w:tcPr>
          <w:p>
            <w:pPr>
              <w:spacing w:after="0"/>
              <w:rPr>
                <w:sz w:val="24"/>
                <w:szCs w:val="24"/>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26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4,082.8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4,104.5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4,121.8</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2,484.0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2,585.3</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2,757.2</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1,598.8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1,519.2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1,364.6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680" w:type="dxa"/>
            <w:vAlign w:val="bottom"/>
          </w:tcPr>
          <w:p>
            <w:pPr>
              <w:jc w:val="center"/>
              <w:ind w:right="3333"/>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39.2 %</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37.0 %</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33.1 %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pts</w:t>
            </w: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i w:val="1"/>
                <w:iCs w:val="1"/>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222"/>
        </w:trPr>
        <w:tc>
          <w:tcPr>
            <w:tcW w:w="4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701.4</w:t>
            </w:r>
          </w:p>
        </w:tc>
        <w:tc>
          <w:tcPr>
            <w:tcW w:w="30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680.2</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680" w:type="dxa"/>
            <w:vAlign w:val="bottom"/>
            <w:shd w:val="clear" w:color="auto" w:fill="CCEEFF"/>
          </w:tcPr>
          <w:p>
            <w:pPr>
              <w:jc w:val="center"/>
              <w:ind w:right="3333"/>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17.2 %</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16.6 %</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16.4 %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pts</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i w:val="1"/>
                <w:iCs w:val="1"/>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99.8</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680" w:type="dxa"/>
            <w:vAlign w:val="bottom"/>
            <w:shd w:val="clear" w:color="auto" w:fill="CCEEFF"/>
          </w:tcPr>
          <w:p>
            <w:pPr>
              <w:jc w:val="center"/>
              <w:ind w:right="3333"/>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2.3 %</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2.4 %</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2.2 %</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(0.1) pts</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i w:val="1"/>
                <w:iCs w:val="1"/>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216"/>
        </w:trPr>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803.8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739.2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680" w:type="dxa"/>
            <w:vAlign w:val="bottom"/>
          </w:tcPr>
          <w:p>
            <w:pPr>
              <w:jc w:val="center"/>
              <w:ind w:right="3333"/>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19.7 %</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18.0 %</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14.4 %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pts</w:t>
            </w: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i w:val="1"/>
                <w:iCs w:val="1"/>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222"/>
        </w:trPr>
        <w:tc>
          <w:tcPr>
            <w:tcW w:w="4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88.6</w:t>
            </w:r>
          </w:p>
        </w:tc>
        <w:tc>
          <w:tcPr>
            <w:tcW w:w="30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718.9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618.9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tcPr>
          <w:p>
            <w:pPr>
              <w:spacing w:after="0"/>
              <w:rPr>
                <w:sz w:val="19"/>
                <w:szCs w:val="19"/>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3"/>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i w:val="1"/>
                <w:iCs w:val="1"/>
                <w:color w:val="auto"/>
              </w:rPr>
              <w:t>Effective tax rate</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13.0 %</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12.2 %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pts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(12.8) pts</w:t>
            </w:r>
          </w:p>
        </w:tc>
      </w:t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were as follows: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4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24"/>
                <w:szCs w:val="24"/>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7"/>
              </w:rPr>
              <w:t>6.4</w:t>
            </w:r>
          </w:p>
        </w:tc>
        <w:tc>
          <w:tcPr>
            <w:tcW w:w="20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jc w:val="center"/>
              <w:ind w:right="3373"/>
              <w:spacing w:after="0"/>
              <w:rPr>
                <w:sz w:val="20"/>
                <w:szCs w:val="20"/>
                <w:color w:val="auto"/>
              </w:rPr>
            </w:pPr>
            <w:r>
              <w:rPr>
                <w:rFonts w:ascii="Times New Roman" w:cs="Times New Roman" w:eastAsia="Times New Roman" w:hAnsi="Times New Roman"/>
                <w:sz w:val="18"/>
                <w:szCs w:val="18"/>
                <w:color w:val="auto"/>
                <w:w w:val="99"/>
              </w:rPr>
              <w:t>Core growth</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7"/>
              </w:rPr>
              <w:t>4.4</w:t>
            </w:r>
          </w:p>
        </w:tc>
        <w:tc>
          <w:tcPr>
            <w:tcW w:w="200" w:type="dxa"/>
            <w:vAlign w:val="bottom"/>
          </w:tcPr>
          <w:p>
            <w:pPr>
              <w:spacing w:after="0"/>
              <w:rPr>
                <w:sz w:val="19"/>
                <w:szCs w:val="19"/>
                <w:color w:val="auto"/>
              </w:rPr>
            </w:pPr>
          </w:p>
        </w:tc>
      </w:tr>
      <w:tr>
        <w:trPr>
          <w:trHeight w:val="229"/>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0.5 percent decrease in consolidated net sales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residential flow and industrial solutions businesses within our Flow segment compared to the prior year;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Water Solutions segment compared to the prior year, in addition to a business exit in our residential business in 2024 and the completion of a large project in 2023 within our commercial business that did not recur in 2024;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line exit in our Pool segment that occurred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of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flow business within our Flow segment compared to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within our Pool segment due to higher demand compared to the prior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G &amp; F Manufacturing completed in the fourth quarter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2.2 percentage point increase in gross profit as a percentage of net sales in 2024 from 2023 was primarily the result of:</w:t>
      </w:r>
    </w:p>
    <w:p>
      <w:pPr>
        <w:spacing w:after="0" w:line="15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in selling prices to mitigate impacts of inflationary costs;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inflationary cost increases related to labor costs and certain raw materials;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and write-offs of $11.3 million recorded in 2024, compared to $7.0 million recorded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0.6 percentage point increase in SG&amp;A expense as a percentage of net sales in 2024 from 2023 was driven by:</w:t>
      </w:r>
    </w:p>
    <w:p>
      <w:pPr>
        <w:spacing w:after="0" w:line="15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transformation costs of $52.0 million in 2024, compared to $44.3 million in 2023;</w:t>
      </w:r>
    </w:p>
    <w:p>
      <w:pPr>
        <w:spacing w:after="0" w:line="17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restructuring costs of $34.4 million in 2024, compared to $9.1 million in 2023; and</w:t>
      </w:r>
    </w:p>
    <w:p>
      <w:pPr>
        <w:spacing w:after="0" w:line="17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charges of $6.3 million in 2024, compared to $0.9 million in 2023.</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legal accrual of $7.5 million in 2024, compared to an increase in our legal accrual of $2.2 million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25.1 percent decrease in net interest expense in 2024 from 2023 was the result of:</w:t>
      </w:r>
    </w:p>
    <w:p>
      <w:pPr>
        <w:spacing w:after="0" w:line="15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lower variable-rate debt compared to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13.6 percentage point increase in the effective tax rate in 2024 from 2023 was primarily due to:</w:t>
      </w:r>
    </w:p>
    <w:p>
      <w:pPr>
        <w:spacing w:after="0" w:line="153"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impacts in the prior year that did not recur in the current year, including worthless stock deductions related to exiting certain businesses in our Water Solutions segment and increases in tax basis of assets located in foreign jurisdictions;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primarily related to the repatriation of earnings in 2024 which did not occur in 2023;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mix of global earnings.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discrete items that occurred during 2024 primarily related to changes in uncertain tax positions.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2023 Comparison with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discussion of changes in our consolidated results of operations, segment results of operations and liquidity and capital resources from the year ended December 31, 2023 to December 31, 2022 can be found in Part II, ITEM 7, Management’s Discussion and Analysis of Financial Condition and Results of Operations of our Annual Report on Form 10-K for the year ended December 31, 2023, which was filed with the SEC on February 20, 2024. However, such discussion is not incorporated by reference into, and does not constitute a part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1,514.0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1,582.1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4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318.1</w:t>
            </w:r>
          </w:p>
        </w:tc>
        <w:tc>
          <w:tcPr>
            <w:tcW w:w="3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282.3</w:t>
            </w:r>
          </w:p>
        </w:tc>
        <w:tc>
          <w:tcPr>
            <w:tcW w:w="34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3900" w:type="dxa"/>
            <w:vAlign w:val="bottom"/>
            <w:shd w:val="clear" w:color="auto" w:fill="CCEEFF"/>
          </w:tcPr>
          <w:p>
            <w:pPr>
              <w:jc w:val="right"/>
              <w:ind w:right="2794"/>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17.8 %</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16.1 %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i w:val="1"/>
                <w:iCs w:val="1"/>
                <w:color w:val="auto"/>
              </w:rPr>
              <w:t>3.2</w:t>
            </w: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i w:val="1"/>
                <w:iCs w:val="1"/>
                <w:color w:val="auto"/>
                <w:w w:val="97"/>
              </w:rPr>
              <w:t>pts</w:t>
            </w: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i w:val="1"/>
                <w:iCs w:val="1"/>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c>
          <w:tcPr>
            <w:tcW w:w="20" w:type="dxa"/>
            <w:vAlign w:val="bottom"/>
          </w:tcPr>
          <w:p>
            <w:pPr>
              <w:spacing w:after="0"/>
              <w:rPr>
                <w:sz w:val="17"/>
                <w:szCs w:val="17"/>
                <w:color w:val="auto"/>
              </w:rPr>
            </w:pPr>
          </w:p>
        </w:tc>
      </w:tr>
      <w:tr>
        <w:trPr>
          <w:trHeight w:val="36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Flow net sales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7.1</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900" w:type="dxa"/>
            <w:vAlign w:val="bottom"/>
            <w:shd w:val="clear" w:color="auto" w:fill="CCEEFF"/>
          </w:tcPr>
          <w:p>
            <w:pPr>
              <w:jc w:val="right"/>
              <w:ind w:right="2794"/>
              <w:spacing w:after="0"/>
              <w:rPr>
                <w:sz w:val="20"/>
                <w:szCs w:val="20"/>
                <w:color w:val="auto"/>
              </w:rPr>
            </w:pPr>
            <w:r>
              <w:rPr>
                <w:rFonts w:ascii="Times New Roman" w:cs="Times New Roman" w:eastAsia="Times New Roman" w:hAnsi="Times New Roman"/>
                <w:sz w:val="18"/>
                <w:szCs w:val="18"/>
                <w:color w:val="auto"/>
              </w:rPr>
              <w:t>Core growth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8"/>
              </w:rPr>
              <w:t>(4.3)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5.1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0.3</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48"/>
        </w:trPr>
        <w:tc>
          <w:tcPr>
            <w:tcW w:w="3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tcBorders>
              <w:bottom w:val="single" w:sz="8" w:color="auto"/>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5.4 %</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4.3 percent decrease in net sales for Flow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residential flow and industrial solutions businesses compared to the prior year.</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flow business compared to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auto"/>
            </w:tcBorders>
          </w:tcPr>
          <w:p>
            <w:pPr>
              <w:ind w:left="860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Pr>
          <w:p>
            <w:pPr>
              <w:spacing w:after="0"/>
              <w:rPr>
                <w:sz w:val="19"/>
                <w:szCs w:val="19"/>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(5.6)</w:t>
            </w:r>
          </w:p>
        </w:tc>
        <w:tc>
          <w:tcPr>
            <w:tcW w:w="260" w:type="dxa"/>
            <w:vAlign w:val="bottom"/>
            <w:shd w:val="clear" w:color="auto" w:fill="CCEEFF"/>
          </w:tcPr>
          <w:p>
            <w:pPr>
              <w:spacing w:after="0"/>
              <w:rPr>
                <w:sz w:val="19"/>
                <w:szCs w:val="19"/>
                <w:color w:val="auto"/>
              </w:rPr>
            </w:pPr>
          </w:p>
        </w:tc>
      </w:tr>
      <w:tr>
        <w:trPr>
          <w:trHeight w:val="229"/>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rPr>
                <w:sz w:val="19"/>
                <w:szCs w:val="19"/>
                <w:color w:val="auto"/>
              </w:rPr>
            </w:pPr>
          </w:p>
        </w:tc>
      </w:tr>
      <w:tr>
        <w:trPr>
          <w:trHeight w:val="248"/>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3.2 percentage point increase in segment income for Flow as a percentage of net sales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200" w:type="dxa"/>
            <w:vAlign w:val="bottom"/>
            <w:tcBorders>
              <w:bottom w:val="single" w:sz="8" w:color="auto"/>
            </w:tcBorders>
          </w:tcPr>
          <w:p>
            <w:pPr>
              <w:spacing w:after="0"/>
              <w:rPr>
                <w:sz w:val="20"/>
                <w:szCs w:val="20"/>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1,131.0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1,177.2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255.1</w:t>
            </w:r>
          </w:p>
        </w:tc>
        <w:tc>
          <w:tcPr>
            <w:tcW w:w="3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247.6</w:t>
            </w:r>
          </w:p>
        </w:tc>
        <w:tc>
          <w:tcPr>
            <w:tcW w:w="340" w:type="dxa"/>
            <w:vAlign w:val="bottom"/>
          </w:tcPr>
          <w:p>
            <w:pPr>
              <w:spacing w:after="0"/>
              <w:rPr>
                <w:sz w:val="19"/>
                <w:szCs w:val="19"/>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22.6 %</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15.1 %</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i w:val="1"/>
                <w:iCs w:val="1"/>
                <w:color w:val="auto"/>
              </w:rPr>
              <w:t>1.6</w:t>
            </w:r>
          </w:p>
        </w:tc>
        <w:tc>
          <w:tcPr>
            <w:tcW w:w="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w w:val="97"/>
              </w:rPr>
              <w:t>pts</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i w:val="1"/>
                <w:iCs w:val="1"/>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46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were as follows: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22"/>
                <w:szCs w:val="22"/>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Core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2"/>
              </w:rPr>
              <w:t>(3.6)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2"/>
              </w:rPr>
              <w:t>(0.1)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9"/>
                <w:szCs w:val="19"/>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2"/>
              </w:rPr>
              <w:t>(0.2)</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3.9 percent decrease in net sales for Water Solutions in 2024 from 2023 was primarily the result of:</w:t>
      </w:r>
    </w:p>
    <w:p>
      <w:pPr>
        <w:spacing w:after="0" w:line="173"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prior year, in addition to the completion of a large project in 2023 within our commercial business that did not recur in 2024;</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prior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exit in our residential business that occurred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auto"/>
            </w:tcBorders>
          </w:tcPr>
          <w:p>
            <w:pPr>
              <w:ind w:left="862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56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(0.5)</w:t>
            </w:r>
          </w:p>
        </w:tc>
        <w:tc>
          <w:tcPr>
            <w:tcW w:w="260" w:type="dxa"/>
            <w:vAlign w:val="bottom"/>
          </w:tcPr>
          <w:p>
            <w:pPr>
              <w:spacing w:after="0"/>
              <w:rPr>
                <w:sz w:val="19"/>
                <w:szCs w:val="19"/>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(4.7)</w:t>
            </w:r>
          </w:p>
        </w:tc>
        <w:tc>
          <w:tcPr>
            <w:tcW w:w="260" w:type="dxa"/>
            <w:vAlign w:val="bottom"/>
            <w:shd w:val="clear" w:color="auto" w:fill="CCEEFF"/>
          </w:tcPr>
          <w:p>
            <w:pPr>
              <w:spacing w:after="0"/>
              <w:rPr>
                <w:sz w:val="19"/>
                <w:szCs w:val="19"/>
                <w:color w:val="auto"/>
              </w:rPr>
            </w:pPr>
          </w:p>
        </w:tc>
      </w:tr>
      <w:tr>
        <w:trPr>
          <w:trHeight w:val="230"/>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auto"/>
            </w:tcBorders>
          </w:tcPr>
          <w:p>
            <w:pPr>
              <w:spacing w:after="0"/>
              <w:rPr>
                <w:sz w:val="19"/>
                <w:szCs w:val="19"/>
                <w:color w:val="auto"/>
              </w:rPr>
            </w:pPr>
          </w:p>
        </w:tc>
      </w:tr>
      <w:tr>
        <w:trPr>
          <w:trHeight w:val="248"/>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1.6 percentage point increase in segment income for Water Solutions as a percentage of net sales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2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1,436.1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1,343.6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1,632.7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4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476.5</w:t>
            </w:r>
          </w:p>
        </w:tc>
        <w:tc>
          <w:tcPr>
            <w:tcW w:w="3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417.0</w:t>
            </w:r>
          </w:p>
        </w:tc>
        <w:tc>
          <w:tcPr>
            <w:tcW w:w="34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33.2 %</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31.0 %</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28.3 %</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i w:val="1"/>
                <w:iCs w:val="1"/>
                <w:color w:val="auto"/>
              </w:rPr>
              <w:t>2.2</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i w:val="1"/>
                <w:iCs w:val="1"/>
                <w:color w:val="auto"/>
                <w:w w:val="97"/>
              </w:rPr>
              <w:t>pts</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i w:val="1"/>
                <w:iCs w:val="1"/>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97"/>
              </w:rPr>
              <w:t>pts</w:t>
            </w:r>
          </w:p>
        </w:tc>
      </w:tr>
      <w:tr>
        <w:trPr>
          <w:trHeight w:val="36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7"/>
        </w:trPr>
        <w:tc>
          <w:tcPr>
            <w:tcW w:w="3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Borders>
              <w:bottom w:val="single" w:sz="8" w:color="auto"/>
            </w:tcBorders>
          </w:tcPr>
          <w:p>
            <w:pPr>
              <w:spacing w:after="0"/>
              <w:rPr>
                <w:sz w:val="24"/>
                <w:szCs w:val="24"/>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7"/>
              </w:rPr>
              <w:t>2.9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Core growth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7"/>
              </w:rPr>
              <w:t>7.0</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7"/>
              </w:rPr>
              <w:t>0.1</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6.9 %</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6.9 percent increase in net sales for Pool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due to higher demand compared to the prior year;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G &amp; F Manufacturing completed in the fourth quarter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line exit that occurred in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auto"/>
            </w:tcBorders>
          </w:tcPr>
          <w:p>
            <w:pPr>
              <w:ind w:left="862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56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(2.9)</w:t>
            </w:r>
          </w:p>
        </w:tc>
        <w:tc>
          <w:tcPr>
            <w:tcW w:w="260" w:type="dxa"/>
            <w:vAlign w:val="bottom"/>
          </w:tcPr>
          <w:p>
            <w:pPr>
              <w:spacing w:after="0"/>
              <w:rPr>
                <w:sz w:val="19"/>
                <w:szCs w:val="19"/>
                <w:color w:val="auto"/>
              </w:rPr>
            </w:pPr>
          </w:p>
        </w:tc>
      </w:tr>
      <w:tr>
        <w:trPr>
          <w:trHeight w:val="230"/>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10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8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2.2 percentage point increase in segment income for Pool as a percentage of net sales in 2024 from 2023 was primarily the result of:</w:t>
      </w:r>
    </w:p>
    <w:p>
      <w:pPr>
        <w:spacing w:after="0" w:line="17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driven by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5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tcBorders>
              <w:bottom w:val="single" w:sz="8" w:color="auto"/>
            </w:tcBorders>
          </w:tcPr>
          <w:p>
            <w:pPr>
              <w:spacing w:after="0"/>
              <w:rPr>
                <w:sz w:val="22"/>
                <w:szCs w:val="22"/>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2025 net sales. The decrease in our overall backlog from the prior year was primarily driven by our backlog trending down to more historical levels as a result of increased manufacturing capacity and improved lead times within each of our reportable segments as well as timing of delivery of orders associated with certain advance sale (“early buy”) programs within our Pool segment.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2024 and drew on our revolving credit facility to fund our operations. This cash usage reversed in the second quarter of 2024 as the seasonality of our businesses peaked and generated significant cash to fund our operations. In the second half of 2024, we funded our operations using our strong cash flow and revolving credit facility.</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End-user demand for pool equipment in the Pool segment, water solution products in the Water Solutions segment, and residential water supply and agricultural products within the Flow segment follows warm weather trends, with seasonal highs ranging from April to September.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 2024, as part of our Pool reportable segment, we completed the acquisition of G &amp; F Manufacturing for approximately $116.0 million in cash, net of cash acquired, including an upfront cash payment of $108.0 million. We funded the purchase price for this acquisition with cash on hand.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29"/>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r>
      <w:tr>
        <w:trPr>
          <w:trHeight w:val="234"/>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2024, net cash provided by operating activities of continuing operations primarily reflects net income from continuing operations, net of non-cash depreciation, definite-lived intangible amortization and asset impairment, of $757.8 million.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net cash provided by operating activities of continuing operations primarily reflects net income from continuing operations, net of non-cash depreciation, definite-lived intangible amortization, asset impairment and deferred income taxes, of $653.1 million. Additionally, we had a cash outflow of $61.3 million as a result of changes in net working capital, primarily due to an increase in accounts receivable and decreases in accounts payable and other current liability balances, partially offset by lower inventory compared to December 31, 2022. Decreases in inventory and accounts payable were primarily related to supply chain efficiencies and improved lead times.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investing activities in 2024 primarily reflects net cash paid of $108.0 million for the acquisition of G &amp; F Manufacturing, capital expenditures of $74.4 million and cash paid upon the settlement of net investment hedges of $5.8 million.</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2023 primarily reflects capital expenditures of $76.0 million and cash paid upon the settlement of net investment hedges of $18.5 million, partially offset by proceeds from the sale of property and equipment of $5.6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net cash used for financing activities primarily relates to the repayment of $200.0 million of term loans under the Senior Credit Facility (as defined below), $162.5 million of principal payments on the Term Loan Facility (as defined below), dividend payments of $152.3 million and share repurchases of $150.0 million.</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net cash used for financing activities primarily relates to net repayments of revolving long-term debt of $320.0 million and dividend payments of $145.2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 cash flow from continuing operations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total availability under the Senior Credit Facility was $890.5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December 31, 2024, the remaining obligation of $825.0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December 31, 2024. Borrowings under these credit facilities bear interest at variable rates.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December 31, 2024 as we have the intent and ability to refinance such obligations on a long-term basis under the revolving credit facility under the Senior Credit Facility.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$89.5 million of cash held in certain countries in which the ability to repatriate is limited due to local regulations or significant potential tax consequences.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share capital consists of 426.0 million ordinary shares with a par value of $0.01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no ordinary shares were repurchased. During the year ended December 31, 2024, we repurchased 1.6 million of our ordinary shares for $150.0 million. As of December 31, 2024, we had $450.0 million available for share repurchases under this authorization.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16, 2024, the Board of Directors approved a regular quarterly cash dividend of $0.25 per share that was paid on February 7, 2025 to shareholders of record at the close of business on January 24, 2025. This dividend reflects a 9 percent increase in the Company’s regular cash dividend rate.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Consolidated Balance Sheets was $41.2 million at December 31, 2024. Dividends paid per ordinary share were $0.92, $0.88 and $0.84 for the years ended December 31, 2024, 2023 and 2022,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GAAP reported amount (e.g., retained earnings). Our distributable reserve balance was $6.8 billion and $6.9 billion as of December 31, 2024 and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December 31, 2024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auto"/>
            </w:tcBorders>
            <w:vMerge w:val="continue"/>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4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40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40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0" w:type="dxa"/>
            <w:vAlign w:val="bottom"/>
          </w:tcPr>
          <w:p>
            <w:pPr>
              <w:spacing w:after="0"/>
              <w:rPr>
                <w:sz w:val="1"/>
                <w:szCs w:val="1"/>
                <w:color w:val="auto"/>
              </w:rPr>
            </w:pPr>
          </w:p>
        </w:tc>
      </w:tr>
      <w:tr>
        <w:trPr>
          <w:trHeight w:val="233"/>
        </w:trPr>
        <w:tc>
          <w:tcPr>
            <w:tcW w:w="54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40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bl>
    <w:p>
      <w:pPr>
        <w:ind w:left="200" w:hanging="174"/>
        <w:spacing w:after="0" w:line="208" w:lineRule="auto"/>
        <w:tabs>
          <w:tab w:leader="none" w:pos="2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No assets due from non-guarantor subsidiaries were included.</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assets due from non-guarantor subsidiaries of $2,547.3 million.</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liabilities due to non-guarantor subsidiaries of $1,843.0 million.</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liabilities due to non-guarantor subsidiaries of $151.5 million.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From Contractual Obligations and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we have the ability to meet our short-term and long-term cash requirements by using available cash and internally generated funds and to borrow under our committed and uncommitted credit facilities. The following summarizes our material cash requirements from significant contractual obligations and purchase commitments that impact our liquidity as of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60" w:type="dxa"/>
            <w:vAlign w:val="bottom"/>
          </w:tcPr>
          <w:p>
            <w:pPr>
              <w:spacing w:after="0"/>
              <w:rPr>
                <w:sz w:val="17"/>
                <w:szCs w:val="17"/>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Next Twelve</w:t>
            </w:r>
          </w:p>
        </w:tc>
        <w:tc>
          <w:tcPr>
            <w:tcW w:w="18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Greater Than</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Twelve Months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 (Note 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obligations on fixed-rate debt</w:t>
            </w:r>
          </w:p>
        </w:tc>
        <w:tc>
          <w:tcPr>
            <w:tcW w:w="1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sublease rentals (Note 15)</w:t>
            </w:r>
          </w:p>
        </w:tc>
        <w:tc>
          <w:tcPr>
            <w:tcW w:w="1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plan benefit payments (Note 11)</w:t>
            </w:r>
          </w:p>
        </w:tc>
        <w:tc>
          <w:tcPr>
            <w:tcW w:w="1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purchase obligations</w:t>
            </w:r>
          </w:p>
        </w:tc>
        <w:tc>
          <w:tcPr>
            <w:tcW w:w="1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 net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purchase obligations primarily include service and marketing contracts as well as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significant contractual obligations described above, we will incur annual interest expense on outstanding variable rate debt. As of December 31, 2024, variable interest rate debt was $843.8 million at a weighted average interest rate of 5.84%. Inclusive of our interest rate swaps and collars, our weighted average interest rate on our variable rate debt was 5.59% as of December 31, 2024. Refer to ITEM 8, Note 9 of the Notes to Consolidated Financial Statements for additional information regarding our interest rate swaps and collars.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at December 31, 2024 was estimated to be $6.0 million. We record penalties and interest related to unrecognized tax benefits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which is consistent with our past practices. As of December 31, 2024, we had recorded $3.9 million related to the possible payment of interest and recorded no liabilities for the possible payment of penalties.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outstanding value of bonds, letters of credit and bank guarantees totaled $102.1 million and $124.3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8, Note 1 of the Notes to Consolidated Financial Statements, included in this Form 10-K, for information pertaining to accounting standards recently adopted or to be adopted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U.S.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assumptions about matters that were uncertain at the time we were making the estimate;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which would have had a material impact on our financial condition or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include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a qualitative assessment was performed. As a result, it was determined that it was more likely than not that the fair value of the reporting units exceeded their respective carrying values. Factors considered in the analysis included the 2023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fair value or the carrying amount of its net assets. We consider positive and mitigating events and circumstances that may affect its determination of whether it is more likely than not that the fair value exceeds the carrying amount.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For the 2023 annual impairment test, the estimated fair value significantly exceeded the carrying value in each of our reporting units, therefore, no impairment charge was required. The non-recurring fair value measurement is a “Level 3” measurement under the fair value hierarchy described in ITEM 8, Note 9 of the Notes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No impairment charges associated with identifiable intangibles with finite lives were recognized in 2024 or 2023.</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2024 or 2023 as a result of our annual impairment assessment.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pre-tax gains of $5.3 million and $17.5 million in 2024 and 2022, respectively, and a pre-tax loss of $6.1 million in 2023. The remaining components of pension expense, including service and interest costs and the expected return on plan assets, are recorded on a quarterly basis as ongoing pension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discount rate reflects the current rate at which the pension liabilities could be effectively settled. The discount rate was determined by matching our expected benefit payments to payments from a stream of bonds rated AA or higher available in the marketplace. There are no known or anticipated changes in our discount rate assumptions that will impact our pension expense in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rate of return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Sensitivity to changes in key assumptions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100 basis point increase or decrease in the discount rates used to measure our U.S. defined-benefit pension and other post-retirement plans would result in an approximate decrease of $5 million or increase of $6 million in our total projected benefit obligation. A 100 basis point increase or decrease in the assumed rate of return on pension assets or discount rates for our U.S. pension and other post-retirement benefit plans would result in an immaterial change in our ongoing pension expense. These estimates exclude any potential mark-to-market adjustments.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estimates. Additionally, we record receivables from third party insurers when recovery has been determined to be probable.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debt portfolio as of December 31, 2024, was comprised of debt denominated in U.S. dollars. This debt portfolio is comprised of 49% fixed-rate debt and 51%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fixed-rate debt included in our debt portfolio, as of December 31, 2024, a 100 basis point increase or decrease in interest rates would result in approximately a $42 million decrease or a $45 million increase in fair value of total fixed rate debt outstanding,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December 31, 2024, we had an aggregate notional amount of $300.0 million and $200.0 million in interest rate swaps and collars, respectively, that are designated as cash flow hedges. Refer to ITEM 8, Note 9 of the Notes to Consolidated Financial Statements for additional information regarding our interest rate swaps and collars.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100 basis point fluctuation in interest rates associated with our variable-rate debt as of December 31, 2024, inclusive of our interest rate swaps and collars, would result in an approximately $5 million increase or decrease in interest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currency exchange. However, our results of operations and assets and liabilities are reported in U.S. dollars and thus will fluctuate with changes in exchange rates between such local currencies and the U.S. dollar.</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2024, there were no outstanding foreign currency derivative contracts.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and subsequently recognized in the Consolidated Statements of Operations and Comprehensive Income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hedged item affects earnings.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we had outstanding cross currency swap agreements with a combined notional amount of $728.5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or a 10% depreciation of the U.S. dollar relative to the Euro would result in a change in accumulated other comprehensive income of approximately $68 million. However, the change in other comprehensive income would be offset by decreases or increases in the hedged items on our balance sheet.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2024. In making this assessment, management used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management believes that, as of December 31, 2024, the Company’s internal control over financial reporting was effective based on those criteria.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issued an attestation report on the Company’s internal control over financial reporting as of December 31, 2024. That attestation report is set forth immediately following this management report.</w:t>
      </w:r>
    </w:p>
    <w:p>
      <w:pPr>
        <w:sectPr>
          <w:pgSz w:w="11900" w:h="16838" w:orient="portrait"/>
          <w:cols w:equalWidth="0" w:num="1">
            <w:col w:w="11240"/>
          </w:cols>
          <w:pgMar w:left="320" w:top="887"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L. Stauch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Vice President, Chief Financial Officer and Chief Accounting</w:t>
      </w: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ectPr>
          <w:pgSz w:w="11900" w:h="16838" w:orient="portrait"/>
          <w:cols w:equalWidth="0" w:num="2">
            <w:col w:w="5200" w:space="720"/>
            <w:col w:w="532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3" w:name="page44"/>
    <w:bookmarkEnd w:id="43"/>
    <w:p>
      <w:pPr>
        <w:ind w:right="50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Pentair plc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Pentair plc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Pentair plc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Pentair plc and subsidiaries (the “Company”) as of December 31, 2024 and 2023, the related consolidated statements of operations and comprehensive income, cash flows and changes in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290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Completeness of Uncertain Tax Positions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Refer to Notes 1 and 10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uncertain tax positions (“UTPs”)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2024, the Company’s recorded UTP balance was $6.0 million.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UTP analysis is complex as it includes numerous tax jurisdictions and varying applications of tax laws. Given the multiple jurisdictions in which the Company operates and the complexity of tax regulations, auditing the completeness of UTPs involved a high degree of auditor judgment, and an increased extent of audit effort, including the need to involve our tax specialists.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to evaluate the completeness of UTPs in material jurisdictions included the following, among others:</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determination of the existence of UTPs.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assessed the Company’s determination of the existence of UTPs. In particular, our procedures included:</w:t>
      </w:r>
    </w:p>
    <w:p>
      <w:pPr>
        <w:spacing w:after="0" w:line="10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the Company’s significant judgments related to completeness of UTPs in material jurisdictions:</w:t>
      </w:r>
    </w:p>
    <w:p>
      <w:pPr>
        <w:spacing w:after="0" w:line="171" w:lineRule="exact"/>
        <w:rPr>
          <w:rFonts w:ascii="Times New Roman" w:cs="Times New Roman" w:eastAsia="Times New Roman" w:hAnsi="Times New Roman"/>
          <w:sz w:val="18"/>
          <w:szCs w:val="18"/>
          <w:color w:val="auto"/>
        </w:rPr>
      </w:pPr>
    </w:p>
    <w:p>
      <w:pPr>
        <w:ind w:left="1960" w:hanging="332"/>
        <w:spacing w:after="0" w:line="282" w:lineRule="auto"/>
        <w:tabs>
          <w:tab w:leader="none" w:pos="195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inquiries of management to assess whether they are aware of any new items or significant changes to the business that would impact the UTP assessment or give rise to new UTPs.</w:t>
      </w:r>
    </w:p>
    <w:p>
      <w:pPr>
        <w:spacing w:after="0" w:line="107" w:lineRule="exact"/>
        <w:rPr>
          <w:rFonts w:ascii="Times New Roman" w:cs="Times New Roman" w:eastAsia="Times New Roman" w:hAnsi="Times New Roman"/>
          <w:sz w:val="18"/>
          <w:szCs w:val="18"/>
          <w:color w:val="auto"/>
        </w:rPr>
      </w:pPr>
    </w:p>
    <w:p>
      <w:pPr>
        <w:ind w:left="1960" w:hanging="332"/>
        <w:spacing w:after="0" w:line="282" w:lineRule="auto"/>
        <w:tabs>
          <w:tab w:leader="none" w:pos="195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following: technical merits of existing UTPs, technical merits of potential UTPs, and significant transactions and their tax implications, including the completeness and accuracy of the underlying data supporting the transactions.</w:t>
      </w:r>
    </w:p>
    <w:p>
      <w:pPr>
        <w:spacing w:after="0" w:line="10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appropriateness and consistency of management’s methods and assumptions used in identifying UTPs.</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former and ongoing tax audits by tax authorities.</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changes in and assessed the Company’s interpretation of applicable tax laws.</w:t>
      </w:r>
    </w:p>
    <w:p>
      <w:pPr>
        <w:spacing w:after="0" w:line="17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the Company’s summary of differences between the filed tax returns and the tax provision to obtain an understanding of significant differences. We assessed whether the appropriate UTPs were recorded as well as whether any additional UTPs needed to be considered.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w:t>
            </w:r>
          </w:p>
        </w:tc>
      </w:tr>
      <w:tr>
        <w:trPr>
          <w:trHeight w:val="23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30"/>
        </w:trPr>
        <w:tc>
          <w:tcPr>
            <w:tcW w:w="6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6"/>
        </w:trPr>
        <w:tc>
          <w:tcPr>
            <w:tcW w:w="69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625.4</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622.7</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480.9</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ind w:left="454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360" w:type="dxa"/>
            <w:vAlign w:val="bottom"/>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$9.1 and $11.2,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29"/>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3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3"/>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4,632.3</w:t>
            </w:r>
          </w:p>
        </w:tc>
      </w:tr>
      <w:tr>
        <w:trPr>
          <w:trHeight w:val="22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CCEEFF"/>
          </w:tcPr>
          <w:p>
            <w:pPr>
              <w:ind w:left="47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short-term borrowings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5"/>
        </w:trPr>
        <w:tc>
          <w:tcPr>
            <w:tcW w:w="8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164.8 and 165.3 issued at December 31, 2024 and 2023,</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6,563.3</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Pentair plc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r>
      <w:tr>
        <w:trPr>
          <w:trHeight w:val="202"/>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625.4</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622.7</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480.9</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discontinued operations, net of tax</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49"/>
        </w:trPr>
        <w:tc>
          <w:tcPr>
            <w:tcW w:w="7580" w:type="dxa"/>
            <w:vAlign w:val="bottom"/>
          </w:tcPr>
          <w:p>
            <w:pPr>
              <w:ind w:left="160"/>
              <w:spacing w:after="0" w:line="149" w:lineRule="exact"/>
              <w:rPr>
                <w:sz w:val="20"/>
                <w:szCs w:val="20"/>
                <w:color w:val="auto"/>
              </w:rPr>
            </w:pPr>
            <w:r>
              <w:rPr>
                <w:rFonts w:ascii="Times New Roman" w:cs="Times New Roman" w:eastAsia="Times New Roman" w:hAnsi="Times New Roman"/>
                <w:sz w:val="15"/>
                <w:szCs w:val="15"/>
                <w:b w:val="1"/>
                <w:bCs w:val="1"/>
                <w:color w:val="auto"/>
              </w:rPr>
              <w:t>Adjustments to reconcile net income from continuing operations to net cash provided by operating activities of</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9"/>
        </w:trPr>
        <w:tc>
          <w:tcPr>
            <w:tcW w:w="758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income of unconsolidated subsidiaries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Asset impairment and write-offs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bridge financing debt issuance costs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Pension and other post-retirement expense (benefit)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Pension and other post-retirement contributions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Gain on sale of assets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Changes in assets and liabilities, net of effects of business acquisitions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75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r>
      <w:tr>
        <w:trPr>
          <w:trHeight w:val="20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Inventories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w:t>
            </w:r>
          </w:p>
        </w:tc>
      </w:tr>
      <w:tr>
        <w:trPr>
          <w:trHeight w:val="200"/>
        </w:trPr>
        <w:tc>
          <w:tcPr>
            <w:tcW w:w="75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r>
      <w:tr>
        <w:trPr>
          <w:trHeight w:val="20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w:t>
            </w:r>
          </w:p>
        </w:tc>
      </w:tr>
      <w:tr>
        <w:trPr>
          <w:trHeight w:val="200"/>
        </w:trPr>
        <w:tc>
          <w:tcPr>
            <w:tcW w:w="75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0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w:t>
            </w:r>
          </w:p>
        </w:tc>
      </w:tr>
      <w:tr>
        <w:trPr>
          <w:trHeight w:val="200"/>
        </w:trPr>
        <w:tc>
          <w:tcPr>
            <w:tcW w:w="7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8"/>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cash provided by operating activities of continuing operations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766.9</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620.8</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364.3</w:t>
            </w:r>
          </w:p>
        </w:tc>
      </w:tr>
      <w:tr>
        <w:trPr>
          <w:trHeight w:val="200"/>
        </w:trPr>
        <w:tc>
          <w:tcPr>
            <w:tcW w:w="7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Net cash used for operating activities of discontinued operations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619.2</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363.3</w:t>
            </w:r>
          </w:p>
        </w:tc>
      </w:tr>
      <w:tr>
        <w:trPr>
          <w:trHeight w:val="202"/>
        </w:trPr>
        <w:tc>
          <w:tcPr>
            <w:tcW w:w="7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expenditures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(1,580.9)</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(Payments) receipts upon the settlement of net investment hedges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03"/>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6"/>
        </w:trPr>
        <w:tc>
          <w:tcPr>
            <w:tcW w:w="75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(1,582.8)</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Net receipts of short-term borrowings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borrowings (repayments) of revolving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1,391.3</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of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Debt issuance costs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to employees, net of shares withheld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Repurchases of ordinary shares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Dividends paid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w:t>
            </w:r>
          </w:p>
        </w:tc>
      </w:tr>
      <w:tr>
        <w:trPr>
          <w:trHeight w:val="200"/>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(Payments) receipts upon the settlement of cross currency swaps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98"/>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cash (used for) provided by financing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1,232.7</w:t>
            </w:r>
          </w:p>
        </w:tc>
      </w:tr>
      <w:tr>
        <w:trPr>
          <w:trHeight w:val="202"/>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cash and cash equivalents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200"/>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Cash and cash equivalents, beginning of year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94.5</w:t>
            </w:r>
          </w:p>
        </w:tc>
      </w:tr>
      <w:tr>
        <w:trPr>
          <w:trHeight w:val="223"/>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end of year</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170.3</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8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03"/>
        </w:trPr>
        <w:tc>
          <w:tcPr>
            <w:tcW w:w="7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0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interest, net</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r>
      <w:tr>
        <w:trPr>
          <w:trHeight w:val="20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income taxes,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r>
    </w:tbl>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ectPr>
          <w:pgSz w:w="11900" w:h="16838" w:orient="portrait"/>
          <w:cols w:equalWidth="0" w:num="1">
            <w:col w:w="11180"/>
          </w:cols>
          <w:pgMar w:left="360" w:top="843"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43" w:right="35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0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99"/>
              <w:spacing w:after="0" w:line="14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2"/>
                <w:szCs w:val="12"/>
                <w:color w:val="auto"/>
              </w:rPr>
            </w:pPr>
          </w:p>
        </w:tc>
        <w:tc>
          <w:tcPr>
            <w:tcW w:w="960" w:type="dxa"/>
            <w:vAlign w:val="bottom"/>
          </w:tcPr>
          <w:p>
            <w:pPr>
              <w:jc w:val="right"/>
              <w:ind w:right="179"/>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4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net of shares tendered for payment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surrendered by employees to pay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2,708.1</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net of shares tendered for payment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surrendered by employees to pay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1,866.2</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3,217.1</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options, net of shares tendered for payment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surrendered by employees to pay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2,336.1</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ind w:right="5220" w:firstLine="8"/>
        <w:spacing w:after="0" w:line="263" w:lineRule="auto"/>
        <w:tabs>
          <w:tab w:leader="none" w:pos="6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Pentair plc and its consolidated subsidiaries (“we,” “us,” “our,” “Pentair” or the “Company”) is a water industrial manufacturing company comprised of three reportable segments: Flow, Water Solutions and Pool.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Pentair plc, its wholly-owned subsidiaries and entities for which the Company has a controlling financial interest.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U.S. dollars (“USD”) and in accordance with accounting principles generally accepted in the United States (“U.S.”)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over time revenue recognition, assets acquired and liabilities assumed in acquisitions, estimated selling proceeds from assets held for sale, contingent liabilities, income taxes and pension and other post-retirement benefits. Actual results could differ from our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performance obligations are satisfied at a point in time or over time as work progresses. Revenue from goods and services transferred to customers at a point in time accounted for 91.2%, 90.6% and 91.7% of our revenue for the years ended December 31, 2024, 2023 and 2022, respectively. Revenue on these contracts is recognized when obligations under the terms of the contract with our customer are satisfied; generally, this occurs with the transfer of control upon shipment.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products and services transferred to customers over time accounted for 8.8%, 9.4% and 8.3% of our revenue for the years ended December 31, 2024, 2023 and 2022,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2024, we had $103.2 million of remaining performance obligations on contracts with an original expected duration of one year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Amounts billed to customers for shipping and handling activities after the customer obtains control are treated as a promised service performance obligation and recorded in </w:t>
      </w: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accompanying Consolidated Statements of Operations and Comprehensive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Contract assets are recorded within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xml:space="preserve">, and contract liabilities are recorded within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8"/>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$9.2 million decrease in net contract assets from December 31, 2023 to December 31, 2024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95% of our contract liabilities at December 31, 2023 were recognized in revenue during the twelve months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recognized on our net contract assets for the twelve months ended December 31, 2024 and December 31,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in the Consolidated Statements of Operations and Comprehensive Income.</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category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reportable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30"/>
        </w:trPr>
        <w:tc>
          <w:tcPr>
            <w:tcW w:w="6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30"/>
        </w:trPr>
        <w:tc>
          <w:tcPr>
            <w:tcW w:w="66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48"/>
        </w:trPr>
        <w:tc>
          <w:tcPr>
            <w:tcW w:w="66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net sales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ind w:left="180" w:hanging="154"/>
        <w:spacing w:after="0" w:line="230" w:lineRule="auto"/>
        <w:tabs>
          <w:tab w:leader="none" w:pos="18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Developing includes China, Eastern Europe, Latin America, the Middle East and Southeast Asia.</w:t>
      </w:r>
    </w:p>
    <w:p>
      <w:pPr>
        <w:spacing w:after="0" w:line="57" w:lineRule="exact"/>
        <w:rPr>
          <w:rFonts w:ascii="Times New Roman" w:cs="Times New Roman" w:eastAsia="Times New Roman" w:hAnsi="Times New Roman"/>
          <w:sz w:val="19"/>
          <w:szCs w:val="19"/>
          <w:color w:val="auto"/>
          <w:vertAlign w:val="superscript"/>
        </w:rPr>
      </w:pPr>
    </w:p>
    <w:p>
      <w:pPr>
        <w:ind w:left="180" w:hanging="154"/>
        <w:spacing w:after="0" w:line="218" w:lineRule="auto"/>
        <w:tabs>
          <w:tab w:leader="none" w:pos="18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Developed includes Australia, Canada and Japan.</w:t>
      </w:r>
    </w:p>
    <w:p>
      <w:pPr>
        <w:spacing w:after="0" w:line="58" w:lineRule="exact"/>
        <w:rPr>
          <w:rFonts w:ascii="Times New Roman" w:cs="Times New Roman" w:eastAsia="Times New Roman" w:hAnsi="Times New Roman"/>
          <w:sz w:val="19"/>
          <w:szCs w:val="19"/>
          <w:color w:val="auto"/>
          <w:vertAlign w:val="superscript"/>
        </w:rPr>
      </w:pPr>
    </w:p>
    <w:p>
      <w:pPr>
        <w:ind w:left="180" w:hanging="154"/>
        <w:spacing w:after="0" w:line="218" w:lineRule="auto"/>
        <w:tabs>
          <w:tab w:leader="none" w:pos="18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Ireland, for each of the years presented, were not material.</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7"/>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r>
      <w:tr>
        <w:trPr>
          <w:trHeight w:val="230"/>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2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4,104.5</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4,121.8</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research and development (“R&amp;D”) activities primarily in our own facilities, which mostly consist of development of new products, product applications and manufacturing processes. We expense R&amp;D costs as incurred. R&amp;D expenditures during 2024, 2023 and 2022 were $93.6 million, $99.8 million and $92.2 million,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highly liquid investments with original maturities of three months or less at the date of acquisition to be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concentration of credit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generally do not require collateral.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(benefit)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6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96"/>
        </w:trPr>
        <w:tc>
          <w:tcPr>
            <w:tcW w:w="66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180" w:hanging="154"/>
        <w:spacing w:after="0" w:line="230" w:lineRule="auto"/>
        <w:tabs>
          <w:tab w:leader="none" w:pos="18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amounts are primarily the effects of changes in currency translations and the impact of allowance for credits.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substantially all inventories recorded using the first-in, first-out (“FIFO”) cost method.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Property, plant and equipment is stated at historical cost. We compute depreciation by the straight-line method based on the following estimated useful lives: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620" w:type="dxa"/>
            <w:vAlign w:val="bottom"/>
            <w:shd w:val="clear" w:color="auto" w:fill="CCEEFF"/>
          </w:tcPr>
          <w:p>
            <w:pPr>
              <w:jc w:val="center"/>
              <w:ind w:left="3350"/>
              <w:spacing w:after="0"/>
              <w:rPr>
                <w:sz w:val="20"/>
                <w:szCs w:val="20"/>
                <w:color w:val="auto"/>
              </w:rPr>
            </w:pPr>
            <w:r>
              <w:rPr>
                <w:rFonts w:ascii="Times New Roman" w:cs="Times New Roman" w:eastAsia="Times New Roman" w:hAnsi="Times New Roman"/>
                <w:sz w:val="18"/>
                <w:szCs w:val="18"/>
                <w:color w:val="auto"/>
                <w:w w:val="99"/>
              </w:rPr>
              <w:t>5 to 20</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620" w:type="dxa"/>
            <w:vAlign w:val="bottom"/>
          </w:tcPr>
          <w:p>
            <w:pPr>
              <w:jc w:val="center"/>
              <w:ind w:left="3350"/>
              <w:spacing w:after="0"/>
              <w:rPr>
                <w:sz w:val="20"/>
                <w:szCs w:val="20"/>
                <w:color w:val="auto"/>
              </w:rPr>
            </w:pPr>
            <w:r>
              <w:rPr>
                <w:rFonts w:ascii="Times New Roman" w:cs="Times New Roman" w:eastAsia="Times New Roman" w:hAnsi="Times New Roman"/>
                <w:sz w:val="18"/>
                <w:szCs w:val="18"/>
                <w:color w:val="auto"/>
                <w:w w:val="99"/>
              </w:rPr>
              <w:t>5 to 50</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620" w:type="dxa"/>
            <w:vAlign w:val="bottom"/>
            <w:shd w:val="clear" w:color="auto" w:fill="CCEEFF"/>
          </w:tcPr>
          <w:p>
            <w:pPr>
              <w:jc w:val="center"/>
              <w:ind w:left="3350"/>
              <w:spacing w:after="0"/>
              <w:rPr>
                <w:sz w:val="20"/>
                <w:szCs w:val="20"/>
                <w:color w:val="auto"/>
              </w:rPr>
            </w:pPr>
            <w:r>
              <w:rPr>
                <w:rFonts w:ascii="Times New Roman" w:cs="Times New Roman" w:eastAsia="Times New Roman" w:hAnsi="Times New Roman"/>
                <w:sz w:val="18"/>
                <w:szCs w:val="18"/>
                <w:color w:val="auto"/>
                <w:w w:val="99"/>
              </w:rPr>
              <w:t>3 to 15</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4620" w:type="dxa"/>
            <w:vAlign w:val="bottom"/>
          </w:tcPr>
          <w:p>
            <w:pPr>
              <w:jc w:val="center"/>
              <w:ind w:left="3350"/>
              <w:spacing w:after="0"/>
              <w:rPr>
                <w:sz w:val="20"/>
                <w:szCs w:val="20"/>
                <w:color w:val="auto"/>
              </w:rPr>
            </w:pPr>
            <w:r>
              <w:rPr>
                <w:rFonts w:ascii="Times New Roman" w:cs="Times New Roman" w:eastAsia="Times New Roman" w:hAnsi="Times New Roman"/>
                <w:sz w:val="18"/>
                <w:szCs w:val="18"/>
                <w:color w:val="auto"/>
                <w:w w:val="99"/>
              </w:rPr>
              <w:t>3 to 10</w:t>
            </w:r>
          </w:p>
        </w:tc>
      </w:tr>
    </w:tbl>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improvements that add to productive capacity or extend the lives of properties are capitalized. Costs for repairs and maintenance are charged to expense as incurred. We capitalize costs associated with software developed or obtained for internal use when both the preliminary project stage is completed, and it is probable the software being developed will be completed and placed in service. The costs of computer software developed or obtained for internal use are amortized on a straight-line basis unless another systematic and rational basis is more representative of the software’s use. When property or capitalized software is retired or otherwise disposed of, the recorded cost of the assets and their related accumulated depreciation are removed from the Consolidated Balance Sheets and any related gains or losses are included in income.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following table presents geographic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by region as of December 31:</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2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20" w:type="dxa"/>
            <w:vAlign w:val="bottom"/>
          </w:tcPr>
          <w:p>
            <w:pPr>
              <w:spacing w:after="0"/>
              <w:rPr>
                <w:sz w:val="19"/>
                <w:szCs w:val="19"/>
                <w:color w:val="auto"/>
              </w:rPr>
            </w:pPr>
          </w:p>
        </w:tc>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20" w:type="dxa"/>
            <w:vAlign w:val="bottom"/>
          </w:tcPr>
          <w:p>
            <w:pPr>
              <w:spacing w:after="0"/>
              <w:rPr>
                <w:sz w:val="19"/>
                <w:szCs w:val="19"/>
                <w:color w:val="auto"/>
              </w:rPr>
            </w:pPr>
          </w:p>
        </w:tc>
        <w:tc>
          <w:tcPr>
            <w:tcW w:w="79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20" w:type="dxa"/>
            <w:vAlign w:val="bottom"/>
          </w:tcPr>
          <w:p>
            <w:pPr>
              <w:spacing w:after="0"/>
              <w:rPr>
                <w:sz w:val="21"/>
                <w:szCs w:val="21"/>
                <w:color w:val="auto"/>
              </w:rPr>
            </w:pPr>
          </w:p>
        </w:tc>
        <w:tc>
          <w:tcPr>
            <w:tcW w:w="79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ind w:left="180" w:hanging="141"/>
        <w:spacing w:after="0"/>
        <w:tabs>
          <w:tab w:leader="none" w:pos="180"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Developing includes China, Eastern Europe, Latin America, the Middle East and Southeast Asia.</w:t>
      </w:r>
    </w:p>
    <w:p>
      <w:pPr>
        <w:spacing w:after="0" w:line="60" w:lineRule="exact"/>
        <w:rPr>
          <w:rFonts w:ascii="Times New Roman" w:cs="Times New Roman" w:eastAsia="Times New Roman" w:hAnsi="Times New Roman"/>
          <w:sz w:val="18"/>
          <w:szCs w:val="18"/>
          <w:color w:val="auto"/>
          <w:vertAlign w:val="superscript"/>
        </w:rPr>
      </w:pPr>
    </w:p>
    <w:p>
      <w:pPr>
        <w:ind w:left="180" w:hanging="141"/>
        <w:spacing w:after="0" w:line="231" w:lineRule="auto"/>
        <w:tabs>
          <w:tab w:leader="none" w:pos="180"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Developed includes Australia, Canada and Japan.</w:t>
      </w:r>
    </w:p>
    <w:p>
      <w:pPr>
        <w:spacing w:after="0" w:line="57" w:lineRule="exact"/>
        <w:rPr>
          <w:rFonts w:ascii="Times New Roman" w:cs="Times New Roman" w:eastAsia="Times New Roman" w:hAnsi="Times New Roman"/>
          <w:sz w:val="18"/>
          <w:szCs w:val="18"/>
          <w:color w:val="auto"/>
          <w:vertAlign w:val="superscript"/>
        </w:rPr>
      </w:pPr>
    </w:p>
    <w:p>
      <w:pPr>
        <w:ind w:left="200" w:hanging="161"/>
        <w:spacing w:after="0" w:line="207" w:lineRule="auto"/>
        <w:tabs>
          <w:tab w:leader="none" w:pos="20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i w:val="1"/>
          <w:iCs w:val="1"/>
          <w:color w:val="auto"/>
        </w:rPr>
        <w:t xml:space="preserve">Property, plant and equipment, net </w:t>
      </w:r>
      <w:r>
        <w:rPr>
          <w:rFonts w:ascii="Times New Roman" w:cs="Times New Roman" w:eastAsia="Times New Roman" w:hAnsi="Times New Roman"/>
          <w:sz w:val="15"/>
          <w:szCs w:val="15"/>
          <w:color w:val="auto"/>
        </w:rPr>
        <w:t>in Ireland, for each of the years presented, were not material.</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$9.2 million of long-lived asset impairment charges in 2022 comprised of long-lived assets which were primarily written off as a result of restructuring actions and certain business exits announced in the fourth quarter of 2022. No material long-lived asset impairment charges were recorded in 2024 or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2024, a qualitative assessment was performed. As a result, it was determined that it was more likely than not that the fair value of the reporting units exceeded their respective carrying values. Factors considered in the analysis included the 2023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For the 2023 annual impairment test, the estimated fair value significantly exceeded the carrying value in each of our reporting units, therefore, no impairment charge was required. The non-recurring fair value measurement is a “Level 3” measurement under the fair value hierarchy.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$2.7 million was recorded in 2022 related to the write-off of a proprietary technology intangible asset as a result of restructuring initiatives implemented in the fourth quarter of 2022. The impairment charge was recorded in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in our Consolidated Statements of Operations and Comprehensive Income. No impairment charges associated with identifiable intangibles with finite lives were recognized in 2024 or 2023.</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2024, 2023, or 2022 as a result of our annual impairment assessment.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xml:space="preserve"> and the interest costs, expected return on plan assets and net actuarial gain/loss components of net periodic pension and other post-retirement benefit costs are recorded within </w:t>
      </w:r>
      <w:r>
        <w:rPr>
          <w:rFonts w:ascii="Times New Roman" w:cs="Times New Roman" w:eastAsia="Times New Roman" w:hAnsi="Times New Roman"/>
          <w:sz w:val="18"/>
          <w:szCs w:val="18"/>
          <w:i w:val="1"/>
          <w:iCs w:val="1"/>
          <w:color w:val="auto"/>
        </w:rPr>
        <w:t>Other (income) expense.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subsidiary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2024 and 2023, reserves for policy claims were $68.6 million, of which $13.0 million was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$55.6 million was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non-current liabilities</w:t>
      </w:r>
      <w:r>
        <w:rPr>
          <w:rFonts w:ascii="Times New Roman" w:cs="Times New Roman" w:eastAsia="Times New Roman" w:hAnsi="Times New Roman"/>
          <w:sz w:val="18"/>
          <w:szCs w:val="18"/>
          <w:color w:val="auto"/>
        </w:rPr>
        <w:t>, and $64.9 million, of which $13.0 million was included in</w:t>
      </w:r>
      <w:r>
        <w:rPr>
          <w:rFonts w:ascii="Times New Roman" w:cs="Times New Roman" w:eastAsia="Times New Roman" w:hAnsi="Times New Roman"/>
          <w:sz w:val="18"/>
          <w:szCs w:val="18"/>
          <w:i w:val="1"/>
          <w:iCs w:val="1"/>
          <w:color w:val="auto"/>
        </w:rPr>
        <w:t xml:space="preserve"> Other current liabilities </w:t>
      </w:r>
      <w:r>
        <w:rPr>
          <w:rFonts w:ascii="Times New Roman" w:cs="Times New Roman" w:eastAsia="Times New Roman" w:hAnsi="Times New Roman"/>
          <w:sz w:val="18"/>
          <w:szCs w:val="18"/>
          <w:color w:val="auto"/>
        </w:rPr>
        <w:t>and $51.9 million was included in</w:t>
      </w:r>
      <w:r>
        <w:rPr>
          <w:rFonts w:ascii="Times New Roman" w:cs="Times New Roman" w:eastAsia="Times New Roman" w:hAnsi="Times New Roman"/>
          <w:sz w:val="18"/>
          <w:szCs w:val="18"/>
          <w:i w:val="1"/>
          <w:iCs w:val="1"/>
          <w:color w:val="auto"/>
        </w:rPr>
        <w:t xml:space="preserve"> Other non-current liabilities</w:t>
      </w:r>
      <w:r>
        <w:rPr>
          <w:rFonts w:ascii="Times New Roman" w:cs="Times New Roman" w:eastAsia="Times New Roman" w:hAnsi="Times New Roman"/>
          <w:sz w:val="18"/>
          <w:szCs w:val="18"/>
          <w:color w:val="auto"/>
        </w:rPr>
        <w:t>,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share awards and units (“RSUs”) are recorded as compensation cost over the requisite service periods based on the market value on the date of grant.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requisite service period for options and RSUs and the performance period for PSUs may be shorter than the vesting period if the employee becomes retirement eligible before the end of the vesting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ordinary share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 calculated using the two-class method.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recognize all derivatives, including those embedded in other contracts, as either assets or liabilities at fair value in our Consolidated Balance Sheets. If the derivative is designated and effective, the effective portion of changes in the fair value of the derivative is recorded in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(“AOCI”) as a separate component of equity in the Consolidated Balance Sheets and is recognized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recently adopted accounting standards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which expands annual and interim disclosure requirements for reportable segments, primarily through enhanced disclosures regarding significant expenses. We adopted the standard retrospectively beginning with our annual reporting for the year ended December 31, 2024. Refer to Note 14 for further information on our segment reporting.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new and enhanced disclosures primarily related to income taxes paid and the effective tax rate reconciliation. We will adopt the standard beginning with our annual reporting for the year ending December 31, 2025. We are currently evaluating the potential effect that the updated standard will have on our financial statement disclosures.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 Income Statement Expenses,” which requires disclosure of disaggregation of certain relevant expenses within the Consolidated Statements of Operations and Comprehensive Income on an annual and interim basis. We will adopt the standard beginning with our annual reporting for the year ending December 31, 2027. We are currently evaluating the effect that the updated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 2024, as part of our Pool reportable segment, we completed the acquisition of G &amp; F Manufacturing, LLC for $116.0 million in cash, net of cash acquired and subject to customary adjustments. The net purchase price is comprised of an upfront cash payment of $108.0 million, subject to customary adjustments, and the estimated fair value at the acquisition date of contingent earn-out liabilities based upon the achievement of certain defined operating results in the two years following the acquisition. The excess purchase price over tangible and identifiable intangible net assets acquired has been preliminarily allocated to goodwill in the amount of $56.6 million, all of which is expected to be deductible for income tax purposes. Identifiable intangible assets acquired consisted of $51.6 million of definite-lived customer relationships with an estimated useful life of 16 years. The pro forma impact of the acquisition was not material.</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as part of our Water Solutions reportable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Manitowoc Ice is a designer, manufacturer and distributor of commercial ice machines. The acquisition of Manitowoc Ice allows us to enhance and deliver our total water management offerings to an expanded network of channel partners and customers.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has been allocated based on the fair value of assets acquired and liabilities assumed at the date of the Manitowoc Ice acquisition. The purchase price allocation was completed in the third quarter of 2023.</w:t>
      </w:r>
    </w:p>
    <w:p>
      <w:pPr>
        <w:spacing w:after="0" w:line="10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to the fair value of assets acquired and liabilities assumed in the Manitowoc Ice acquisition: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2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4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purchase price over tangible net assets and identified intangible assets acquired has been allocated to goodwill in the amount of $789.7 million, all of which is deductible for income tax purposes. Goodwill recognized from the Manitowoc Ice acquisition primarily reflects the future economic benefit resulting from synergies of our combined operations.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9.</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 year ended December 31, 2022, non-recurring expense related to the fair value adjustment to acquisition-date inventory of $5.8 million, transaction-related charges of $19.9 million, and acquisition-related bridge financing costs of $9.0 million are reflected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Selling,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interest expense</w:t>
      </w:r>
      <w:r>
        <w:rPr>
          <w:rFonts w:ascii="Times New Roman" w:cs="Times New Roman" w:eastAsia="Times New Roman" w:hAnsi="Times New Roman"/>
          <w:sz w:val="18"/>
          <w:szCs w:val="18"/>
          <w:color w:val="auto"/>
        </w:rPr>
        <w:t>, respectively, in the Consolidated Statements of Operations and Comprehensive Income. Manitowoc Ice’s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operating income for the period from the acquisition date to December 31, 2022 were $156.3 million and $12.2 million, respectively. For the year ended December 31, 2022, Manitowoc’s operating income includes $28.6 million of identifiable intangible asset amortization expense and $5.8 million of amortization of inventory fair market value step-up.</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unaudited pro forma financial information as if the Manitowoc Ice acquisition had occurred on January 1, 2022, the beginning of the comparable prior annual reporting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2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ordinary share - continuing operations</w:t>
            </w: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includes Manitowoc Ice’s identifiable intangible asset amortization expense of $34.1 million for the year ended December 31, 2022. The unaudited pro forma net income from continuing operations for the year ended December 31, 2022 excludes the impact of $34.7 million of transaction-related charges, acquisition-related bridge financing costs and non-recurring expense related to the fair value adjustment to acquisition-date inventory.</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2022.</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625.6</w:t>
            </w:r>
          </w:p>
        </w:tc>
        <w:tc>
          <w:tcPr>
            <w:tcW w:w="34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622.9</w:t>
            </w:r>
          </w:p>
        </w:tc>
        <w:tc>
          <w:tcPr>
            <w:tcW w:w="44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Anti-dilutive stock options excluded from the calculation of diluted earnings per share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2023 and 2022,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during the years ended December 31, 2024, 2023 and 2022 included a reduction in hourly and salaried headcount of approximately 575 employees, 475 employees and 625 employees, respectively.</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expenses in the Consolidated Statements of Operations and Comprehensive Income included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4"/>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and write-offs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9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and write-offs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line="238" w:lineRule="auto"/>
        <w:tabs>
          <w:tab w:leader="none" w:pos="167"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Consists of inventory and long-lived asset impairments and write-offs associated with restructuring or transformation activities. An identifiable intangible asset was also impaired in 2022 as a result of certain business exits.</w:t>
      </w:r>
    </w:p>
    <w:p>
      <w:pPr>
        <w:spacing w:after="0" w:line="59" w:lineRule="exact"/>
        <w:rPr>
          <w:rFonts w:ascii="Times New Roman" w:cs="Times New Roman" w:eastAsia="Times New Roman" w:hAnsi="Times New Roman"/>
          <w:sz w:val="20"/>
          <w:szCs w:val="20"/>
          <w:color w:val="auto"/>
          <w:vertAlign w:val="superscript"/>
        </w:rPr>
      </w:pPr>
    </w:p>
    <w:p>
      <w:pPr>
        <w:ind w:left="180" w:right="20" w:hanging="172"/>
        <w:spacing w:after="0" w:line="238" w:lineRule="auto"/>
        <w:tabs>
          <w:tab w:leader="none" w:pos="167"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restructuring costs and related adjustments primarily consist of certain accruals and related refinements as well as various contract termination costs associated with business and product line exits.</w:t>
      </w:r>
    </w:p>
    <w:p>
      <w:pPr>
        <w:spacing w:after="0" w:line="51"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transformation costs primarily consist of professional services and project management related costs, partially offset by gain on sale of assets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 is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5"/>
              </w:rPr>
              <w:t>23.2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300" w:type="dxa"/>
            <w:vAlign w:val="bottom"/>
          </w:tcPr>
          <w:p>
            <w:pPr>
              <w:spacing w:after="0"/>
              <w:rPr>
                <w:sz w:val="19"/>
                <w:szCs w:val="19"/>
                <w:color w:val="auto"/>
              </w:rPr>
            </w:pPr>
          </w:p>
        </w:tc>
        <w:tc>
          <w:tcPr>
            <w:tcW w:w="11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Pr>
          <w:p>
            <w:pPr>
              <w:spacing w:after="0"/>
              <w:rPr>
                <w:sz w:val="19"/>
                <w:szCs w:val="19"/>
                <w:color w:val="auto"/>
              </w:rPr>
            </w:pPr>
          </w:p>
        </w:tc>
        <w:tc>
          <w:tcPr>
            <w:tcW w:w="11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5"/>
              </w:rPr>
              <w:t>15.1</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13.4</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2024 and 2023 by reportable segment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6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4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12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336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36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3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2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6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6"/>
                <w:szCs w:val="16"/>
                <w:color w:val="auto"/>
              </w:rPr>
            </w:pPr>
          </w:p>
        </w:tc>
        <w:tc>
          <w:tcPr>
            <w:tcW w:w="13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220" w:type="dxa"/>
            <w:vAlign w:val="bottom"/>
          </w:tcPr>
          <w:p>
            <w:pPr>
              <w:spacing w:after="0"/>
              <w:rPr>
                <w:sz w:val="16"/>
                <w:szCs w:val="16"/>
                <w:color w:val="auto"/>
              </w:rPr>
            </w:pPr>
          </w:p>
        </w:tc>
        <w:tc>
          <w:tcPr>
            <w:tcW w:w="12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140" w:type="dxa"/>
            <w:vAlign w:val="bottom"/>
          </w:tcPr>
          <w:p>
            <w:pPr>
              <w:spacing w:after="0"/>
              <w:rPr>
                <w:sz w:val="16"/>
                <w:szCs w:val="16"/>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vMerge w:val="continue"/>
          </w:tcPr>
          <w:p>
            <w:pPr>
              <w:spacing w:after="0"/>
              <w:rPr>
                <w:sz w:val="19"/>
                <w:szCs w:val="19"/>
                <w:color w:val="auto"/>
              </w:rPr>
            </w:pPr>
          </w:p>
        </w:tc>
        <w:tc>
          <w:tcPr>
            <w:tcW w:w="336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36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3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impairment of goodwill for any of the years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at December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4"/>
                <w:szCs w:val="14"/>
                <w:color w:val="auto"/>
              </w:rPr>
            </w:pPr>
          </w:p>
        </w:tc>
        <w:tc>
          <w:tcPr>
            <w:tcW w:w="12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00" w:type="dxa"/>
            <w:vAlign w:val="bottom"/>
          </w:tcPr>
          <w:p>
            <w:pPr>
              <w:spacing w:after="0"/>
              <w:rPr>
                <w:sz w:val="14"/>
                <w:szCs w:val="14"/>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00" w:type="dxa"/>
            <w:vAlign w:val="bottom"/>
          </w:tcPr>
          <w:p>
            <w:pPr>
              <w:spacing w:after="0"/>
              <w:rPr>
                <w:sz w:val="14"/>
                <w:szCs w:val="14"/>
                <w:color w:val="auto"/>
              </w:rPr>
            </w:pPr>
          </w:p>
        </w:tc>
        <w:tc>
          <w:tcPr>
            <w:tcW w:w="9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 amortization expense in 2024, 2023 and 2022 was $54.3 million, $55.3 million and $52.5 million,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impairment charge of $2.7 million was recorded in 2022 related to the write-off of a proprietary technology intangible asset as a result of a business exit announced in the fourth quarter of 2022. No impairment charge was recorded for identifiable intangible assets in 2024 or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next five years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 w:type="dxa"/>
            <w:vAlign w:val="bottom"/>
          </w:tcPr>
          <w:p>
            <w:pPr>
              <w:spacing w:after="0"/>
              <w:rPr>
                <w:sz w:val="20"/>
                <w:szCs w:val="20"/>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9"/>
                <w:szCs w:val="19"/>
                <w:color w:val="auto"/>
              </w:rPr>
            </w:pPr>
          </w:p>
        </w:tc>
      </w:tr>
      <w:tr>
        <w:trPr>
          <w:trHeight w:val="864"/>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tc>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5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in excess of billings</w:t>
            </w:r>
          </w:p>
        </w:tc>
        <w:tc>
          <w:tcPr>
            <w:tcW w:w="4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4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4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rebates and incentives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liability</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4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520" w:type="dxa"/>
            <w:vAlign w:val="bottom"/>
          </w:tcPr>
          <w:p>
            <w:pPr>
              <w:spacing w:after="0"/>
              <w:rPr>
                <w:sz w:val="24"/>
                <w:szCs w:val="24"/>
                <w:color w:val="auto"/>
              </w:rPr>
            </w:pPr>
          </w:p>
        </w:tc>
        <w:tc>
          <w:tcPr>
            <w:tcW w:w="384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Components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 value of derivative financial instruments, net of tax</w:t>
            </w:r>
          </w:p>
        </w:tc>
        <w:tc>
          <w:tcPr>
            <w:tcW w:w="2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8"/>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65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46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466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 at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5.533%</w:t>
            </w:r>
          </w:p>
        </w:tc>
        <w:tc>
          <w:tcPr>
            <w:tcW w:w="1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5.850%</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2023 - 2027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(Senior Credit Facility)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4.650%</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c>
          <w:tcPr>
            <w:tcW w:w="1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5.900%</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5.533%</w:t>
            </w:r>
          </w:p>
        </w:tc>
        <w:tc>
          <w:tcPr>
            <w:tcW w:w="1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short-term borrowings</w:t>
            </w:r>
          </w:p>
        </w:tc>
        <w:tc>
          <w:tcPr>
            <w:tcW w:w="2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80" w:hanging="154"/>
        <w:spacing w:after="0"/>
        <w:tabs>
          <w:tab w:leader="none" w:pos="18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Senior notes are guaranteed as to payment by Pentair plc.</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total availability under the Senior Credit Facility was $890.5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December 31, 2024, the remaining obligation of $825.0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December 31, 2024. Borrowings under these credit facilities bear interest at variable rates.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December 31, 2024 as we have the intent and ability to refinance such obligations on a long-term basis under the revolving credit facility under the Senior Credit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 December 31, 2024 matures on a calendar year basis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r>
    </w:tbl>
    <w:p>
      <w:pPr>
        <w:spacing w:after="0" w:line="248" w:lineRule="exact"/>
        <w:rPr>
          <w:sz w:val="20"/>
          <w:szCs w:val="20"/>
          <w:color w:val="auto"/>
        </w:rPr>
      </w:pPr>
    </w:p>
    <w:p>
      <w:pPr>
        <w:ind w:right="7960" w:firstLine="8"/>
        <w:spacing w:after="0" w:line="263" w:lineRule="auto"/>
        <w:tabs>
          <w:tab w:leader="none" w:pos="31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Derivatives and Financial Instruments </w:t>
      </w:r>
      <w:r>
        <w:rPr>
          <w:rFonts w:ascii="Times New Roman" w:cs="Times New Roman" w:eastAsia="Times New Roman" w:hAnsi="Times New Roman"/>
          <w:sz w:val="18"/>
          <w:szCs w:val="18"/>
          <w:b w:val="1"/>
          <w:bCs w:val="1"/>
          <w:i w:val="1"/>
          <w:iCs w:val="1"/>
          <w:color w:val="auto"/>
        </w:rPr>
        <w:t>Derivative financial instruments</w:t>
      </w:r>
    </w:p>
    <w:p>
      <w:pPr>
        <w:jc w:val="both"/>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there were no outstanding foreign currency derivative contracts. At December 31, 2023, we had outstanding foreign currency derivative contracts with gross notional U.S. dollar equivalent amounts of $23.9 million. The impact of these contracts on the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December 31, 2024 and 2023, we had outstanding cross currency swap agreements with a combined notional amount of $728.5 million and $940.2 million, respectively. The agreements are accounted for as either cash flow hedges, to hedge foreign currency fluctuations on certain intercompany debt, or as net investment hedges to manage our exposure to fluctuations in the Euro-U.S. Dollar exchange rate. As of December 31, 2024 and 2023, we had deferred foreign currency losses of $13.8 million and $51.6 million,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a cross currency swap agreement, which was accounted for as a cash flow hedge, matured, resulting in a net cash payment of $8.3 million, of which $9.1 million is included within financing activities and $0.8 million of interest income included within operating activities on the Consolidated Statements of Cash Flows.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we entered into transactions to early terminate and cash settle €450.0 million our cross currency swap agreements, resulting in total net cash received of $11.4 million, of which $10.6 million is included within investing activities and $0.8 million of interest income is included within operating activities on the Consolidated Statements of Cash Flows. Subsequent to the termination, we entered into new cross currency swap agreements with euro notional amounts matching the original swap agreements.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we entered into a transaction to early terminate and cash settle a €150 million cross currency swap agreement, resulting in a net cash payment of $16.1 million, of which $16.4 million is included in investing activities and $0.3 million of interest income is included within operating activities on the Consolidated Statements of Cash Flows. Subsequent to the termination, we entered into new cross currency swap agreements with euro notional amounts matching the original swap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we terminated a €150.0 million cross currency swap agreement, resulting in a net cash payment of $17.6 million, of which $18.5 million is included within investing activities and $0.9 million of interest income is included within operating activities on the Consolidated Statements of Cash Flows. Subsequent to the termination, we entered into new cross currency swaps with a combined notional amount of €300.0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December 31, 2024, we had an aggregate notional amount of $300.0 million and $200.0 million in interest rate swaps and collars, respectively, that are designated as cash flow hedges.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Consolidated Balance Sheets. We had unrealized gains of $1.9 million and $0.3 million at December 31, 2024 and 2023, respectively, recorded in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loss </w:t>
      </w:r>
      <w:r>
        <w:rPr>
          <w:rFonts w:ascii="Times New Roman" w:cs="Times New Roman" w:eastAsia="Times New Roman" w:hAnsi="Times New Roman"/>
          <w:sz w:val="18"/>
          <w:szCs w:val="18"/>
          <w:color w:val="auto"/>
        </w:rPr>
        <w:t>associated with our interest rate swap and collar activity. The periodic interest settlements related to our interest rate swaps and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operating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76" w:lineRule="exact"/>
        <w:rPr>
          <w:sz w:val="20"/>
          <w:szCs w:val="20"/>
          <w:color w:val="auto"/>
        </w:rPr>
      </w:pPr>
    </w:p>
    <w:p>
      <w:pPr>
        <w:ind w:left="1560" w:right="220" w:hanging="727"/>
        <w:spacing w:after="0" w:line="250" w:lineRule="auto"/>
        <w:tabs>
          <w:tab w:leader="none" w:pos="15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Valuation is based on observable inputs such as quoted market prices (unadjusted) for identical assets or liabilities in active markets.</w:t>
      </w:r>
    </w:p>
    <w:p>
      <w:pPr>
        <w:spacing w:after="0" w:line="41" w:lineRule="exact"/>
        <w:rPr>
          <w:sz w:val="20"/>
          <w:szCs w:val="20"/>
          <w:color w:val="auto"/>
        </w:rPr>
      </w:pPr>
    </w:p>
    <w:p>
      <w:pPr>
        <w:jc w:val="center"/>
        <w:ind w:left="940" w:right="2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for the asset or liability, either directly or indirectly, for substantially the full term of the financial instrument.</w:t>
      </w:r>
    </w:p>
    <w:p>
      <w:pPr>
        <w:spacing w:after="0" w:line="36" w:lineRule="exact"/>
        <w:rPr>
          <w:sz w:val="20"/>
          <w:szCs w:val="20"/>
          <w:color w:val="auto"/>
        </w:rPr>
      </w:pPr>
    </w:p>
    <w:p>
      <w:pPr>
        <w:ind w:left="8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both"/>
        <w:ind w:left="6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classified as Level 1 in the valuation hierarchy defined above; fair value of common/collective trusts are valued at net asset value (“NAV”), which is based on the fair value of the underlying securities owned by the fund and divided by the number of shares outstanding; and</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earn-out liabilities </w:t>
      </w:r>
      <w:r>
        <w:rPr>
          <w:rFonts w:ascii="Times New Roman" w:cs="Times New Roman" w:eastAsia="Times New Roman" w:hAnsi="Times New Roman"/>
          <w:sz w:val="18"/>
          <w:szCs w:val="18"/>
          <w:color w:val="auto"/>
        </w:rPr>
        <w:t>— fair value is generally established using a probability-weighted discounted income approach to convert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cash flows to a single present value amount. The related inputs are classified as Level 3 in the valuation hierarchy defined above.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 December 31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2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280" w:type="dxa"/>
            <w:vAlign w:val="bottom"/>
          </w:tcPr>
          <w:p>
            <w:pPr>
              <w:spacing w:after="0"/>
              <w:rPr>
                <w:sz w:val="14"/>
                <w:szCs w:val="14"/>
                <w:color w:val="auto"/>
              </w:rPr>
            </w:pP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NAV</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NAV</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G &amp; F Manufacturing, we recorded an estimated fair value of $8.0 million of contingent earn-out liabilities, which are considered Level 3 under our fair value hierarchy. The recorded fair value of the associated contingent earn-out liabilities was reviewed as of December 31, 2024, with no further change in fair value. The fair value of the contingent earn-out liabilities will be re-measured for each reporting period until resolution of the contingent earn-out payments, and any resulting changes to fair value would be recorded in earnings.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9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560.7</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550.6</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“Federal” reflects United Kingdom (“U.K.”) income (loss) from continuing operations before income taxes, given U.K. tax residency.</w:t>
      </w:r>
    </w:p>
    <w:p>
      <w:pPr>
        <w:spacing w:after="0" w:line="57" w:lineRule="exact"/>
        <w:rPr>
          <w:rFonts w:ascii="Times New Roman" w:cs="Times New Roman" w:eastAsia="Times New Roman" w:hAnsi="Times New Roman"/>
          <w:sz w:val="21"/>
          <w:szCs w:val="21"/>
          <w:color w:val="auto"/>
          <w:vertAlign w:val="superscript"/>
        </w:rPr>
      </w:pPr>
    </w:p>
    <w:p>
      <w:pPr>
        <w:ind w:left="200" w:hanging="192"/>
        <w:spacing w:after="0" w:line="198" w:lineRule="auto"/>
        <w:tabs>
          <w:tab w:leader="none" w:pos="2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reflects non-U.K.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7"/>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Currently payable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auto"/>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7"/>
        </w:trPr>
        <w:tc>
          <w:tcPr>
            <w:tcW w:w="6940" w:type="dxa"/>
            <w:vAlign w:val="bottom"/>
            <w:gridSpan w:val="2"/>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“Federal” represents U.K. taxes.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6"/>
        </w:trPr>
        <w:tc>
          <w:tcPr>
            <w:tcW w:w="6940" w:type="dxa"/>
            <w:vAlign w:val="bottom"/>
            <w:gridSpan w:val="2"/>
          </w:tcPr>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International” represents non-U.K. taxes.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Reconciliations of the federal statutory income tax rate to our effective tax rate were as follows: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1"/>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Percentages</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U.K. federal statutory income tax rate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color w:val="auto"/>
              </w:rPr>
              <w:t>25.0 %</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rPr>
              <w:t>23.5 %</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r>
      <w:tr>
        <w:trPr>
          <w:trHeight w:val="216"/>
        </w:trPr>
        <w:tc>
          <w:tcPr>
            <w:tcW w:w="69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international operations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Pr>
          <w:p>
            <w:pPr>
              <w:spacing w:after="0"/>
              <w:rPr>
                <w:sz w:val="18"/>
                <w:szCs w:val="18"/>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(7.6)</w:t>
            </w: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200" w:type="dxa"/>
            <w:vAlign w:val="bottom"/>
          </w:tcPr>
          <w:p>
            <w:pPr>
              <w:spacing w:after="0"/>
              <w:rPr>
                <w:sz w:val="18"/>
                <w:szCs w:val="18"/>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tax benefits on stock-based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00" w:type="dxa"/>
            <w:vAlign w:val="bottom"/>
          </w:tcPr>
          <w:p>
            <w:pPr>
              <w:spacing w:after="0"/>
              <w:rPr>
                <w:sz w:val="18"/>
                <w:szCs w:val="18"/>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Worthless stock deduction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940" w:type="dxa"/>
            <w:vAlign w:val="bottom"/>
            <w:tcBorders>
              <w:bottom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Change in tax basis in foreign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color w:val="auto"/>
              </w:rPr>
              <w:t>(8.0)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color w:val="auto"/>
              </w:rPr>
              <w:t>13.0 %</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rPr>
              <w:t>(0.6)%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line="238" w:lineRule="auto"/>
        <w:tabs>
          <w:tab w:leader="none" w:pos="167"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U.K. Finance Act of 2021 increased the statutory tax rate from 19.0% to 25.0%, effective April 1, 2023. Given this change, a prorated U.K. federal statutory income tax rate was utilized for 2023.</w:t>
      </w:r>
    </w:p>
    <w:p>
      <w:pPr>
        <w:spacing w:after="0" w:line="51"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tax effect of international operations consists of non-U.K. jurisdictions.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18" w:lineRule="auto"/>
        <w:tabs>
          <w:tab w:leader="none" w:pos="1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2023 impact primarily represents the initial recognition of tax basis in intangible assets in foreign jurisdictions and the related valuation allowance.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Reconciliations of the beginning and ending gross unrecognized tax benefits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for tax positions in prior periods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for tax positions in prior periods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related to settlements with taxing authorities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record gross unrecognized tax benefits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in the Consolidated Balance Sheets. The $6.0 million of total gross unrecognized tax benefits as of December 31, 2024, if recognized, would impact the effective tax rate. It is reasonably possible that the gross unrecognized tax benefits as of December 31, 2024 may decrease by a range of zero to $1.0 million during 2025, primarily as a result of the resolution of tax audits.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2009 to present are under audit by tax authorities in various jurisdictions, including Belgium, Germany and India. We anticipate that several of these audits may be concluded in the foreseeable future.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record penalties and interest related to unrecognized tax benefits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xml:space="preserve">, respectively, in the Consolidated Statements of Operations and Comprehensive Income. At December 31, 2024, we have no liabilities for the possible payment of penalties, and at December 31, 2023, we had liabilities of $0.3 million for the possible payment of penalties. At December 31, 2024 and 2023, we had $3.9 million and $6.4 million, respectively, for the possible payment of interest expense, which are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taxes were recorded in the Consolidated Balance Sheets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9"/>
                <w:szCs w:val="19"/>
                <w:color w:val="auto"/>
              </w:rPr>
            </w:pPr>
          </w:p>
        </w:tc>
      </w:tr>
      <w:tr>
        <w:trPr>
          <w:trHeight w:val="229"/>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r>
      <w:tr>
        <w:trPr>
          <w:trHeight w:val="248"/>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5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21"/>
                <w:szCs w:val="2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4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3660" w:type="dxa"/>
            <w:vAlign w:val="bottom"/>
          </w:tcPr>
          <w:p>
            <w:pPr>
              <w:spacing w:after="0"/>
              <w:rPr>
                <w:sz w:val="24"/>
                <w:szCs w:val="24"/>
                <w:color w:val="auto"/>
              </w:rPr>
            </w:pPr>
          </w:p>
        </w:tc>
        <w:tc>
          <w:tcPr>
            <w:tcW w:w="47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tax effects of the major items recorded as deferred tax assets and liabilities were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limitations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23"/>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tax loss carryforwards of $2,852.8 million were available to offset future income. A valuation allowance of $681.1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$2,796.5 million of which $1,762.4 million are located in jurisdictions with unlimited tax loss carryforward periods, while the remainder will begin to expire in 2025. In addition, there were $56.3 million of U.S. state tax loss carryforwards as of December 31, 2024. U.S. state tax losses of $7.3 million are in jurisdictions with unlimited tax loss carryforward periods, while the remainder will expire in future years through 2044.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taxes in the amount of $8.0 million have been provided on undistributed earnings of certain subsidiaries. 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For the year ended December 31, 2024, the impact of Pillar Two on our consolidated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following tables present reconciliations of plan benefit obligations, fair value of plan assets and the funded status of pension plans and other post-retirement plans as of and for the years ended December 31, 2024 and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80" w:type="dxa"/>
            <w:vAlign w:val="bottom"/>
          </w:tcPr>
          <w:p>
            <w:pPr>
              <w:spacing w:after="0"/>
              <w:rPr>
                <w:sz w:val="20"/>
                <w:szCs w:val="20"/>
                <w:color w:val="auto"/>
              </w:rPr>
            </w:pPr>
          </w:p>
        </w:tc>
        <w:tc>
          <w:tcPr>
            <w:tcW w:w="2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post-retirement plans</w:t>
            </w: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Settlement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Curtailment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Actuarial (gain) loss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 in excess of the fair value of plan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settlement and curtailment in 2024 related to a reduction in headcount in one of our pension plans as a result of ongoing transformation initiatives.</w:t>
      </w:r>
    </w:p>
    <w:p>
      <w:pPr>
        <w:spacing w:after="0" w:line="57" w:lineRule="exact"/>
        <w:rPr>
          <w:rFonts w:ascii="Times New Roman" w:cs="Times New Roman" w:eastAsia="Times New Roman" w:hAnsi="Times New Roman"/>
          <w:sz w:val="19"/>
          <w:szCs w:val="19"/>
          <w:color w:val="auto"/>
          <w:vertAlign w:val="superscript"/>
        </w:rPr>
      </w:pPr>
    </w:p>
    <w:p>
      <w:pPr>
        <w:ind w:left="180" w:hanging="172"/>
        <w:spacing w:after="0" w:line="239" w:lineRule="auto"/>
        <w:tabs>
          <w:tab w:leader="none" w:pos="167"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actuarial gain in 2024 was primarily due to increases in discount rates to reflect economic conditions at December 31, 2024. The actuarial loss in 2023 was primarily due to declines in discount rates to reflect economic conditions at December 31,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Amounts recorded in the Consolidated Balance Sheets were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80" w:type="dxa"/>
            <w:vAlign w:val="bottom"/>
          </w:tcPr>
          <w:p>
            <w:pPr>
              <w:spacing w:after="0"/>
              <w:rPr>
                <w:sz w:val="24"/>
                <w:szCs w:val="24"/>
                <w:color w:val="auto"/>
              </w:rPr>
            </w:pPr>
          </w:p>
        </w:tc>
        <w:tc>
          <w:tcPr>
            <w:tcW w:w="2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post-retirement plans</w:t>
            </w:r>
          </w:p>
        </w:tc>
      </w:tr>
      <w:tr>
        <w:trPr>
          <w:trHeight w:val="223"/>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our pension plans was $82.6 million and $93.4 million at December 31,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for pension plans with an accumulated benefit obligation or projected benefit obligation in excess of plan assets as of December 31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Projected benefit obligation</w:t>
            </w:r>
          </w:p>
        </w:tc>
        <w:tc>
          <w:tcPr>
            <w:tcW w:w="160" w:type="dxa"/>
            <w:vAlign w:val="bottom"/>
          </w:tcPr>
          <w:p>
            <w:pPr>
              <w:spacing w:after="0"/>
              <w:rPr>
                <w:sz w:val="17"/>
                <w:szCs w:val="17"/>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benefit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obligation</w:t>
            </w:r>
          </w:p>
        </w:tc>
      </w:tr>
      <w:tr>
        <w:trPr>
          <w:trHeight w:val="176"/>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exceeds the fair value</w:t>
            </w:r>
          </w:p>
        </w:tc>
        <w:tc>
          <w:tcPr>
            <w:tcW w:w="160" w:type="dxa"/>
            <w:vAlign w:val="bottom"/>
          </w:tcPr>
          <w:p>
            <w:pPr>
              <w:spacing w:after="0"/>
              <w:rPr>
                <w:sz w:val="15"/>
                <w:szCs w:val="15"/>
                <w:color w:val="auto"/>
              </w:rPr>
            </w:pPr>
          </w:p>
        </w:tc>
        <w:tc>
          <w:tcPr>
            <w:tcW w:w="27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b w:val="1"/>
                <w:bCs w:val="1"/>
                <w:color w:val="auto"/>
              </w:rPr>
              <w:t>exceeds the fair value of</w:t>
            </w:r>
          </w:p>
        </w:tc>
      </w:tr>
      <w:tr>
        <w:trPr>
          <w:trHeight w:val="238"/>
        </w:trPr>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of plan assets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plan assets</w:t>
            </w:r>
          </w:p>
        </w:tc>
        <w:tc>
          <w:tcPr>
            <w:tcW w:w="1000" w:type="dxa"/>
            <w:vAlign w:val="bottom"/>
            <w:tcBorders>
              <w:bottom w:val="single" w:sz="8" w:color="auto"/>
            </w:tcBorders>
          </w:tcPr>
          <w:p>
            <w:pPr>
              <w:spacing w:after="0"/>
              <w:rPr>
                <w:sz w:val="20"/>
                <w:szCs w:val="20"/>
                <w:color w:val="auto"/>
              </w:rPr>
            </w:pPr>
          </w:p>
        </w:tc>
      </w:tr>
      <w:tr>
        <w:trPr>
          <w:trHeight w:val="22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83.3 $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83.3 $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tcPr>
          <w:p>
            <w:pPr>
              <w:spacing w:after="0"/>
              <w:rPr>
                <w:sz w:val="19"/>
                <w:szCs w:val="19"/>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27.4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27.4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years ended December 31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7"/>
              </w:rPr>
              <w:t>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520" w:type="dxa"/>
            <w:vAlign w:val="bottom"/>
          </w:tcPr>
          <w:p>
            <w:pPr>
              <w:spacing w:after="0"/>
              <w:rPr>
                <w:sz w:val="19"/>
                <w:szCs w:val="19"/>
                <w:color w:val="auto"/>
              </w:rPr>
            </w:pPr>
          </w:p>
        </w:tc>
        <w:tc>
          <w:tcPr>
            <w:tcW w:w="1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3.9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w:t>
            </w:r>
          </w:p>
        </w:tc>
        <w:tc>
          <w:tcPr>
            <w:tcW w:w="252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2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(2.9)</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2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7"/>
              </w:rPr>
              <w:t>0.1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and income for our other post-retirement plans for the years ended December 31, 2024, 2023 and 2022,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provides the weighted-average assumptions used to determine benefit obligations and net periodic benefit cost as they pertain to our pension and other post-retirement plans.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Pension plans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post-retirement plans</w:t>
            </w:r>
          </w:p>
        </w:tc>
      </w:tr>
      <w:tr>
        <w:trPr>
          <w:trHeight w:val="22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assumptions</w:t>
            </w: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4.26 %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19"/>
                <w:szCs w:val="19"/>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5.31 %</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4.84 %</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5.11 %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expense assumptions</w:t>
            </w: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4.77 %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4.84 %</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5.11 %</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2.34 %</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4.76 %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Pr>
          <w:p>
            <w:pPr>
              <w:spacing w:after="0"/>
              <w:rPr>
                <w:sz w:val="19"/>
                <w:szCs w:val="19"/>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discount rate reflects the current rate at which the pension liabilities could be effectively settled. The discount rate was determined by matching our expected benefit payments to payments from a stream of bonds rated AA or higher available in the marketplace. There are no known or anticipated changes in our discount rate assumptions that will impact our pension expense in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rates of return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gains of 1.97% and 2.82% in 2024 and 2023, respectively, and a loss of 16.86% in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cost trend rates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healthcare cost trend rates for other post-retirement plans as of December 31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cost trend rate assumed for following year</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the cost trend rate reaches the ultimate trend rate</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Objective</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allocation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overall asset allocation for our pension plans as compared to our investment policy goals as of December 31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4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20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70 %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71 %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w:t>
            </w: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values of our pension plan assets and their respective levels in the fair value hierarchy as of December 31, 2024 and December 31, 2023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methodologies used for investments measured at fair value were as follows:</w:t>
      </w:r>
    </w:p>
    <w:p>
      <w:pPr>
        <w:spacing w:after="0" w:line="16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consists of cash held in bank accounts and is considered a Level 1 investment.</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 Other investments include investments in commingled funds with diversified investment strategies.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commingled funds that were valued based on unobservable inputs due to liquidation restrictions were classified as Level 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Activity for our Level 3 pension plan assets held during the year ended December 31, 2024 was as follows:</w:t>
            </w: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8"/>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8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received</w:t>
            </w:r>
          </w:p>
        </w:tc>
        <w:tc>
          <w:tcPr>
            <w:tcW w:w="8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8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8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our Level 3 pension plan assets held during the year ended December 31, 2023 was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Pension contributions totaled $11.2 million and $7.6 million in 2024 and 2023, respectively. We anticipate our 2025 pension contributions to be approximately $6.8 million. The 2025 expected contributions will equal or exceed our minimum funding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benefit payments, which reflect expected future service or payout from termination, as appropriate, are expected to be paid by the plans in each of the next five fiscal years and in the aggregate for the five fiscal years thereafter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60" w:type="dxa"/>
            <w:vAlign w:val="bottom"/>
          </w:tcPr>
          <w:p>
            <w:pPr>
              <w:spacing w:after="0"/>
              <w:rPr>
                <w:sz w:val="17"/>
                <w:szCs w:val="17"/>
                <w:color w:val="auto"/>
              </w:rPr>
            </w:pP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220" w:type="dxa"/>
            <w:vAlign w:val="bottom"/>
          </w:tcPr>
          <w:p>
            <w:pPr>
              <w:spacing w:after="0"/>
              <w:rPr>
                <w:sz w:val="17"/>
                <w:szCs w:val="17"/>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 post-</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vMerge w:val="continue"/>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38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401(k) plan (the “401(k) plan”) with an employee share ownership (“ESOP”) bonus component, which covers certain union and all non-union U.S. employees who meet certain age requirements. Under the 401(k) plan, eligible U.S. employees may voluntarily contribute a percentage of their eligible compensation. We match contributions made by employees who meet certain eligibility and service requirements. The 401(k) company match contribution is a dollar-for-dollar (100%) matching contribution on up to 5% of employee eligible earnings, contributed as before-tax contributions.</w:t>
      </w:r>
    </w:p>
    <w:p>
      <w:pPr>
        <w:spacing w:after="0" w:line="135" w:lineRule="exact"/>
        <w:rPr>
          <w:sz w:val="20"/>
          <w:szCs w:val="20"/>
          <w:color w:val="auto"/>
        </w:rPr>
      </w:pPr>
    </w:p>
    <w:p>
      <w:pPr>
        <w:ind w:right="920"/>
        <w:spacing w:after="0" w:line="355" w:lineRule="auto"/>
        <w:rPr>
          <w:sz w:val="20"/>
          <w:szCs w:val="20"/>
          <w:color w:val="auto"/>
        </w:rPr>
      </w:pPr>
      <w:r>
        <w:rPr>
          <w:rFonts w:ascii="Times New Roman" w:cs="Times New Roman" w:eastAsia="Times New Roman" w:hAnsi="Times New Roman"/>
          <w:sz w:val="18"/>
          <w:szCs w:val="18"/>
          <w:color w:val="auto"/>
        </w:rPr>
        <w:t xml:space="preserve">Our expense for the 401(k) plan, including the ESOP, was $19.7 million, $19.5 million and $21.4 million in 2024, 2023 and 2022, respectively. </w:t>
      </w:r>
      <w:r>
        <w:rPr>
          <w:rFonts w:ascii="Times New Roman" w:cs="Times New Roman" w:eastAsia="Times New Roman" w:hAnsi="Times New Roman"/>
          <w:sz w:val="18"/>
          <w:szCs w:val="18"/>
          <w:b w:val="1"/>
          <w:bCs w:val="1"/>
          <w:i w:val="1"/>
          <w:iCs w:val="1"/>
          <w:color w:val="auto"/>
        </w:rPr>
        <w:t>Other retirement compensation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Total other accrued retirement compensation, primarily related to deferred compensation and supplemental retirement plans, was $35.7 million and $32.7 million as of December 31, 2024 and 2023, respectively, and is included in </w:t>
      </w:r>
      <w:r>
        <w:rPr>
          <w:rFonts w:ascii="Times New Roman" w:cs="Times New Roman" w:eastAsia="Times New Roman" w:hAnsi="Times New Roman"/>
          <w:sz w:val="18"/>
          <w:szCs w:val="18"/>
          <w:i w:val="1"/>
          <w:iCs w:val="1"/>
          <w:color w:val="auto"/>
        </w:rPr>
        <w:t>Pension and other post-retirement compensation and benefits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Other non-current liabilities </w:t>
      </w:r>
      <w:r>
        <w:rPr>
          <w:rFonts w:ascii="Times New Roman" w:cs="Times New Roman" w:eastAsia="Times New Roman" w:hAnsi="Times New Roman"/>
          <w:sz w:val="18"/>
          <w:szCs w:val="18"/>
          <w:color w:val="auto"/>
        </w:rPr>
        <w:t>in the Consolidated Balance Sheets.</w:t>
      </w:r>
    </w:p>
    <w:p>
      <w:pPr>
        <w:spacing w:after="0" w:line="209" w:lineRule="exact"/>
        <w:rPr>
          <w:sz w:val="20"/>
          <w:szCs w:val="20"/>
          <w:color w:val="auto"/>
        </w:rPr>
      </w:pPr>
    </w:p>
    <w:p>
      <w:pPr>
        <w:ind w:right="9180" w:firstLine="8"/>
        <w:spacing w:after="0" w:line="263" w:lineRule="auto"/>
        <w:tabs>
          <w:tab w:leader="none" w:pos="40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Authorized shares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authorized share capital consists of 426.0 million ordinary shares with a par value of $0.01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no ordinary shares were repurchased. During the year ended December 31, 2024, we repurchased 1.6 million of our ordinary shares for $150.0 million. As of December 31, 2024, we had $450.0 million available for share repurchases under this authorization.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16, 2024, the Board of Directors approved a regular quarterly cash dividend of $0.25 per share that was paid on February 7, 2025 to shareholders of record at the close of business on January 24, 2025. This dividend reflects a 9 percent increase in the Company’s regular cash dividend rate.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Consolidated Balance Sheets was $41.2 million at December 31, 2024. Dividends paid per ordinary share were $0.92, $0.88 and $0.84 for the years ended December 31, 2024, 2023 and 2022, respectively.</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2024, 2023 and 2022 was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and incentive stock options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 performance shares and performance units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plans for the year ended December 31,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220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and intrinsic value in millions</w:t>
            </w:r>
          </w:p>
        </w:tc>
        <w:tc>
          <w:tcPr>
            <w:tcW w:w="2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3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vMerge w:val="continue"/>
          </w:tcPr>
          <w:p>
            <w:pPr>
              <w:spacing w:after="0"/>
              <w:rPr>
                <w:sz w:val="21"/>
                <w:szCs w:val="21"/>
                <w:color w:val="auto"/>
              </w:rPr>
            </w:pPr>
          </w:p>
        </w:tc>
        <w:tc>
          <w:tcPr>
            <w:tcW w:w="22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22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97"/>
              </w:rPr>
              <w:t>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45.07</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7"/>
              </w:rPr>
              <w:t>0.2</w:t>
            </w:r>
          </w:p>
        </w:tc>
        <w:tc>
          <w:tcPr>
            <w:tcW w:w="1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72.78</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tcBorders>
              <w:bottom w:val="single" w:sz="8" w:color="auto"/>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40.20</w:t>
            </w:r>
          </w:p>
        </w:tc>
        <w:tc>
          <w:tcPr>
            <w:tcW w:w="14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200" w:type="dxa"/>
            <w:vAlign w:val="bottom"/>
            <w:tcBorders>
              <w:bottom w:val="single" w:sz="8" w:color="auto"/>
            </w:tcBorders>
          </w:tcPr>
          <w:p>
            <w:pPr>
              <w:jc w:val="center"/>
              <w:ind w:left="1730"/>
              <w:spacing w:after="0"/>
              <w:rPr>
                <w:sz w:val="20"/>
                <w:szCs w:val="20"/>
                <w:color w:val="auto"/>
              </w:rPr>
            </w:pPr>
            <w:r>
              <w:rPr>
                <w:rFonts w:ascii="Times New Roman" w:cs="Times New Roman" w:eastAsia="Times New Roman" w:hAnsi="Times New Roman"/>
                <w:sz w:val="18"/>
                <w:szCs w:val="18"/>
                <w:color w:val="auto"/>
                <w:w w:val="97"/>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50.35</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22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46.36</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expected to vest as of December 31, 2024</w:t>
            </w:r>
          </w:p>
        </w:tc>
        <w:tc>
          <w:tcPr>
            <w:tcW w:w="22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7"/>
              </w:rPr>
              <w:t>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60.38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options granted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under the 2020 Share Plan in 2024, 2023 and 2022 was estimated to be $24.84, $14.03 and $17.88 per share, respectively. The total intrinsic value of options that were exercised during 2024, 2023 and 2022 was $32.0 million, $5.3 million and $0.7 million, respectively. At December 31, 2024, the total unrecognized compensation cost related to stock options was $3.6 million. This cost is expected to be recognized over a weighted average period of 1.9 years.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4.44 %</w:t>
            </w:r>
          </w:p>
        </w:tc>
        <w:tc>
          <w:tcPr>
            <w:tcW w:w="1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1.43 %</w:t>
            </w: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30.90 %</w:t>
            </w:r>
          </w:p>
        </w:tc>
        <w:tc>
          <w:tcPr>
            <w:tcW w:w="1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30.40 %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29.60 %</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for the years ended December 31, 2024, 2023 and 2022 was $28.5 million, $16.0 million and $2.5 million, respectively. The tax benefit related to options exercised was $6.7 million, $1.0 million and $0.1 million for the years ended December 31, 2024, 2023 and 2022,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all plans for the year ended December 31,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4060" w:type="dxa"/>
            <w:vAlign w:val="bottom"/>
            <w:vMerge w:val="restart"/>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4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auto"/>
            </w:tcBorders>
            <w:vMerge w:val="continue"/>
          </w:tcPr>
          <w:p>
            <w:pPr>
              <w:spacing w:after="0"/>
              <w:rPr>
                <w:sz w:val="21"/>
                <w:szCs w:val="21"/>
                <w:color w:val="auto"/>
              </w:rPr>
            </w:pPr>
          </w:p>
        </w:tc>
        <w:tc>
          <w:tcPr>
            <w:tcW w:w="4060" w:type="dxa"/>
            <w:vAlign w:val="bottom"/>
            <w:tcBorders>
              <w:bottom w:val="single" w:sz="8" w:color="auto"/>
            </w:tcBorders>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4060" w:type="dxa"/>
            <w:vAlign w:val="bottom"/>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97"/>
              </w:rPr>
              <w:t>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6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auto"/>
                <w:w w:val="97"/>
              </w:rPr>
              <w:t>0.3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shd w:val="clear" w:color="auto" w:fill="CCEEFF"/>
          </w:tcPr>
          <w:p>
            <w:pPr>
              <w:jc w:val="center"/>
              <w:ind w:left="3550"/>
              <w:spacing w:after="0"/>
              <w:rPr>
                <w:sz w:val="20"/>
                <w:szCs w:val="20"/>
                <w:color w:val="auto"/>
              </w:rPr>
            </w:pPr>
            <w:r>
              <w:rPr>
                <w:rFonts w:ascii="Times New Roman" w:cs="Times New Roman" w:eastAsia="Times New Roman" w:hAnsi="Times New Roman"/>
                <w:sz w:val="18"/>
                <w:szCs w:val="18"/>
                <w:color w:val="auto"/>
                <w:w w:val="98"/>
              </w:rPr>
              <w:t>(0.3)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60" w:type="dxa"/>
            <w:vAlign w:val="bottom"/>
            <w:tcBorders>
              <w:bottom w:val="single" w:sz="8" w:color="auto"/>
            </w:tcBorders>
          </w:tcPr>
          <w:p>
            <w:pPr>
              <w:jc w:val="center"/>
              <w:ind w:left="3550"/>
              <w:spacing w:after="0"/>
              <w:rPr>
                <w:sz w:val="20"/>
                <w:szCs w:val="20"/>
                <w:color w:val="auto"/>
              </w:rPr>
            </w:pPr>
            <w:r>
              <w:rPr>
                <w:rFonts w:ascii="Times New Roman" w:cs="Times New Roman" w:eastAsia="Times New Roman" w:hAnsi="Times New Roman"/>
                <w:sz w:val="18"/>
                <w:szCs w:val="18"/>
                <w:color w:val="auto"/>
                <w:w w:val="98"/>
              </w:rPr>
              <w:t>(0.1)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4060" w:type="dxa"/>
            <w:vAlign w:val="bottom"/>
            <w:tcBorders>
              <w:bottom w:val="single" w:sz="8" w:color="auto"/>
            </w:tcBorders>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97"/>
              </w:rPr>
              <w:t>0.5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$18.4 million of unrecognized compensation cost related to restricted share compensation arrangements granted under the 2020 Plan and previous plans. That cost is expected to be recognized over a weighted-average period of 0.8 years. The total fair value of shares vested during the years ended December 31, 2024, 2023 and 2022, was $14.9 million, $17.6 million and $11.7 million, respectively. The tax benefit related to restricted stock units vested was $3.4 million, $2.7 million and $2.1 million for the years ended December 31, 2024, 2023 and 2022,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under all plans for the year ended December 31,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4060" w:type="dxa"/>
            <w:vAlign w:val="bottom"/>
            <w:vMerge w:val="restart"/>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4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auto"/>
            </w:tcBorders>
            <w:vMerge w:val="continue"/>
          </w:tcPr>
          <w:p>
            <w:pPr>
              <w:spacing w:after="0"/>
              <w:rPr>
                <w:sz w:val="21"/>
                <w:szCs w:val="21"/>
                <w:color w:val="auto"/>
              </w:rPr>
            </w:pPr>
          </w:p>
        </w:tc>
        <w:tc>
          <w:tcPr>
            <w:tcW w:w="4060" w:type="dxa"/>
            <w:vAlign w:val="bottom"/>
            <w:tcBorders>
              <w:bottom w:val="single" w:sz="8" w:color="auto"/>
            </w:tcBorders>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4060" w:type="dxa"/>
            <w:vAlign w:val="bottom"/>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97"/>
              </w:rPr>
              <w:t>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6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auto"/>
                <w:w w:val="97"/>
              </w:rPr>
              <w:t>0.2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tcBorders>
              <w:bottom w:val="single" w:sz="8" w:color="auto"/>
            </w:tcBorders>
            <w:shd w:val="clear" w:color="auto" w:fill="CCEEFF"/>
          </w:tcPr>
          <w:p>
            <w:pPr>
              <w:jc w:val="center"/>
              <w:ind w:left="3550"/>
              <w:spacing w:after="0"/>
              <w:rPr>
                <w:sz w:val="20"/>
                <w:szCs w:val="20"/>
                <w:color w:val="auto"/>
              </w:rPr>
            </w:pPr>
            <w:r>
              <w:rPr>
                <w:rFonts w:ascii="Times New Roman" w:cs="Times New Roman" w:eastAsia="Times New Roman" w:hAnsi="Times New Roman"/>
                <w:sz w:val="18"/>
                <w:szCs w:val="18"/>
                <w:color w:val="auto"/>
                <w:w w:val="98"/>
              </w:rPr>
              <w:t>(0.2)</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4060" w:type="dxa"/>
            <w:vAlign w:val="bottom"/>
            <w:tcBorders>
              <w:bottom w:val="single" w:sz="8" w:color="auto"/>
            </w:tcBorders>
          </w:tcPr>
          <w:p>
            <w:pPr>
              <w:jc w:val="center"/>
              <w:ind w:left="3590"/>
              <w:spacing w:after="0"/>
              <w:rPr>
                <w:sz w:val="20"/>
                <w:szCs w:val="20"/>
                <w:color w:val="auto"/>
              </w:rPr>
            </w:pPr>
            <w:r>
              <w:rPr>
                <w:rFonts w:ascii="Times New Roman" w:cs="Times New Roman" w:eastAsia="Times New Roman" w:hAnsi="Times New Roman"/>
                <w:sz w:val="18"/>
                <w:szCs w:val="18"/>
                <w:color w:val="auto"/>
                <w:w w:val="97"/>
              </w:rPr>
              <w:t>0.4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expense recognized each period is dependent upon our estimate of the number of shares that will ultimately be issued. As of December 31, 2024, there was $15.8 million of unrecognized compensation cost related to performance share compensation arrangements granted under the 2020 Plan and previous plans. That cost is expected to be recognized over a weighted-average period of 1.2 years. The tax benefits related to performance share units were $0.9 million for the years ended December 31, 2024 and 2023, and $0.3 million for the year ended December 31, 2022.</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Pentair, our chief operating decision maker (“CODM”) is our President and Chief Executive Officer. We define our reportable segments on the basis of the way in which internally reported financial information is regularly reviewed by the CODM to analyze financial performance, make decisions and allocate resources. Based on this, we classify our operations into the following reportable segments:</w:t>
      </w:r>
    </w:p>
    <w:p>
      <w:pPr>
        <w:spacing w:after="0" w:line="128" w:lineRule="exact"/>
        <w:rPr>
          <w:sz w:val="20"/>
          <w:szCs w:val="20"/>
          <w:color w:val="auto"/>
        </w:rPr>
      </w:pPr>
    </w:p>
    <w:p>
      <w:pPr>
        <w:jc w:val="both"/>
        <w:ind w:left="660" w:hanging="328"/>
        <w:spacing w:after="0" w:line="25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jc w:val="both"/>
        <w:ind w:left="660" w:hanging="328"/>
        <w:spacing w:after="0" w:line="257"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 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CODM evaluates our reportable segments’ performance based on net sales and reportable segment income and uses certain ratios, particularly return on sales, to measure their performance. Additionally, these measures are used to evaluate reinvestment of profits into our reportable segments or into other parts of the Company, such as for acquisitions, debt repayments, dividend payments or share repurchases.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by reportable segment as well as a reconciliation of reportable segment income to consolidated income from continuing operations before income taxes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Identifiable assets </w:t>
            </w:r>
            <w:r>
              <w:rPr>
                <w:rFonts w:ascii="Times New Roman" w:cs="Times New Roman" w:eastAsia="Times New Roman" w:hAnsi="Times New Roman"/>
                <w:sz w:val="23"/>
                <w:szCs w:val="23"/>
                <w:b w:val="1"/>
                <w:bCs w:val="1"/>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2,695.2</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6,084.7</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60" w:hanging="152"/>
        <w:spacing w:after="0"/>
        <w:tabs>
          <w:tab w:leader="none" w:pos="160"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cash and cash equivalents are included in “Corporate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5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consolidated net sales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4,082.8</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4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(2)(4)</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(2)(3)(4)</w:t>
            </w: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mark-to-market gain</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r>
      <w:tr>
        <w:trPr>
          <w:trHeight w:val="21"/>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160" w:hanging="152"/>
        <w:spacing w:after="0"/>
        <w:tabs>
          <w:tab w:leader="none" w:pos="160"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One customer in the Pool business represented approximately 15% of our consolidated net sales in 2024.</w:t>
      </w:r>
    </w:p>
    <w:p>
      <w:pPr>
        <w:spacing w:after="0" w:line="37" w:lineRule="exact"/>
        <w:rPr>
          <w:rFonts w:ascii="Times New Roman" w:cs="Times New Roman" w:eastAsia="Times New Roman" w:hAnsi="Times New Roman"/>
          <w:sz w:val="19"/>
          <w:szCs w:val="19"/>
          <w:color w:val="auto"/>
          <w:vertAlign w:val="superscript"/>
        </w:rPr>
      </w:pPr>
    </w:p>
    <w:p>
      <w:pPr>
        <w:ind w:left="180" w:hanging="172"/>
        <w:spacing w:after="0" w:line="222" w:lineRule="auto"/>
        <w:tabs>
          <w:tab w:leader="none" w:pos="1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CODM, which includes certain corporate overhead allocations directly attributable to each of the segments.</w:t>
      </w:r>
    </w:p>
    <w:p>
      <w:pPr>
        <w:spacing w:after="0" w:line="20" w:lineRule="exact"/>
        <w:rPr>
          <w:rFonts w:ascii="Times New Roman" w:cs="Times New Roman" w:eastAsia="Times New Roman" w:hAnsi="Times New Roman"/>
          <w:sz w:val="21"/>
          <w:szCs w:val="21"/>
          <w:color w:val="auto"/>
          <w:vertAlign w:val="superscript"/>
        </w:rPr>
      </w:pPr>
    </w:p>
    <w:p>
      <w:pPr>
        <w:ind w:left="180" w:hanging="172"/>
        <w:spacing w:after="0" w:line="238" w:lineRule="auto"/>
        <w:tabs>
          <w:tab w:leader="none" w:pos="167"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19" w:lineRule="exact"/>
        <w:rPr>
          <w:rFonts w:ascii="Times New Roman" w:cs="Times New Roman" w:eastAsia="Times New Roman" w:hAnsi="Times New Roman"/>
          <w:sz w:val="20"/>
          <w:szCs w:val="20"/>
          <w:color w:val="auto"/>
          <w:vertAlign w:val="superscript"/>
        </w:rPr>
      </w:pPr>
    </w:p>
    <w:p>
      <w:pPr>
        <w:ind w:left="180" w:hanging="172"/>
        <w:spacing w:after="0" w:line="232" w:lineRule="auto"/>
        <w:tabs>
          <w:tab w:leader="none" w:pos="187"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costs exclude certain expenses reported in the Consolidated Statements of Operations and Comprehensive Income, including costs that are reflected in “Corporate and other” and expenses excluded from reportable segment income as defined above.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58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consolidated net sales </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(2)(4)</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(2)(3)(4)</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mark-to-market loss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r>
      <w:tr>
        <w:trPr>
          <w:trHeight w:val="21"/>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160" w:hanging="152"/>
        <w:spacing w:after="0"/>
        <w:tabs>
          <w:tab w:leader="none" w:pos="160"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One customer in the Pool business represented approximately 15% of our consolidated net sales in 2023.</w:t>
      </w:r>
    </w:p>
    <w:p>
      <w:pPr>
        <w:spacing w:after="0" w:line="37" w:lineRule="exact"/>
        <w:rPr>
          <w:rFonts w:ascii="Times New Roman" w:cs="Times New Roman" w:eastAsia="Times New Roman" w:hAnsi="Times New Roman"/>
          <w:sz w:val="19"/>
          <w:szCs w:val="19"/>
          <w:color w:val="auto"/>
          <w:vertAlign w:val="superscript"/>
        </w:rPr>
      </w:pPr>
    </w:p>
    <w:p>
      <w:pPr>
        <w:ind w:left="180" w:hanging="172"/>
        <w:spacing w:after="0" w:line="222" w:lineRule="auto"/>
        <w:tabs>
          <w:tab w:leader="none" w:pos="180" w:val="left"/>
        </w:tabs>
        <w:numPr>
          <w:ilvl w:val="0"/>
          <w:numId w:val="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CODM, which includes certain corporate overhead allocations directly attributable to each of the segments.</w:t>
      </w:r>
    </w:p>
    <w:p>
      <w:pPr>
        <w:spacing w:after="0" w:line="20" w:lineRule="exact"/>
        <w:rPr>
          <w:rFonts w:ascii="Times New Roman" w:cs="Times New Roman" w:eastAsia="Times New Roman" w:hAnsi="Times New Roman"/>
          <w:sz w:val="21"/>
          <w:szCs w:val="21"/>
          <w:color w:val="auto"/>
          <w:vertAlign w:val="superscript"/>
        </w:rPr>
      </w:pPr>
    </w:p>
    <w:p>
      <w:pPr>
        <w:ind w:left="180" w:hanging="172"/>
        <w:spacing w:after="0" w:line="238" w:lineRule="auto"/>
        <w:tabs>
          <w:tab w:leader="none" w:pos="167"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19" w:lineRule="exact"/>
        <w:rPr>
          <w:rFonts w:ascii="Times New Roman" w:cs="Times New Roman" w:eastAsia="Times New Roman" w:hAnsi="Times New Roman"/>
          <w:sz w:val="20"/>
          <w:szCs w:val="20"/>
          <w:color w:val="auto"/>
          <w:vertAlign w:val="superscript"/>
        </w:rPr>
      </w:pPr>
    </w:p>
    <w:p>
      <w:pPr>
        <w:ind w:left="180" w:hanging="172"/>
        <w:spacing w:after="0" w:line="232" w:lineRule="auto"/>
        <w:tabs>
          <w:tab w:leader="none" w:pos="187" w:val="left"/>
        </w:tabs>
        <w:numPr>
          <w:ilvl w:val="0"/>
          <w:numId w:val="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costs exclude certain expenses reported in the Consolidated Statements of Operations and Comprehensive Income, including costs that are reflected in “Corporate and other” and expenses excluded from reportable segment income as defined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986.8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52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consolidated net sales </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4,121.8</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(2)(4)</w:t>
            </w: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60" w:type="dxa"/>
            <w:vAlign w:val="bottom"/>
          </w:tcPr>
          <w:p>
            <w:pPr>
              <w:spacing w:after="0"/>
              <w:rPr>
                <w:sz w:val="19"/>
                <w:szCs w:val="19"/>
                <w:color w:val="auto"/>
              </w:rPr>
            </w:pPr>
          </w:p>
        </w:tc>
        <w:tc>
          <w:tcPr>
            <w:tcW w:w="14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(672.5)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(2)(3)(4)</w:t>
            </w:r>
          </w:p>
        </w:tc>
        <w:tc>
          <w:tcPr>
            <w:tcW w:w="7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(165.3)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149.0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step-up</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mark-to-market gain</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 business exit impact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60" w:hanging="152"/>
        <w:spacing w:after="0"/>
        <w:tabs>
          <w:tab w:leader="none" w:pos="16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One customer in the Pool business represented approximately 20% of our consolidated net sales in 2022.</w:t>
      </w:r>
    </w:p>
    <w:p>
      <w:pPr>
        <w:spacing w:after="0" w:line="37" w:lineRule="exact"/>
        <w:rPr>
          <w:rFonts w:ascii="Times New Roman" w:cs="Times New Roman" w:eastAsia="Times New Roman" w:hAnsi="Times New Roman"/>
          <w:sz w:val="19"/>
          <w:szCs w:val="19"/>
          <w:color w:val="auto"/>
          <w:vertAlign w:val="superscript"/>
        </w:rPr>
      </w:pPr>
    </w:p>
    <w:p>
      <w:pPr>
        <w:ind w:left="180" w:hanging="172"/>
        <w:spacing w:after="0" w:line="215" w:lineRule="auto"/>
        <w:tabs>
          <w:tab w:leader="none" w:pos="18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CODM, which includes certain corporate overhead allocations directly attributable to each of the segments.</w:t>
      </w:r>
    </w:p>
    <w:p>
      <w:pPr>
        <w:spacing w:after="0" w:line="19" w:lineRule="exact"/>
        <w:rPr>
          <w:rFonts w:ascii="Times New Roman" w:cs="Times New Roman" w:eastAsia="Times New Roman" w:hAnsi="Times New Roman"/>
          <w:sz w:val="21"/>
          <w:szCs w:val="21"/>
          <w:color w:val="auto"/>
          <w:vertAlign w:val="superscript"/>
        </w:rPr>
      </w:pPr>
    </w:p>
    <w:p>
      <w:pPr>
        <w:ind w:left="180" w:hanging="172"/>
        <w:spacing w:after="0" w:line="251" w:lineRule="auto"/>
        <w:tabs>
          <w:tab w:leader="none" w:pos="167"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11" w:lineRule="exact"/>
        <w:rPr>
          <w:rFonts w:ascii="Times New Roman" w:cs="Times New Roman" w:eastAsia="Times New Roman" w:hAnsi="Times New Roman"/>
          <w:sz w:val="20"/>
          <w:szCs w:val="20"/>
          <w:color w:val="auto"/>
          <w:vertAlign w:val="superscript"/>
        </w:rPr>
      </w:pPr>
    </w:p>
    <w:p>
      <w:pPr>
        <w:ind w:left="180" w:hanging="172"/>
        <w:spacing w:after="0" w:line="225" w:lineRule="auto"/>
        <w:tabs>
          <w:tab w:leader="none" w:pos="187"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costs exclude certain expenses reported in the Consolidated Statements of Operations and Comprehensive Income, including costs that are reflected in “Corporate and other” and expenses excluded from reportable segment income as defined above.</w:t>
      </w:r>
    </w:p>
    <w:p>
      <w:pPr>
        <w:spacing w:after="0" w:line="133" w:lineRule="exact"/>
        <w:rPr>
          <w:sz w:val="20"/>
          <w:szCs w:val="20"/>
          <w:color w:val="auto"/>
        </w:rPr>
      </w:pPr>
    </w:p>
    <w:p>
      <w:pPr>
        <w:ind w:right="8280" w:firstLine="8"/>
        <w:spacing w:after="0" w:line="263" w:lineRule="auto"/>
        <w:tabs>
          <w:tab w:leader="none" w:pos="4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2024 and 2023, our recorded reserves for environmental matters were not material.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lease portfolio principally consists of operating leases related to facilities, machinery, equipment and vehicles. Our accounting for lease terms does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These operating lease right-of-use (“ROU”) assets are included in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 on the Consolidated Balance Sheets, and represent our right to use the underlying asset for the lease term. Our obligation to make lease payments arising from the lease are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non-current liabilities </w:t>
      </w:r>
      <w:r>
        <w:rPr>
          <w:rFonts w:ascii="Times New Roman" w:cs="Times New Roman" w:eastAsia="Times New Roman" w:hAnsi="Times New Roman"/>
          <w:sz w:val="18"/>
          <w:szCs w:val="18"/>
          <w:color w:val="auto"/>
        </w:rPr>
        <w:t>on the Consolidated Balance Sheets. Lease ROU assets and liabilities are recognized at commencement date based on the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measurement and classification of lease agreements, we group lease and non-lease components into a single lease component for all underlying asset classes. Accordingly, all costs associated with a lease contract are accounted for as one lease cost.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7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2"/>
                <w:szCs w:val="22"/>
                <w:color w:val="auto"/>
              </w:rPr>
            </w:pPr>
          </w:p>
        </w:tc>
      </w:tr>
      <w:tr>
        <w:trPr>
          <w:trHeight w:val="223"/>
        </w:trPr>
        <w:tc>
          <w:tcPr>
            <w:tcW w:w="8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50.3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5"/>
              </w:rPr>
              <w:t>49.7</w:t>
            </w:r>
          </w:p>
        </w:tc>
      </w:tr>
      <w:tr>
        <w:trPr>
          <w:trHeight w:val="229"/>
        </w:trPr>
        <w:tc>
          <w:tcPr>
            <w:tcW w:w="8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(0.9)</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0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49.4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5"/>
              </w:rPr>
              <w:t>48.8</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23"/>
        </w:trPr>
        <w:tc>
          <w:tcPr>
            <w:tcW w:w="8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5"/>
              </w:rPr>
              <w:t>35.5</w:t>
            </w: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22.4</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5"/>
              </w:rPr>
              <w:t>14.0</w:t>
            </w:r>
          </w:p>
        </w:tc>
      </w:tr>
      <w:tr>
        <w:trPr>
          <w:trHeight w:val="48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7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23"/>
        </w:trPr>
        <w:tc>
          <w:tcPr>
            <w:tcW w:w="7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of operating leases (years)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of operating leases</w:t>
            </w:r>
          </w:p>
        </w:tc>
        <w:tc>
          <w:tcPr>
            <w:tcW w:w="2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5.6 %</w:t>
            </w:r>
          </w:p>
        </w:tc>
        <w:tc>
          <w:tcPr>
            <w:tcW w:w="540" w:type="dxa"/>
            <w:vAlign w:val="bottom"/>
          </w:tcPr>
          <w:p>
            <w:pPr>
              <w:spacing w:after="0"/>
              <w:rPr>
                <w:sz w:val="20"/>
                <w:szCs w:val="20"/>
                <w:color w:val="auto"/>
              </w:rPr>
            </w:pPr>
          </w:p>
        </w:tc>
        <w:tc>
          <w:tcPr>
            <w:tcW w:w="10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5.7 %</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commitments under non-cancelable operating leases as of December 31, 2024 were as follows: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guarantees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outstanding value of bonds, letters of credit and bank guarantees totaled $102.1 million and $124.3 million,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the design and operation of our disclosure controls and procedures as of the end of the year ended December 31, 2024, pursuant to Rule 13a-15(b) of the Securities Exchange Act of 1934 (“the Exchange Act”). Based upon their evaluation, our Chief Executive Officer and our Chief Financial Officer concluded that our disclosure controls and procedures were effective as of the year ended December 31, 2024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of this Annual Report on Form 10-K under the caption “Report of Independent Registered Public Accounting Firm.”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December 31, 2024 that has materially affected, or is reasonably likely to materially affect, our internal control over financial reporting.</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we began a multi-year implementation of our new global enterprise resource planning (“ERP”) system at two locations within our Pool segment.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We will continue to monitor our internal control over financial reporting for effectiveness throughout this implementation.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340" w:hanging="332"/>
        <w:spacing w:after="0" w:line="282" w:lineRule="auto"/>
        <w:tabs>
          <w:tab w:leader="none" w:pos="4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none of our directors or Section 16 officers adopted or terminated a “Rule 10b5-1 trading arrangement” or “non-Rule 10b5-1 trading arrangement” (as each term is defined in Item 408(a) of Regulation S-K).</w:t>
      </w:r>
    </w:p>
    <w:p>
      <w:pPr>
        <w:spacing w:after="0" w:line="117" w:lineRule="exact"/>
        <w:rPr>
          <w:sz w:val="20"/>
          <w:szCs w:val="20"/>
          <w:color w:val="auto"/>
        </w:rPr>
      </w:pPr>
    </w:p>
    <w:p>
      <w:pPr>
        <w:ind w:right="30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directors is contained in our Proxy Statement for our 2025 annual general meeting of shareholders under the captions “Corporate Governance Matters” and “Proposal 1 Re-elect Director Nominees” and is incorporated herein by reference.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executive officers is contained in Part I of this Form 10-K under the caption “Information About Our Executive Officers.”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Times New Roman" w:cs="Times New Roman" w:eastAsia="Times New Roman" w:hAnsi="Times New Roman"/>
          <w:sz w:val="18"/>
          <w:szCs w:val="18"/>
          <w:u w:val="single" w:color="auto"/>
          <w:color w:val="auto"/>
        </w:rPr>
        <w:t>http://pentair.com/en/about-us/leadership/corporate-governance</w:t>
      </w:r>
      <w:r>
        <w:rPr>
          <w:rFonts w:ascii="Times New Roman" w:cs="Times New Roman" w:eastAsia="Times New Roman" w:hAnsi="Times New Roman"/>
          <w:sz w:val="18"/>
          <w:szCs w:val="18"/>
          <w:color w:val="auto"/>
        </w:rPr>
        <w:t xml:space="preserve">. We intend to satisfy the disclosure requirements under Item 5.05 of Form 8-K regarding amendments to or waivers from, Pentair’s Code of Business Conduct and Ethics by posting such information on our website at </w:t>
      </w:r>
      <w:r>
        <w:rPr>
          <w:rFonts w:ascii="Times New Roman" w:cs="Times New Roman" w:eastAsia="Times New Roman" w:hAnsi="Times New Roman"/>
          <w:sz w:val="18"/>
          <w:szCs w:val="18"/>
          <w:u w:val="single" w:color="auto"/>
          <w:color w:val="auto"/>
        </w:rPr>
        <w:t>http://pentair.com/en/about-us/leadership/corporate-governance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our Insider Trading Policy is contained in our Proxy Statement for our 2025 annual general meeting of shareholders under the caption “Insider Trading Policy, Including Prohibiting Hedging and Pledging Policies”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including the information contained on our website as part of, or incorporating it by reference into,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2025 annual general meeting of shareholders under the captions “Compensation Discussion and Analysis,” “Compensation Committee Report,” “Executive Compensation Tables,” “CEO Pay Ratio” and “Corporate Governance - Director Compensation”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4" w:name="page85"/>
    <w:bookmarkEnd w:id="84"/>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security ownership is contained in our Proxy Statement for our 2025 annual general meeting of shareholders under the caption “Security Ownership”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 of December 31, 2024, information about compensation plans under which our equity securities are authorized for</w:t>
      </w:r>
    </w:p>
    <w:p>
      <w:pPr>
        <w:sectPr>
          <w:pgSz w:w="11900" w:h="16838" w:orient="portrait"/>
          <w:cols w:equalWidth="0" w:num="1">
            <w:col w:w="11240"/>
          </w:cols>
          <w:pgMar w:left="320" w:top="887"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1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176"/>
        </w:trPr>
        <w:tc>
          <w:tcPr>
            <w:tcW w:w="2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10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184"/>
        </w:trPr>
        <w:tc>
          <w:tcPr>
            <w:tcW w:w="2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00" w:type="dxa"/>
            <w:vAlign w:val="bottom"/>
          </w:tcPr>
          <w:p>
            <w:pPr>
              <w:jc w:val="center"/>
              <w:ind w:left="350"/>
              <w:spacing w:after="0" w:line="184" w:lineRule="exact"/>
              <w:rPr>
                <w:sz w:val="20"/>
                <w:szCs w:val="20"/>
                <w:color w:val="auto"/>
              </w:rPr>
            </w:pPr>
            <w:r>
              <w:rPr>
                <w:rFonts w:ascii="Times New Roman" w:cs="Times New Roman" w:eastAsia="Times New Roman" w:hAnsi="Times New Roman"/>
                <w:sz w:val="18"/>
                <w:szCs w:val="18"/>
                <w:color w:val="auto"/>
                <w:w w:val="99"/>
              </w:rPr>
              <w:t>future issuance under</w:t>
            </w:r>
          </w:p>
        </w:tc>
      </w:tr>
      <w:tr>
        <w:trPr>
          <w:trHeight w:val="180"/>
        </w:trPr>
        <w:tc>
          <w:tcPr>
            <w:tcW w:w="2120" w:type="dxa"/>
            <w:vAlign w:val="bottom"/>
          </w:tcPr>
          <w:p>
            <w:pPr>
              <w:jc w:val="center"/>
              <w:ind w:right="330"/>
              <w:spacing w:after="0" w:line="181" w:lineRule="exact"/>
              <w:rPr>
                <w:sz w:val="20"/>
                <w:szCs w:val="20"/>
                <w:color w:val="auto"/>
              </w:rPr>
            </w:pPr>
            <w:r>
              <w:rPr>
                <w:rFonts w:ascii="Times New Roman" w:cs="Times New Roman" w:eastAsia="Times New Roman" w:hAnsi="Times New Roman"/>
                <w:sz w:val="18"/>
                <w:szCs w:val="18"/>
                <w:color w:val="auto"/>
              </w:rPr>
              <w:t>Number of securities to</w:t>
            </w:r>
          </w:p>
        </w:tc>
        <w:tc>
          <w:tcPr>
            <w:tcW w:w="23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Weighted-average</w:t>
            </w:r>
          </w:p>
        </w:tc>
        <w:tc>
          <w:tcPr>
            <w:tcW w:w="2100" w:type="dxa"/>
            <w:vAlign w:val="bottom"/>
          </w:tcPr>
          <w:p>
            <w:pPr>
              <w:jc w:val="center"/>
              <w:ind w:left="350"/>
              <w:spacing w:after="0" w:line="181" w:lineRule="exact"/>
              <w:rPr>
                <w:sz w:val="20"/>
                <w:szCs w:val="20"/>
                <w:color w:val="auto"/>
              </w:rPr>
            </w:pPr>
            <w:r>
              <w:rPr>
                <w:rFonts w:ascii="Times New Roman" w:cs="Times New Roman" w:eastAsia="Times New Roman" w:hAnsi="Times New Roman"/>
                <w:sz w:val="18"/>
                <w:szCs w:val="18"/>
                <w:color w:val="auto"/>
              </w:rPr>
              <w:t>equity compensation</w:t>
            </w:r>
          </w:p>
        </w:tc>
      </w:tr>
      <w:tr>
        <w:trPr>
          <w:trHeight w:val="176"/>
        </w:trPr>
        <w:tc>
          <w:tcPr>
            <w:tcW w:w="212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color w:val="auto"/>
                <w:w w:val="99"/>
              </w:rPr>
              <w:t>be issued upon exercise</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10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8"/>
              </w:rPr>
              <w:t>plans (excluding</w:t>
            </w:r>
          </w:p>
        </w:tc>
      </w:tr>
      <w:tr>
        <w:trPr>
          <w:trHeight w:val="184"/>
        </w:trPr>
        <w:tc>
          <w:tcPr>
            <w:tcW w:w="2120" w:type="dxa"/>
            <w:vAlign w:val="bottom"/>
          </w:tcPr>
          <w:p>
            <w:pPr>
              <w:jc w:val="center"/>
              <w:ind w:right="330"/>
              <w:spacing w:after="0" w:line="184" w:lineRule="exact"/>
              <w:rPr>
                <w:sz w:val="20"/>
                <w:szCs w:val="20"/>
                <w:color w:val="auto"/>
              </w:rPr>
            </w:pPr>
            <w:r>
              <w:rPr>
                <w:rFonts w:ascii="Times New Roman" w:cs="Times New Roman" w:eastAsia="Times New Roman" w:hAnsi="Times New Roman"/>
                <w:sz w:val="18"/>
                <w:szCs w:val="18"/>
                <w:color w:val="auto"/>
              </w:rPr>
              <w:t>of outstanding options,</w:t>
            </w:r>
          </w:p>
        </w:tc>
        <w:tc>
          <w:tcPr>
            <w:tcW w:w="2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100" w:type="dxa"/>
            <w:vAlign w:val="bottom"/>
          </w:tcPr>
          <w:p>
            <w:pPr>
              <w:jc w:val="center"/>
              <w:ind w:left="350"/>
              <w:spacing w:after="0" w:line="184" w:lineRule="exact"/>
              <w:rPr>
                <w:sz w:val="20"/>
                <w:szCs w:val="20"/>
                <w:color w:val="auto"/>
              </w:rPr>
            </w:pPr>
            <w:r>
              <w:rPr>
                <w:rFonts w:ascii="Times New Roman" w:cs="Times New Roman" w:eastAsia="Times New Roman" w:hAnsi="Times New Roman"/>
                <w:sz w:val="18"/>
                <w:szCs w:val="18"/>
                <w:color w:val="auto"/>
                <w:w w:val="99"/>
              </w:rPr>
              <w:t>securities reflected in</w:t>
            </w:r>
          </w:p>
        </w:tc>
      </w:tr>
      <w:tr>
        <w:trPr>
          <w:trHeight w:val="180"/>
        </w:trPr>
        <w:tc>
          <w:tcPr>
            <w:tcW w:w="2120" w:type="dxa"/>
            <w:vAlign w:val="bottom"/>
          </w:tcPr>
          <w:p>
            <w:pPr>
              <w:jc w:val="center"/>
              <w:ind w:right="330"/>
              <w:spacing w:after="0" w:line="181"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23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2100" w:type="dxa"/>
            <w:vAlign w:val="bottom"/>
          </w:tcPr>
          <w:p>
            <w:pPr>
              <w:jc w:val="center"/>
              <w:ind w:left="350"/>
              <w:spacing w:after="0" w:line="181" w:lineRule="exact"/>
              <w:rPr>
                <w:sz w:val="20"/>
                <w:szCs w:val="20"/>
                <w:color w:val="auto"/>
              </w:rPr>
            </w:pPr>
            <w:r>
              <w:rPr>
                <w:rFonts w:ascii="Times New Roman" w:cs="Times New Roman" w:eastAsia="Times New Roman" w:hAnsi="Times New Roman"/>
                <w:sz w:val="18"/>
                <w:szCs w:val="18"/>
                <w:color w:val="auto"/>
              </w:rPr>
              <w:t>column (a))</w:t>
            </w:r>
          </w:p>
        </w:tc>
      </w:tr>
      <w:tr>
        <w:trPr>
          <w:trHeight w:val="234"/>
        </w:trPr>
        <w:tc>
          <w:tcPr>
            <w:tcW w:w="2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1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5715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3380" w:space="720"/>
            <w:col w:w="7140"/>
          </w:cols>
          <w:pgMar w:left="320" w:top="887"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p>
      <w:pPr>
        <w:ind w:left="180"/>
        <w:spacing w:after="0" w:line="237" w:lineRule="auto"/>
        <w:rPr>
          <w:sz w:val="20"/>
          <w:szCs w:val="20"/>
          <w:color w:val="auto"/>
        </w:rPr>
      </w:pPr>
      <w:r>
        <w:rPr>
          <w:rFonts w:ascii="Times New Roman" w:cs="Times New Roman" w:eastAsia="Times New Roman" w:hAnsi="Times New Roman"/>
          <w:sz w:val="18"/>
          <w:szCs w:val="18"/>
          <w:color w:val="auto"/>
        </w:rPr>
        <w:t>holders:</w:t>
      </w:r>
    </w:p>
    <w:tbl>
      <w:tblPr>
        <w:tblLayout w:type="fixed"/>
        <w:tblInd w:w="0" w:type="dxa"/>
        <w:tblCellMar>
          <w:top w:w="0" w:type="dxa"/>
          <w:left w:w="0" w:type="dxa"/>
          <w:bottom w:w="0" w:type="dxa"/>
          <w:right w:w="0" w:type="dxa"/>
        </w:tblCellMar>
      </w:tblPr>
      <w:tr>
        <w:trPr>
          <w:trHeight w:val="253"/>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 Share and Incentive Plan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1,863,797</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w:t>
            </w: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980" w:type="dxa"/>
            <w:vAlign w:val="bottom"/>
          </w:tcPr>
          <w:p>
            <w:pPr>
              <w:jc w:val="right"/>
              <w:ind w:right="742"/>
              <w:spacing w:after="0"/>
              <w:rPr>
                <w:sz w:val="20"/>
                <w:szCs w:val="20"/>
                <w:color w:val="auto"/>
              </w:rPr>
            </w:pPr>
            <w:r>
              <w:rPr>
                <w:rFonts w:ascii="Times New Roman" w:cs="Times New Roman" w:eastAsia="Times New Roman" w:hAnsi="Times New Roman"/>
                <w:sz w:val="12"/>
                <w:szCs w:val="12"/>
                <w:color w:val="auto"/>
              </w:rPr>
              <w:t>(2)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3,882,395</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r>
      <w:tr>
        <w:trPr>
          <w:trHeight w:val="230"/>
        </w:trPr>
        <w:tc>
          <w:tcPr>
            <w:tcW w:w="39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2012 Stock and Incentive Plan</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823,881</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w:t>
            </w:r>
          </w:p>
        </w:tc>
        <w:tc>
          <w:tcPr>
            <w:tcW w:w="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98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(2)</w:t>
            </w:r>
          </w:p>
        </w:tc>
        <w:tc>
          <w:tcPr>
            <w:tcW w:w="1940" w:type="dxa"/>
            <w:vAlign w:val="bottom"/>
            <w:tcBorders>
              <w:bottom w:val="single" w:sz="8" w:color="auto"/>
            </w:tcBorders>
            <w:gridSpan w:val="2"/>
            <w:shd w:val="clear" w:color="auto" w:fill="CCEEFF"/>
          </w:tcPr>
          <w:p>
            <w:pPr>
              <w:jc w:val="right"/>
              <w:ind w:right="122"/>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(5)</w:t>
            </w:r>
          </w:p>
        </w:tc>
      </w:tr>
      <w:tr>
        <w:trPr>
          <w:trHeight w:val="22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2,687,678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98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2"/>
                <w:szCs w:val="12"/>
                <w:color w:val="auto"/>
              </w:rPr>
              <w:t>(2)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3,882,395</w:t>
            </w:r>
          </w:p>
        </w:tc>
        <w:tc>
          <w:tcPr>
            <w:tcW w:w="360" w:type="dxa"/>
            <w:vAlign w:val="bottom"/>
            <w:tcBorders>
              <w:bottom w:val="single" w:sz="8" w:color="auto"/>
            </w:tcBorders>
          </w:tcPr>
          <w:p>
            <w:pPr>
              <w:spacing w:after="0"/>
              <w:rPr>
                <w:sz w:val="19"/>
                <w:szCs w:val="19"/>
                <w:color w:val="auto"/>
              </w:rPr>
            </w:pP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60" w:hanging="152"/>
        <w:spacing w:after="0"/>
        <w:tabs>
          <w:tab w:leader="none" w:pos="16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Consists of 947,848 shares subject to stock options, 480,918 shares subject to restricted stock units, and 435,031 shares subject to performance share awards.</w:t>
      </w:r>
    </w:p>
    <w:p>
      <w:pPr>
        <w:spacing w:after="0" w:line="57" w:lineRule="exact"/>
        <w:rPr>
          <w:rFonts w:ascii="Times New Roman" w:cs="Times New Roman" w:eastAsia="Times New Roman" w:hAnsi="Times New Roman"/>
          <w:sz w:val="19"/>
          <w:szCs w:val="19"/>
          <w:color w:val="auto"/>
          <w:vertAlign w:val="superscript"/>
        </w:rPr>
      </w:pPr>
    </w:p>
    <w:p>
      <w:pPr>
        <w:ind w:left="160" w:hanging="152"/>
        <w:spacing w:after="0" w:line="218" w:lineRule="auto"/>
        <w:tabs>
          <w:tab w:leader="none" w:pos="16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weighted average exercise price of outstanding stock options and does not consider outstanding restricted stock units or performance share units.</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18" w:lineRule="auto"/>
        <w:tabs>
          <w:tab w:leader="none" w:pos="16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securities remaining available for issuance under the 2020 Share and Incentive Plan.</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18" w:lineRule="auto"/>
        <w:tabs>
          <w:tab w:leader="none" w:pos="16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Consists of 823,881 shares subject to stock options and no shares subject to restricted stock units or performance share awards.</w:t>
      </w:r>
    </w:p>
    <w:p>
      <w:pPr>
        <w:spacing w:after="0" w:line="71" w:lineRule="exact"/>
        <w:rPr>
          <w:rFonts w:ascii="Times New Roman" w:cs="Times New Roman" w:eastAsia="Times New Roman" w:hAnsi="Times New Roman"/>
          <w:sz w:val="19"/>
          <w:szCs w:val="19"/>
          <w:color w:val="auto"/>
          <w:vertAlign w:val="superscript"/>
        </w:rPr>
      </w:pPr>
    </w:p>
    <w:p>
      <w:pPr>
        <w:ind w:left="180" w:hanging="172"/>
        <w:spacing w:after="0" w:line="231" w:lineRule="auto"/>
        <w:tabs>
          <w:tab w:leader="none" w:pos="168" w:val="left"/>
        </w:tabs>
        <w:numPr>
          <w:ilvl w:val="0"/>
          <w:numId w:val="6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2012 Stock and Incentive Plan was terminated in 2020. Stock options and restricted stock units previously granted under the 2012 Stock and Incentive Plan remain outstanding, but no further options or shares may be granted under this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2025 annual general meeting of shareholders under the captions “Proposal 1 Re-Elect Director Nominees - Director Independence” and “Corporate Governance - Other Governance Policies and Practices - Policies and Procedures Regarding Related Person Transactions”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2025 annual general meeting of shareholders under the caption “Proposal 3 Ratify, by Nonbinding, Advisory Vote, the Appointment of Deloitte &amp; Touche LLP as the Independent Auditor of Pentair plc and to Authorize, by Binding Vote, the Audit and Finance Committee of the Board of Directors to Set the Auditor’s Remuneration” and is incorporated herein by reference. Deloitte &amp; Touche LLP (PCAOB ID No. 34) is our principal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for the years ended December 31, 2024, 2023 and 2022</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2024, 2023 and 2022</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ind w:left="1300" w:right="8040" w:hanging="644"/>
        <w:spacing w:after="0" w:line="440" w:lineRule="auto"/>
        <w:tabs>
          <w:tab w:leader="none" w:pos="90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exhibits of this Annual Report on Form 10-K included herein are set forth below.</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Exhibit</w:t>
      </w:r>
    </w:p>
    <w:p>
      <w:pPr>
        <w:spacing w:after="0" w:line="53" w:lineRule="exact"/>
        <w:rPr>
          <w:sz w:val="20"/>
          <w:szCs w:val="20"/>
          <w:color w:val="auto"/>
        </w:rPr>
      </w:pPr>
    </w:p>
    <w:p>
      <w:pPr>
        <w:jc w:val="both"/>
        <w:ind w:left="1040" w:right="80" w:hanging="690"/>
        <w:spacing w:after="0" w:line="250" w:lineRule="auto"/>
        <w:tabs>
          <w:tab w:leader="none" w:pos="1020" w:val="left"/>
        </w:tabs>
        <w:rPr>
          <w:rFonts w:ascii="Times New Roman" w:cs="Times New Roman" w:eastAsia="Times New Roman" w:hAnsi="Times New Roman"/>
          <w:sz w:val="18"/>
          <w:szCs w:val="18"/>
          <w:b w:val="1"/>
          <w:bCs w:val="1"/>
          <w:color w:val="0000FF"/>
        </w:rPr>
      </w:pPr>
      <w:hyperlink r:id="rId103">
        <w:r>
          <w:rPr>
            <w:rFonts w:ascii="Times New Roman" w:cs="Times New Roman" w:eastAsia="Times New Roman" w:hAnsi="Times New Roman"/>
            <w:sz w:val="18"/>
            <w:szCs w:val="18"/>
            <w:b w:val="1"/>
            <w:bCs w:val="1"/>
            <w:u w:val="single" w:color="auto"/>
            <w:color w:val="0000FF"/>
          </w:rPr>
          <w:t>3.1</w:t>
        </w:r>
      </w:hyperlink>
      <w:r>
        <w:rPr>
          <w:rFonts w:ascii="Times New Roman" w:cs="Times New Roman" w:eastAsia="Times New Roman" w:hAnsi="Times New Roman"/>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41" w:lineRule="exact"/>
        <w:rPr>
          <w:sz w:val="20"/>
          <w:szCs w:val="20"/>
          <w:color w:val="auto"/>
        </w:rPr>
      </w:pPr>
    </w:p>
    <w:p>
      <w:pPr>
        <w:ind w:left="340"/>
        <w:spacing w:after="0"/>
        <w:tabs>
          <w:tab w:leader="none" w:pos="1020" w:val="left"/>
        </w:tabs>
        <w:rPr>
          <w:rFonts w:ascii="Times New Roman" w:cs="Times New Roman" w:eastAsia="Times New Roman" w:hAnsi="Times New Roman"/>
          <w:sz w:val="18"/>
          <w:szCs w:val="18"/>
          <w:b w:val="1"/>
          <w:bCs w:val="1"/>
          <w:color w:val="0000FF"/>
        </w:rPr>
      </w:pPr>
      <w:hyperlink r:id="rId104">
        <w:r>
          <w:rPr>
            <w:rFonts w:ascii="Times New Roman" w:cs="Times New Roman" w:eastAsia="Times New Roman" w:hAnsi="Times New Roman"/>
            <w:sz w:val="18"/>
            <w:szCs w:val="18"/>
            <w:b w:val="1"/>
            <w:bCs w:val="1"/>
            <w:u w:val="single" w:color="auto"/>
            <w:color w:val="0000FF"/>
          </w:rPr>
          <w:t>4.1</w:t>
        </w:r>
      </w:hyperlink>
      <w:r>
        <w:rPr>
          <w:rFonts w:ascii="Times New Roman" w:cs="Times New Roman" w:eastAsia="Times New Roman" w:hAnsi="Times New Roman"/>
          <w:sz w:val="18"/>
          <w:szCs w:val="18"/>
          <w:b w:val="1"/>
          <w:bCs w:val="1"/>
          <w:color w:val="0000FF"/>
        </w:rPr>
        <w:tab/>
        <w:t>Amended and Restated Credit Agreement, dated as of December 16, 2021, among Pentair plc, Pentair Finance S.à r.l., Pentair, Inc. and the</w:t>
      </w:r>
    </w:p>
    <w:p>
      <w:pPr>
        <w:spacing w:after="0" w:line="6" w:lineRule="exact"/>
        <w:rPr>
          <w:sz w:val="20"/>
          <w:szCs w:val="20"/>
          <w:color w:val="auto"/>
        </w:rPr>
      </w:pPr>
    </w:p>
    <w:p>
      <w:pPr>
        <w:ind w:left="1040" w:right="60"/>
        <w:spacing w:after="0" w:line="226" w:lineRule="auto"/>
        <w:rPr>
          <w:sz w:val="20"/>
          <w:szCs w:val="20"/>
          <w:color w:val="auto"/>
        </w:rPr>
      </w:pPr>
      <w:r>
        <w:rPr>
          <w:rFonts w:ascii="Times New Roman" w:cs="Times New Roman" w:eastAsia="Times New Roman" w:hAnsi="Times New Roman"/>
          <w:sz w:val="18"/>
          <w:szCs w:val="18"/>
          <w:color w:val="auto"/>
        </w:rPr>
        <w:t>lenders and agents party thereto (Incorporated by reference to Exhibit 4.1 to the Current Report on Form 8-K of Pentair plc filed with the Commission on December 20, 2021 (File No. 001-11625)).</w:t>
      </w:r>
    </w:p>
    <w:p>
      <w:pPr>
        <w:spacing w:after="0" w:line="45" w:lineRule="exact"/>
        <w:rPr>
          <w:sz w:val="20"/>
          <w:szCs w:val="20"/>
          <w:color w:val="auto"/>
        </w:rPr>
      </w:pPr>
    </w:p>
    <w:p>
      <w:pPr>
        <w:jc w:val="both"/>
        <w:ind w:left="1040" w:right="60" w:hanging="690"/>
        <w:spacing w:after="0" w:line="250" w:lineRule="auto"/>
        <w:tabs>
          <w:tab w:leader="none" w:pos="1020" w:val="left"/>
        </w:tabs>
        <w:rPr>
          <w:rFonts w:ascii="Times New Roman" w:cs="Times New Roman" w:eastAsia="Times New Roman" w:hAnsi="Times New Roman"/>
          <w:sz w:val="18"/>
          <w:szCs w:val="18"/>
          <w:b w:val="1"/>
          <w:bCs w:val="1"/>
          <w:color w:val="0000FF"/>
        </w:rPr>
      </w:pPr>
      <w:hyperlink r:id="rId105">
        <w:r>
          <w:rPr>
            <w:rFonts w:ascii="Times New Roman" w:cs="Times New Roman" w:eastAsia="Times New Roman" w:hAnsi="Times New Roman"/>
            <w:sz w:val="18"/>
            <w:szCs w:val="18"/>
            <w:b w:val="1"/>
            <w:bCs w:val="1"/>
            <w:u w:val="single" w:color="auto"/>
            <w:color w:val="0000FF"/>
          </w:rPr>
          <w:t>4.2</w:t>
        </w:r>
      </w:hyperlink>
      <w:r>
        <w:rPr>
          <w:rFonts w:ascii="Times New Roman" w:cs="Times New Roman" w:eastAsia="Times New Roman" w:hAnsi="Times New Roman"/>
          <w:sz w:val="18"/>
          <w:szCs w:val="18"/>
          <w:b w:val="1"/>
          <w:bCs w:val="1"/>
          <w:color w:val="0000FF"/>
        </w:rPr>
        <w:tab/>
        <w:t>Amendment No. 1, dated as of December 23, 2022, to Amended and Restated Credit Agreement, dated as of December 16, 2021, among Pentair plc, Pentair Finance S.à r.l., Pentair, Inc. and the lenders and agents party thereto (Incorporated by reference to Exhibit 4.2 to the Annual Report on Form 10-K of Pentair plc for the year ended December 31, 2022 (File No. 001-11625)).</w:t>
      </w:r>
    </w:p>
    <w:p>
      <w:pPr>
        <w:spacing w:after="0" w:line="69" w:lineRule="exact"/>
        <w:rPr>
          <w:sz w:val="20"/>
          <w:szCs w:val="20"/>
          <w:color w:val="auto"/>
        </w:rPr>
      </w:pPr>
    </w:p>
    <w:p>
      <w:pPr>
        <w:ind w:left="340"/>
        <w:spacing w:after="0"/>
        <w:tabs>
          <w:tab w:leader="none" w:pos="1020" w:val="left"/>
        </w:tabs>
        <w:rPr>
          <w:rFonts w:ascii="Times New Roman" w:cs="Times New Roman" w:eastAsia="Times New Roman" w:hAnsi="Times New Roman"/>
          <w:sz w:val="18"/>
          <w:szCs w:val="18"/>
          <w:b w:val="1"/>
          <w:bCs w:val="1"/>
          <w:color w:val="0000FF"/>
        </w:rPr>
      </w:pPr>
      <w:hyperlink r:id="rId106">
        <w:r>
          <w:rPr>
            <w:rFonts w:ascii="Times New Roman" w:cs="Times New Roman" w:eastAsia="Times New Roman" w:hAnsi="Times New Roman"/>
            <w:sz w:val="18"/>
            <w:szCs w:val="18"/>
            <w:b w:val="1"/>
            <w:bCs w:val="1"/>
            <w:u w:val="single" w:color="auto"/>
            <w:color w:val="0000FF"/>
          </w:rPr>
          <w:t>4.3</w:t>
        </w:r>
      </w:hyperlink>
      <w:r>
        <w:rPr>
          <w:rFonts w:ascii="Times New Roman" w:cs="Times New Roman" w:eastAsia="Times New Roman" w:hAnsi="Times New Roman"/>
          <w:sz w:val="18"/>
          <w:szCs w:val="18"/>
          <w:b w:val="1"/>
          <w:bCs w:val="1"/>
          <w:color w:val="0000FF"/>
        </w:rPr>
        <w:tab/>
        <w:t>Indenture, dated as of September 16, 2015, among Pentair Finance S.A. (as Issuer), Pentair plc (as Parent and Guarantor), Pentair</w:t>
      </w:r>
    </w:p>
    <w:p>
      <w:pPr>
        <w:spacing w:after="0" w:line="6" w:lineRule="exact"/>
        <w:rPr>
          <w:sz w:val="20"/>
          <w:szCs w:val="20"/>
          <w:color w:val="auto"/>
        </w:rPr>
      </w:pPr>
    </w:p>
    <w:p>
      <w:pPr>
        <w:jc w:val="both"/>
        <w:ind w:left="1040" w:right="60"/>
        <w:spacing w:after="0" w:line="226" w:lineRule="auto"/>
        <w:rPr>
          <w:sz w:val="20"/>
          <w:szCs w:val="20"/>
          <w:color w:val="auto"/>
        </w:rPr>
      </w:pPr>
      <w:r>
        <w:rPr>
          <w:rFonts w:ascii="Times New Roman" w:cs="Times New Roman" w:eastAsia="Times New Roman" w:hAnsi="Times New Roman"/>
          <w:sz w:val="18"/>
          <w:szCs w:val="18"/>
          <w:color w:val="auto"/>
        </w:rPr>
        <w:t>Investments Switzerland GmbH (as Guarantor) and U.S. Bank National Association (as Trustee) (Incorporated by reference to Exhibit 4.1 to the Current Report on Form 8-K of Pentair plc filed with the Commission on September 16, 2015 (File No. 001-11625)).</w:t>
      </w:r>
    </w:p>
    <w:p>
      <w:pPr>
        <w:spacing w:after="0" w:line="45" w:lineRule="exact"/>
        <w:rPr>
          <w:sz w:val="20"/>
          <w:szCs w:val="20"/>
          <w:color w:val="auto"/>
        </w:rPr>
      </w:pPr>
    </w:p>
    <w:p>
      <w:pPr>
        <w:ind w:left="340"/>
        <w:spacing w:after="0"/>
        <w:tabs>
          <w:tab w:leader="none" w:pos="1020" w:val="left"/>
        </w:tabs>
        <w:rPr>
          <w:rFonts w:ascii="Times New Roman" w:cs="Times New Roman" w:eastAsia="Times New Roman" w:hAnsi="Times New Roman"/>
          <w:sz w:val="18"/>
          <w:szCs w:val="18"/>
          <w:b w:val="1"/>
          <w:bCs w:val="1"/>
          <w:color w:val="0000FF"/>
        </w:rPr>
      </w:pPr>
      <w:hyperlink r:id="rId107">
        <w:r>
          <w:rPr>
            <w:rFonts w:ascii="Times New Roman" w:cs="Times New Roman" w:eastAsia="Times New Roman" w:hAnsi="Times New Roman"/>
            <w:sz w:val="18"/>
            <w:szCs w:val="18"/>
            <w:b w:val="1"/>
            <w:bCs w:val="1"/>
            <w:u w:val="single" w:color="auto"/>
            <w:color w:val="0000FF"/>
          </w:rPr>
          <w:t>4.4</w:t>
        </w:r>
      </w:hyperlink>
      <w:r>
        <w:rPr>
          <w:rFonts w:ascii="Times New Roman" w:cs="Times New Roman" w:eastAsia="Times New Roman" w:hAnsi="Times New Roman"/>
          <w:sz w:val="18"/>
          <w:szCs w:val="18"/>
          <w:b w:val="1"/>
          <w:bCs w:val="1"/>
          <w:color w:val="0000FF"/>
        </w:rPr>
        <w:tab/>
        <w:t>Third Supplemental Indenture, dated as of September 16, 2015, among Pentair Finance S.A. (as Issuer), Pentair plc (as Parent and</w:t>
      </w:r>
    </w:p>
    <w:p>
      <w:pPr>
        <w:spacing w:after="0" w:line="6" w:lineRule="exact"/>
        <w:rPr>
          <w:sz w:val="20"/>
          <w:szCs w:val="20"/>
          <w:color w:val="auto"/>
        </w:rPr>
      </w:pPr>
    </w:p>
    <w:p>
      <w:pPr>
        <w:jc w:val="both"/>
        <w:ind w:left="1040" w:right="60"/>
        <w:spacing w:after="0" w:line="218" w:lineRule="auto"/>
        <w:rPr>
          <w:sz w:val="20"/>
          <w:szCs w:val="20"/>
          <w:color w:val="auto"/>
        </w:rPr>
      </w:pPr>
      <w:r>
        <w:rPr>
          <w:rFonts w:ascii="Times New Roman" w:cs="Times New Roman" w:eastAsia="Times New Roman" w:hAnsi="Times New Roman"/>
          <w:sz w:val="18"/>
          <w:szCs w:val="18"/>
          <w:color w:val="auto"/>
        </w:rPr>
        <w:t>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46" w:lineRule="exact"/>
        <w:rPr>
          <w:sz w:val="20"/>
          <w:szCs w:val="20"/>
          <w:color w:val="auto"/>
        </w:rPr>
      </w:pPr>
    </w:p>
    <w:p>
      <w:pPr>
        <w:ind w:left="340"/>
        <w:spacing w:after="0"/>
        <w:tabs>
          <w:tab w:leader="none" w:pos="1020" w:val="left"/>
        </w:tabs>
        <w:rPr>
          <w:rFonts w:ascii="Times New Roman" w:cs="Times New Roman" w:eastAsia="Times New Roman" w:hAnsi="Times New Roman"/>
          <w:sz w:val="18"/>
          <w:szCs w:val="18"/>
          <w:b w:val="1"/>
          <w:bCs w:val="1"/>
          <w:color w:val="0000FF"/>
        </w:rPr>
      </w:pPr>
      <w:hyperlink r:id="rId108">
        <w:r>
          <w:rPr>
            <w:rFonts w:ascii="Times New Roman" w:cs="Times New Roman" w:eastAsia="Times New Roman" w:hAnsi="Times New Roman"/>
            <w:sz w:val="18"/>
            <w:szCs w:val="18"/>
            <w:b w:val="1"/>
            <w:bCs w:val="1"/>
            <w:u w:val="single" w:color="auto"/>
            <w:color w:val="0000FF"/>
          </w:rPr>
          <w:t>4.5</w:t>
        </w:r>
      </w:hyperlink>
      <w:r>
        <w:rPr>
          <w:rFonts w:ascii="Times New Roman" w:cs="Times New Roman" w:eastAsia="Times New Roman" w:hAnsi="Times New Roman"/>
          <w:sz w:val="18"/>
          <w:szCs w:val="18"/>
          <w:b w:val="1"/>
          <w:bCs w:val="1"/>
          <w:color w:val="0000FF"/>
        </w:rPr>
        <w:tab/>
        <w:t>Fifth Supplemental Indenture, dated as of May 26, 2017, among Pentair Finance S.A., Pentair plc, Pentair Investments Switzerland GmbH</w:t>
      </w:r>
    </w:p>
    <w:p>
      <w:pPr>
        <w:spacing w:after="0" w:line="6" w:lineRule="exact"/>
        <w:rPr>
          <w:sz w:val="20"/>
          <w:szCs w:val="20"/>
          <w:color w:val="auto"/>
        </w:rPr>
      </w:pPr>
    </w:p>
    <w:p>
      <w:pPr>
        <w:jc w:val="both"/>
        <w:ind w:left="1040" w:right="60"/>
        <w:spacing w:after="0" w:line="226" w:lineRule="auto"/>
        <w:rPr>
          <w:sz w:val="20"/>
          <w:szCs w:val="20"/>
          <w:color w:val="auto"/>
        </w:rPr>
      </w:pPr>
      <w:r>
        <w:rPr>
          <w:rFonts w:ascii="Times New Roman" w:cs="Times New Roman" w:eastAsia="Times New Roman" w:hAnsi="Times New Roman"/>
          <w:sz w:val="18"/>
          <w:szCs w:val="18"/>
          <w:color w:val="auto"/>
        </w:rPr>
        <w:t>and U.S. Bank National Association, as trustee (Incorporated by reference to Exhibit 4.3 to the Current Report on Form 8-K of Pentair plc filed with the Commission on May 31, 2017 (File No. 001-11625)).</w:t>
      </w:r>
    </w:p>
    <w:p>
      <w:pPr>
        <w:spacing w:after="0" w:line="45" w:lineRule="exact"/>
        <w:rPr>
          <w:sz w:val="20"/>
          <w:szCs w:val="20"/>
          <w:color w:val="auto"/>
        </w:rPr>
      </w:pPr>
    </w:p>
    <w:p>
      <w:pPr>
        <w:ind w:left="340"/>
        <w:spacing w:after="0"/>
        <w:tabs>
          <w:tab w:leader="none" w:pos="1020" w:val="left"/>
        </w:tabs>
        <w:rPr>
          <w:rFonts w:ascii="Times New Roman" w:cs="Times New Roman" w:eastAsia="Times New Roman" w:hAnsi="Times New Roman"/>
          <w:sz w:val="18"/>
          <w:szCs w:val="18"/>
          <w:b w:val="1"/>
          <w:bCs w:val="1"/>
          <w:color w:val="0000FF"/>
        </w:rPr>
      </w:pPr>
      <w:hyperlink r:id="rId109">
        <w:r>
          <w:rPr>
            <w:rFonts w:ascii="Times New Roman" w:cs="Times New Roman" w:eastAsia="Times New Roman" w:hAnsi="Times New Roman"/>
            <w:sz w:val="18"/>
            <w:szCs w:val="18"/>
            <w:b w:val="1"/>
            <w:bCs w:val="1"/>
            <w:u w:val="single" w:color="auto"/>
            <w:color w:val="0000FF"/>
          </w:rPr>
          <w:t>4.6</w:t>
        </w:r>
      </w:hyperlink>
      <w:r>
        <w:rPr>
          <w:rFonts w:ascii="Times New Roman" w:cs="Times New Roman" w:eastAsia="Times New Roman" w:hAnsi="Times New Roman"/>
          <w:sz w:val="18"/>
          <w:szCs w:val="18"/>
          <w:b w:val="1"/>
          <w:bCs w:val="1"/>
          <w:color w:val="0000FF"/>
        </w:rPr>
        <w:tab/>
        <w:t>Sixth Supplemental Indenture, dated as of June 21, 2019, among Pentair Finance S.à r.l. (as Issuer), Pentair plc (as Parent and Guarantor),</w:t>
      </w:r>
    </w:p>
    <w:p>
      <w:pPr>
        <w:spacing w:after="0" w:line="6" w:lineRule="exact"/>
        <w:rPr>
          <w:sz w:val="20"/>
          <w:szCs w:val="20"/>
          <w:color w:val="auto"/>
        </w:rPr>
      </w:pPr>
    </w:p>
    <w:p>
      <w:pPr>
        <w:jc w:val="both"/>
        <w:ind w:left="1040" w:right="60"/>
        <w:spacing w:after="0" w:line="226" w:lineRule="auto"/>
        <w:rPr>
          <w:sz w:val="20"/>
          <w:szCs w:val="20"/>
          <w:color w:val="auto"/>
        </w:rPr>
      </w:pPr>
      <w:r>
        <w:rPr>
          <w:rFonts w:ascii="Times New Roman" w:cs="Times New Roman" w:eastAsia="Times New Roman" w:hAnsi="Times New Roman"/>
          <w:sz w:val="18"/>
          <w:szCs w:val="18"/>
          <w:color w:val="auto"/>
        </w:rPr>
        <w:t>Pentair Investments Switzerland GmbH (as Guarantor) and U.S. Bank National Association (as Trustee) (Incorporated by reference to Exhibit 4.2 to the Current Report on Form 8-K of Pentair plc filed with the Commission on June 21, 2019 (File No. 001-11625)).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6" w:name="page87"/>
    <w:bookmarkEnd w:id="86"/>
    <w:p>
      <w:pPr>
        <w:jc w:val="right"/>
        <w:ind w:left="80"/>
        <w:spacing w:after="0" w:line="225" w:lineRule="auto"/>
        <w:rPr>
          <w:rFonts w:ascii="Times New Roman" w:cs="Times New Roman" w:eastAsia="Times New Roman" w:hAnsi="Times New Roman"/>
          <w:sz w:val="18"/>
          <w:szCs w:val="18"/>
          <w:b w:val="1"/>
          <w:bCs w:val="1"/>
          <w:color w:val="0000FF"/>
        </w:rPr>
      </w:pPr>
      <w:hyperlink r:id="rId111">
        <w:r>
          <w:rPr>
            <w:rFonts w:ascii="Times New Roman" w:cs="Times New Roman" w:eastAsia="Times New Roman" w:hAnsi="Times New Roman"/>
            <w:sz w:val="18"/>
            <w:szCs w:val="18"/>
            <w:b w:val="1"/>
            <w:bCs w:val="1"/>
            <w:u w:val="single" w:color="auto"/>
            <w:color w:val="0000FF"/>
          </w:rPr>
          <w:t>4.7</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Seventh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Supplemental Indenture, dated as of June 22, 2020, among Pentair Finance S.à r.l. (as Issuer), Pentair plc (as Parent and Guarantor),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Pentair Investments Switzerland GmbH (as Guarantor) and U.S. Bank National Association (as Trustee) (Incorporated by reference to</w:t>
      </w:r>
    </w:p>
    <w:p>
      <w:pPr>
        <w:jc w:val="center"/>
        <w:ind w:right="-119"/>
        <w:spacing w:after="0"/>
        <w:rPr>
          <w:sz w:val="20"/>
          <w:szCs w:val="20"/>
          <w:color w:val="auto"/>
        </w:rPr>
      </w:pPr>
      <w:r>
        <w:rPr>
          <w:rFonts w:ascii="Times New Roman" w:cs="Times New Roman" w:eastAsia="Times New Roman" w:hAnsi="Times New Roman"/>
          <w:sz w:val="18"/>
          <w:szCs w:val="18"/>
          <w:color w:val="auto"/>
        </w:rPr>
        <w:t>Exhibit 4.2 to the Quarterly Report on Form 10-Q of Pentair plc filed with the Commission on July 23, 2020 (File No. 001-11625)).</w:t>
      </w:r>
    </w:p>
    <w:p>
      <w:pPr>
        <w:spacing w:after="0" w:line="53" w:lineRule="exact"/>
        <w:rPr>
          <w:sz w:val="20"/>
          <w:szCs w:val="20"/>
          <w:color w:val="auto"/>
        </w:rPr>
      </w:pPr>
    </w:p>
    <w:p>
      <w:pPr>
        <w:jc w:val="right"/>
        <w:ind w:left="80"/>
        <w:spacing w:after="0" w:line="225" w:lineRule="auto"/>
        <w:rPr>
          <w:rFonts w:ascii="Times New Roman" w:cs="Times New Roman" w:eastAsia="Times New Roman" w:hAnsi="Times New Roman"/>
          <w:sz w:val="18"/>
          <w:szCs w:val="18"/>
          <w:b w:val="1"/>
          <w:bCs w:val="1"/>
          <w:color w:val="0000FF"/>
        </w:rPr>
      </w:pPr>
      <w:hyperlink r:id="rId112">
        <w:r>
          <w:rPr>
            <w:rFonts w:ascii="Times New Roman" w:cs="Times New Roman" w:eastAsia="Times New Roman" w:hAnsi="Times New Roman"/>
            <w:sz w:val="18"/>
            <w:szCs w:val="18"/>
            <w:b w:val="1"/>
            <w:bCs w:val="1"/>
            <w:u w:val="single" w:color="auto"/>
            <w:color w:val="0000FF"/>
          </w:rPr>
          <w:t>4.8</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Eighth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Supplemental Indenture, dated as of July 8, 2022, among Pentair Finance S.à r.l., Pentair plc and U.S. Bank Trust Company, National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Association, as trustee (Incorporated by reference to Exhibit 4.3 to the Current Report on Form 8-K of Pentair plc filed with the</w:t>
      </w:r>
    </w:p>
    <w:p>
      <w:pPr>
        <w:ind w:left="780"/>
        <w:spacing w:after="0"/>
        <w:rPr>
          <w:sz w:val="20"/>
          <w:szCs w:val="20"/>
          <w:color w:val="auto"/>
        </w:rPr>
      </w:pPr>
      <w:r>
        <w:rPr>
          <w:rFonts w:ascii="Times New Roman" w:cs="Times New Roman" w:eastAsia="Times New Roman" w:hAnsi="Times New Roman"/>
          <w:sz w:val="18"/>
          <w:szCs w:val="18"/>
          <w:color w:val="auto"/>
        </w:rPr>
        <w:t>Commission on July 8, 2022 (File No. 001-11625)).</w:t>
      </w:r>
    </w:p>
    <w:p>
      <w:pPr>
        <w:spacing w:after="0" w:line="53" w:lineRule="exact"/>
        <w:rPr>
          <w:sz w:val="20"/>
          <w:szCs w:val="20"/>
          <w:color w:val="auto"/>
        </w:rPr>
      </w:pPr>
    </w:p>
    <w:p>
      <w:pPr>
        <w:jc w:val="right"/>
        <w:ind w:left="80"/>
        <w:spacing w:after="0" w:line="225" w:lineRule="auto"/>
        <w:rPr>
          <w:rFonts w:ascii="Times New Roman" w:cs="Times New Roman" w:eastAsia="Times New Roman" w:hAnsi="Times New Roman"/>
          <w:sz w:val="18"/>
          <w:szCs w:val="18"/>
          <w:b w:val="1"/>
          <w:bCs w:val="1"/>
          <w:color w:val="0000FF"/>
        </w:rPr>
      </w:pPr>
      <w:hyperlink r:id="rId113">
        <w:r>
          <w:rPr>
            <w:rFonts w:ascii="Times New Roman" w:cs="Times New Roman" w:eastAsia="Times New Roman" w:hAnsi="Times New Roman"/>
            <w:sz w:val="18"/>
            <w:szCs w:val="18"/>
            <w:b w:val="1"/>
            <w:bCs w:val="1"/>
            <w:u w:val="single" w:color="auto"/>
            <w:color w:val="0000FF"/>
          </w:rPr>
          <w:t>4.9</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Loan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Agreement, dated as of March 24, 2022, among Pentair plc, Pentair Finance S.à r.l., and the lenders and agents party thereto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(Incorporated by reference to Exhibit 4.1 to the Current Report on Form 8-K of Pentair plc filed with the Commission on March 25, 2022</w:t>
      </w:r>
    </w:p>
    <w:p>
      <w:pPr>
        <w:ind w:left="780"/>
        <w:spacing w:after="0"/>
        <w:rPr>
          <w:sz w:val="20"/>
          <w:szCs w:val="20"/>
          <w:color w:val="auto"/>
        </w:rPr>
      </w:pPr>
      <w:r>
        <w:rPr>
          <w:rFonts w:ascii="Times New Roman" w:cs="Times New Roman" w:eastAsia="Times New Roman" w:hAnsi="Times New Roman"/>
          <w:sz w:val="18"/>
          <w:szCs w:val="18"/>
          <w:color w:val="auto"/>
        </w:rPr>
        <w:t>(File No. 001-11625)).</w:t>
      </w:r>
    </w:p>
    <w:p>
      <w:pPr>
        <w:spacing w:after="0" w:line="53" w:lineRule="exact"/>
        <w:rPr>
          <w:sz w:val="20"/>
          <w:szCs w:val="20"/>
          <w:color w:val="auto"/>
        </w:rPr>
      </w:pPr>
    </w:p>
    <w:p>
      <w:pPr>
        <w:jc w:val="right"/>
        <w:ind w:left="40"/>
        <w:spacing w:after="0" w:line="225" w:lineRule="auto"/>
        <w:rPr>
          <w:rFonts w:ascii="Times New Roman" w:cs="Times New Roman" w:eastAsia="Times New Roman" w:hAnsi="Times New Roman"/>
          <w:sz w:val="18"/>
          <w:szCs w:val="18"/>
          <w:b w:val="1"/>
          <w:bCs w:val="1"/>
          <w:color w:val="0000FF"/>
        </w:rPr>
      </w:pPr>
      <w:hyperlink r:id="rId114">
        <w:r>
          <w:rPr>
            <w:rFonts w:ascii="Times New Roman" w:cs="Times New Roman" w:eastAsia="Times New Roman" w:hAnsi="Times New Roman"/>
            <w:sz w:val="18"/>
            <w:szCs w:val="18"/>
            <w:b w:val="1"/>
            <w:bCs w:val="1"/>
            <w:u w:val="single" w:color="auto"/>
            <w:color w:val="0000FF"/>
          </w:rPr>
          <w:t>4.10</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 1, dated as of June 30, 2022, to Loan Agreement, among Pentair plc, Pentair Finance S.à r.l., and the lenders and agents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party thereto (Incorporated by reference to Exhibit 4.1 to the Current Report on Form 8-K of Pentair plc filed with the Commission on June</w:t>
      </w:r>
    </w:p>
    <w:p>
      <w:pPr>
        <w:ind w:left="780"/>
        <w:spacing w:after="0"/>
        <w:rPr>
          <w:sz w:val="20"/>
          <w:szCs w:val="20"/>
          <w:color w:val="auto"/>
        </w:rPr>
      </w:pPr>
      <w:r>
        <w:rPr>
          <w:rFonts w:ascii="Times New Roman" w:cs="Times New Roman" w:eastAsia="Times New Roman" w:hAnsi="Times New Roman"/>
          <w:sz w:val="18"/>
          <w:szCs w:val="18"/>
          <w:color w:val="auto"/>
        </w:rPr>
        <w:t>30, 2022 (File No. 001-11625)).</w:t>
      </w:r>
    </w:p>
    <w:p>
      <w:pPr>
        <w:spacing w:after="0" w:line="53"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0000FF"/>
        </w:rPr>
        <w:t>4.11</w:t>
      </w:r>
      <w:r>
        <w:rPr>
          <w:sz w:val="20"/>
          <w:szCs w:val="20"/>
          <w:color w:val="auto"/>
        </w:rPr>
        <w:tab/>
      </w:r>
      <w:r>
        <w:rPr>
          <w:rFonts w:ascii="Times New Roman" w:cs="Times New Roman" w:eastAsia="Times New Roman" w:hAnsi="Times New Roman"/>
          <w:sz w:val="18"/>
          <w:szCs w:val="18"/>
          <w:color w:val="auto"/>
        </w:rPr>
        <w:t>Description of Securities.</w:t>
      </w:r>
    </w:p>
    <w:p>
      <w:pPr>
        <w:spacing w:after="0" w:line="146" w:lineRule="exact"/>
        <w:rPr>
          <w:sz w:val="20"/>
          <w:szCs w:val="20"/>
          <w:color w:val="auto"/>
        </w:rPr>
      </w:pPr>
    </w:p>
    <w:p>
      <w:pPr>
        <w:ind w:left="40"/>
        <w:spacing w:after="0"/>
        <w:tabs>
          <w:tab w:leader="none" w:pos="760" w:val="left"/>
        </w:tabs>
        <w:rPr>
          <w:rFonts w:ascii="Times New Roman" w:cs="Times New Roman" w:eastAsia="Times New Roman" w:hAnsi="Times New Roman"/>
          <w:sz w:val="18"/>
          <w:szCs w:val="18"/>
          <w:b w:val="1"/>
          <w:bCs w:val="1"/>
          <w:color w:val="0000FF"/>
        </w:rPr>
      </w:pPr>
      <w:hyperlink r:id="rId115">
        <w:r>
          <w:rPr>
            <w:rFonts w:ascii="Times New Roman" w:cs="Times New Roman" w:eastAsia="Times New Roman" w:hAnsi="Times New Roman"/>
            <w:sz w:val="18"/>
            <w:szCs w:val="18"/>
            <w:b w:val="1"/>
            <w:bCs w:val="1"/>
            <w:u w:val="single" w:color="auto"/>
            <w:color w:val="0000FF"/>
          </w:rPr>
          <w:t>10.1</w:t>
        </w:r>
      </w:hyperlink>
      <w:r>
        <w:rPr>
          <w:rFonts w:ascii="Times New Roman" w:cs="Times New Roman" w:eastAsia="Times New Roman" w:hAnsi="Times New Roman"/>
          <w:sz w:val="18"/>
          <w:szCs w:val="18"/>
          <w:b w:val="1"/>
          <w:bCs w:val="1"/>
          <w:color w:val="0000FF"/>
        </w:rPr>
        <w:tab/>
        <w:t>Pentair plc 2012 Stock and Incentive Plan, as amended and restated effective as of January 1, 2017. (Incorporated by reference to Exhibit</w:t>
      </w:r>
    </w:p>
    <w:p>
      <w:pPr>
        <w:ind w:left="780"/>
        <w:spacing w:after="0"/>
        <w:rPr>
          <w:sz w:val="20"/>
          <w:szCs w:val="20"/>
          <w:color w:val="auto"/>
        </w:rPr>
      </w:pPr>
      <w:r>
        <w:rPr>
          <w:rFonts w:ascii="Times New Roman" w:cs="Times New Roman" w:eastAsia="Times New Roman" w:hAnsi="Times New Roman"/>
          <w:sz w:val="18"/>
          <w:szCs w:val="18"/>
          <w:color w:val="auto"/>
        </w:rPr>
        <w:t>10.2 to the Annual Report on Form 10-K of Pentair plc for the year ended December 31, 2016 (File No. 001-11625)).*</w:t>
      </w:r>
    </w:p>
    <w:p>
      <w:pPr>
        <w:spacing w:after="0" w:line="55" w:lineRule="exact"/>
        <w:rPr>
          <w:sz w:val="20"/>
          <w:szCs w:val="20"/>
          <w:color w:val="auto"/>
        </w:rPr>
      </w:pPr>
    </w:p>
    <w:p>
      <w:pPr>
        <w:ind w:left="40"/>
        <w:spacing w:after="0"/>
        <w:tabs>
          <w:tab w:leader="none" w:pos="760" w:val="left"/>
        </w:tabs>
        <w:rPr>
          <w:rFonts w:ascii="Times New Roman" w:cs="Times New Roman" w:eastAsia="Times New Roman" w:hAnsi="Times New Roman"/>
          <w:sz w:val="18"/>
          <w:szCs w:val="18"/>
          <w:b w:val="1"/>
          <w:bCs w:val="1"/>
          <w:color w:val="0000FF"/>
        </w:rPr>
      </w:pPr>
      <w:hyperlink r:id="rId116">
        <w:r>
          <w:rPr>
            <w:rFonts w:ascii="Times New Roman" w:cs="Times New Roman" w:eastAsia="Times New Roman" w:hAnsi="Times New Roman"/>
            <w:sz w:val="18"/>
            <w:szCs w:val="18"/>
            <w:b w:val="1"/>
            <w:bCs w:val="1"/>
            <w:u w:val="single" w:color="auto"/>
            <w:color w:val="0000FF"/>
          </w:rPr>
          <w:t>10.2</w:t>
        </w:r>
      </w:hyperlink>
      <w:r>
        <w:rPr>
          <w:rFonts w:ascii="Times New Roman" w:cs="Times New Roman" w:eastAsia="Times New Roman" w:hAnsi="Times New Roman"/>
          <w:sz w:val="18"/>
          <w:szCs w:val="18"/>
          <w:b w:val="1"/>
          <w:bCs w:val="1"/>
          <w:color w:val="0000FF"/>
        </w:rPr>
        <w:tab/>
        <w:t>Form of Executive Officer Stock Option Grant Agreement for grants made prior to January 1, 2017 (Incorporated by reference to Exhibit</w:t>
      </w:r>
    </w:p>
    <w:p>
      <w:pPr>
        <w:ind w:left="780"/>
        <w:spacing w:after="0"/>
        <w:rPr>
          <w:sz w:val="20"/>
          <w:szCs w:val="20"/>
          <w:color w:val="auto"/>
        </w:rPr>
      </w:pPr>
      <w:r>
        <w:rPr>
          <w:rFonts w:ascii="Times New Roman" w:cs="Times New Roman" w:eastAsia="Times New Roman" w:hAnsi="Times New Roman"/>
          <w:sz w:val="18"/>
          <w:szCs w:val="18"/>
          <w:color w:val="auto"/>
        </w:rPr>
        <w:t>10.7 in the Current Report on Form 8-K of Pentair plc filed with the Commission on June 3, 2014 (File No. 001-11625)).*</w:t>
      </w:r>
    </w:p>
    <w:p>
      <w:pPr>
        <w:spacing w:after="0" w:line="55" w:lineRule="exact"/>
        <w:rPr>
          <w:sz w:val="20"/>
          <w:szCs w:val="20"/>
          <w:color w:val="auto"/>
        </w:rPr>
      </w:pPr>
    </w:p>
    <w:p>
      <w:pPr>
        <w:ind w:left="40"/>
        <w:spacing w:after="0"/>
        <w:tabs>
          <w:tab w:leader="none" w:pos="760" w:val="left"/>
        </w:tabs>
        <w:rPr>
          <w:rFonts w:ascii="Times New Roman" w:cs="Times New Roman" w:eastAsia="Times New Roman" w:hAnsi="Times New Roman"/>
          <w:sz w:val="18"/>
          <w:szCs w:val="18"/>
          <w:b w:val="1"/>
          <w:bCs w:val="1"/>
          <w:color w:val="0000FF"/>
        </w:rPr>
      </w:pPr>
      <w:hyperlink r:id="rId117">
        <w:r>
          <w:rPr>
            <w:rFonts w:ascii="Times New Roman" w:cs="Times New Roman" w:eastAsia="Times New Roman" w:hAnsi="Times New Roman"/>
            <w:sz w:val="18"/>
            <w:szCs w:val="18"/>
            <w:b w:val="1"/>
            <w:bCs w:val="1"/>
            <w:u w:val="single" w:color="auto"/>
            <w:color w:val="0000FF"/>
          </w:rPr>
          <w:t>10.3</w:t>
        </w:r>
      </w:hyperlink>
      <w:r>
        <w:rPr>
          <w:rFonts w:ascii="Times New Roman" w:cs="Times New Roman" w:eastAsia="Times New Roman" w:hAnsi="Times New Roman"/>
          <w:sz w:val="18"/>
          <w:szCs w:val="18"/>
          <w:b w:val="1"/>
          <w:bCs w:val="1"/>
          <w:color w:val="0000FF"/>
        </w:rPr>
        <w:tab/>
        <w:t>Form of Non-Employee Director Stock Option Grant Agreement (Incorporated by reference to Exhibit 10.10 in the Current Report on Form</w:t>
      </w:r>
    </w:p>
    <w:p>
      <w:pPr>
        <w:ind w:left="780"/>
        <w:spacing w:after="0"/>
        <w:rPr>
          <w:sz w:val="20"/>
          <w:szCs w:val="20"/>
          <w:color w:val="auto"/>
        </w:rPr>
      </w:pPr>
      <w:r>
        <w:rPr>
          <w:rFonts w:ascii="Times New Roman" w:cs="Times New Roman" w:eastAsia="Times New Roman" w:hAnsi="Times New Roman"/>
          <w:sz w:val="18"/>
          <w:szCs w:val="18"/>
          <w:color w:val="auto"/>
        </w:rPr>
        <w:t>8-K of Pentair plc filed with the Commission on June 3, 2014 (File No. 001-11625)).*</w:t>
      </w:r>
    </w:p>
    <w:p>
      <w:pPr>
        <w:spacing w:after="0" w:line="66" w:lineRule="exact"/>
        <w:rPr>
          <w:sz w:val="20"/>
          <w:szCs w:val="20"/>
          <w:color w:val="auto"/>
        </w:rPr>
      </w:pPr>
    </w:p>
    <w:p>
      <w:pPr>
        <w:ind w:left="780" w:hanging="735"/>
        <w:spacing w:after="0" w:line="237" w:lineRule="auto"/>
        <w:tabs>
          <w:tab w:leader="none" w:pos="760" w:val="left"/>
        </w:tabs>
        <w:rPr>
          <w:rFonts w:ascii="Times New Roman" w:cs="Times New Roman" w:eastAsia="Times New Roman" w:hAnsi="Times New Roman"/>
          <w:sz w:val="18"/>
          <w:szCs w:val="18"/>
          <w:b w:val="1"/>
          <w:bCs w:val="1"/>
          <w:color w:val="0000FF"/>
        </w:rPr>
      </w:pPr>
      <w:hyperlink r:id="rId118">
        <w:r>
          <w:rPr>
            <w:rFonts w:ascii="Times New Roman" w:cs="Times New Roman" w:eastAsia="Times New Roman" w:hAnsi="Times New Roman"/>
            <w:sz w:val="18"/>
            <w:szCs w:val="18"/>
            <w:b w:val="1"/>
            <w:bCs w:val="1"/>
            <w:u w:val="single" w:color="auto"/>
            <w:color w:val="0000FF"/>
          </w:rPr>
          <w:t>10.4</w:t>
        </w:r>
      </w:hyperlink>
      <w:r>
        <w:rPr>
          <w:rFonts w:ascii="Times New Roman" w:cs="Times New Roman" w:eastAsia="Times New Roman" w:hAnsi="Times New Roman"/>
          <w:sz w:val="18"/>
          <w:szCs w:val="18"/>
          <w:b w:val="1"/>
          <w:bCs w:val="1"/>
          <w:color w:val="0000FF"/>
        </w:rPr>
        <w:tab/>
        <w:t>Form of Key Executive Employment and Severance Agreement for John L. Stauch (Incorporated by reference to Exhibit 10.1 in the Quarterly Report on Form 10-Q of Pentair plc for the quarter ended June 30, 2018 (File No. 001-11625)).*</w:t>
      </w:r>
    </w:p>
    <w:p>
      <w:pPr>
        <w:spacing w:after="0" w:line="64" w:lineRule="exact"/>
        <w:rPr>
          <w:sz w:val="20"/>
          <w:szCs w:val="20"/>
          <w:color w:val="auto"/>
        </w:rPr>
      </w:pPr>
    </w:p>
    <w:p>
      <w:pPr>
        <w:jc w:val="right"/>
        <w:ind w:left="40"/>
        <w:spacing w:after="0" w:line="225" w:lineRule="auto"/>
        <w:rPr>
          <w:rFonts w:ascii="Times New Roman" w:cs="Times New Roman" w:eastAsia="Times New Roman" w:hAnsi="Times New Roman"/>
          <w:sz w:val="18"/>
          <w:szCs w:val="18"/>
          <w:b w:val="1"/>
          <w:bCs w:val="1"/>
          <w:color w:val="0000FF"/>
        </w:rPr>
      </w:pPr>
      <w:hyperlink r:id="rId119">
        <w:r>
          <w:rPr>
            <w:rFonts w:ascii="Times New Roman" w:cs="Times New Roman" w:eastAsia="Times New Roman" w:hAnsi="Times New Roman"/>
            <w:sz w:val="18"/>
            <w:szCs w:val="18"/>
            <w:b w:val="1"/>
            <w:bCs w:val="1"/>
            <w:u w:val="single" w:color="auto"/>
            <w:color w:val="0000FF"/>
          </w:rPr>
          <w:t>10.5</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Key Executive Employment and Severance Agreement for Karla C. Robertson, Philip M. Rolchigo, Robert P. Fishman, Jerome 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Pedretti and Stephen J. Pilla (Incorporated by reference to Exhibit 10.3 in the Quarterly Report on Form 10-Q of Pentair plc for the quarter</w:t>
      </w:r>
    </w:p>
    <w:p>
      <w:pPr>
        <w:ind w:left="780"/>
        <w:spacing w:after="0"/>
        <w:rPr>
          <w:sz w:val="20"/>
          <w:szCs w:val="20"/>
          <w:color w:val="auto"/>
        </w:rPr>
      </w:pPr>
      <w:r>
        <w:rPr>
          <w:rFonts w:ascii="Times New Roman" w:cs="Times New Roman" w:eastAsia="Times New Roman" w:hAnsi="Times New Roman"/>
          <w:sz w:val="18"/>
          <w:szCs w:val="18"/>
          <w:color w:val="auto"/>
        </w:rPr>
        <w:t>ended June 30, 2018 (File No. 001-11625)).*</w:t>
      </w:r>
    </w:p>
    <w:p>
      <w:pPr>
        <w:spacing w:after="0" w:line="53" w:lineRule="exact"/>
        <w:rPr>
          <w:sz w:val="20"/>
          <w:szCs w:val="20"/>
          <w:color w:val="auto"/>
        </w:rPr>
      </w:pPr>
    </w:p>
    <w:p>
      <w:pPr>
        <w:jc w:val="right"/>
        <w:ind w:left="40"/>
        <w:spacing w:after="0" w:line="225" w:lineRule="auto"/>
        <w:rPr>
          <w:rFonts w:ascii="Times New Roman" w:cs="Times New Roman" w:eastAsia="Times New Roman" w:hAnsi="Times New Roman"/>
          <w:sz w:val="18"/>
          <w:szCs w:val="18"/>
          <w:b w:val="1"/>
          <w:bCs w:val="1"/>
          <w:color w:val="0000FF"/>
        </w:rPr>
      </w:pPr>
      <w:hyperlink r:id="rId120">
        <w:r>
          <w:rPr>
            <w:rFonts w:ascii="Times New Roman" w:cs="Times New Roman" w:eastAsia="Times New Roman" w:hAnsi="Times New Roman"/>
            <w:sz w:val="18"/>
            <w:szCs w:val="18"/>
            <w:b w:val="1"/>
            <w:bCs w:val="1"/>
            <w:u w:val="single" w:color="auto"/>
            <w:color w:val="0000FF"/>
          </w:rPr>
          <w:t>10.6</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to Key Executive Employment and Severance Agreement, as of January 1, 2021, for John L. Stauch, Karla C. Robertson, Philip</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 Rolchigo, Robert P. Fishman, Jerome O. Pedretti and Stephen J. Pilla (Incorporated by reference to Exhibit 10.7 to the Annual Report on</w:t>
      </w:r>
    </w:p>
    <w:p>
      <w:pPr>
        <w:ind w:left="780"/>
        <w:spacing w:after="0"/>
        <w:rPr>
          <w:sz w:val="20"/>
          <w:szCs w:val="20"/>
          <w:color w:val="auto"/>
        </w:rPr>
      </w:pPr>
      <w:r>
        <w:rPr>
          <w:rFonts w:ascii="Times New Roman" w:cs="Times New Roman" w:eastAsia="Times New Roman" w:hAnsi="Times New Roman"/>
          <w:sz w:val="18"/>
          <w:szCs w:val="18"/>
          <w:color w:val="auto"/>
        </w:rPr>
        <w:t>Form 10-K of Pentair plc for the year ended December 31, 2023 (File No. 001-11625)).*</w:t>
      </w:r>
    </w:p>
    <w:p>
      <w:pPr>
        <w:spacing w:after="0" w:line="53" w:lineRule="exact"/>
        <w:rPr>
          <w:sz w:val="20"/>
          <w:szCs w:val="20"/>
          <w:color w:val="auto"/>
        </w:rPr>
      </w:pPr>
    </w:p>
    <w:p>
      <w:pPr>
        <w:jc w:val="right"/>
        <w:ind w:left="40"/>
        <w:spacing w:after="0" w:line="225" w:lineRule="auto"/>
        <w:rPr>
          <w:rFonts w:ascii="Times New Roman" w:cs="Times New Roman" w:eastAsia="Times New Roman" w:hAnsi="Times New Roman"/>
          <w:sz w:val="18"/>
          <w:szCs w:val="18"/>
          <w:b w:val="1"/>
          <w:bCs w:val="1"/>
          <w:color w:val="0000FF"/>
        </w:rPr>
      </w:pPr>
      <w:hyperlink r:id="rId121">
        <w:r>
          <w:rPr>
            <w:rFonts w:ascii="Times New Roman" w:cs="Times New Roman" w:eastAsia="Times New Roman" w:hAnsi="Times New Roman"/>
            <w:sz w:val="18"/>
            <w:szCs w:val="18"/>
            <w:b w:val="1"/>
            <w:bCs w:val="1"/>
            <w:u w:val="single" w:color="auto"/>
            <w:color w:val="0000FF"/>
          </w:rPr>
          <w:t>10.7</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Key Executive Employment and Severance Agreement for Adrian C. Chiu, Tanya L. Hooper and De’Mon L. Wiggins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(Incorporated by reference to Exhibit 10.8 to the Annual Report on Form 10-K of Pentair plc for the year ended December 31, 2021 (File</w:t>
      </w:r>
    </w:p>
    <w:p>
      <w:pPr>
        <w:ind w:left="780"/>
        <w:spacing w:after="0"/>
        <w:rPr>
          <w:sz w:val="20"/>
          <w:szCs w:val="20"/>
          <w:color w:val="auto"/>
        </w:rPr>
      </w:pPr>
      <w:r>
        <w:rPr>
          <w:rFonts w:ascii="Times New Roman" w:cs="Times New Roman" w:eastAsia="Times New Roman" w:hAnsi="Times New Roman"/>
          <w:sz w:val="18"/>
          <w:szCs w:val="18"/>
          <w:color w:val="auto"/>
        </w:rPr>
        <w:t>No. 001-11625)).*</w:t>
      </w:r>
    </w:p>
    <w:p>
      <w:pPr>
        <w:spacing w:after="0" w:line="53" w:lineRule="exact"/>
        <w:rPr>
          <w:sz w:val="20"/>
          <w:szCs w:val="20"/>
          <w:color w:val="auto"/>
        </w:rPr>
      </w:pPr>
    </w:p>
    <w:p>
      <w:pPr>
        <w:jc w:val="right"/>
        <w:ind w:left="40"/>
        <w:spacing w:after="0" w:line="225" w:lineRule="auto"/>
        <w:rPr>
          <w:rFonts w:ascii="Times New Roman" w:cs="Times New Roman" w:eastAsia="Times New Roman" w:hAnsi="Times New Roman"/>
          <w:sz w:val="18"/>
          <w:szCs w:val="18"/>
          <w:b w:val="1"/>
          <w:bCs w:val="1"/>
          <w:color w:val="0000FF"/>
        </w:rPr>
      </w:pPr>
      <w:hyperlink r:id="rId122">
        <w:r>
          <w:rPr>
            <w:rFonts w:ascii="Times New Roman" w:cs="Times New Roman" w:eastAsia="Times New Roman" w:hAnsi="Times New Roman"/>
            <w:sz w:val="18"/>
            <w:szCs w:val="18"/>
            <w:b w:val="1"/>
            <w:bCs w:val="1"/>
            <w:u w:val="single" w:color="auto"/>
            <w:color w:val="0000FF"/>
          </w:rPr>
          <w:t>10.8</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to Key Executive Employment and Severance Agreement, as of November 30, 2023, for John L. Stauch, Karla C. Robertson,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Philip M. Rolchigo, Robert P. Fishman, Jerome O. Pedretti, Stephen J. Pilla, Adrian C. Chiu, Tanya L. Hooper and De’Mon L. Wiggins</w:t>
      </w:r>
    </w:p>
    <w:p>
      <w:pPr>
        <w:ind w:left="780"/>
        <w:spacing w:after="0" w:line="226" w:lineRule="auto"/>
        <w:rPr>
          <w:sz w:val="20"/>
          <w:szCs w:val="20"/>
          <w:color w:val="auto"/>
        </w:rPr>
      </w:pPr>
      <w:r>
        <w:rPr>
          <w:rFonts w:ascii="Times New Roman" w:cs="Times New Roman" w:eastAsia="Times New Roman" w:hAnsi="Times New Roman"/>
          <w:sz w:val="18"/>
          <w:szCs w:val="18"/>
          <w:color w:val="auto"/>
        </w:rPr>
        <w:t>(Incorporated by reference to Exhibit 10.9 to the Annual Report on Form 10-K of Pentair plc for the year ended December 31, 2023 (File No. 001-11625)).*</w:t>
      </w:r>
    </w:p>
    <w:p>
      <w:pPr>
        <w:spacing w:after="0" w:line="45" w:lineRule="exact"/>
        <w:rPr>
          <w:sz w:val="20"/>
          <w:szCs w:val="20"/>
          <w:color w:val="auto"/>
        </w:rPr>
      </w:pPr>
    </w:p>
    <w:p>
      <w:pPr>
        <w:ind w:left="780" w:hanging="735"/>
        <w:spacing w:after="0" w:line="237" w:lineRule="auto"/>
        <w:tabs>
          <w:tab w:leader="none" w:pos="760" w:val="left"/>
        </w:tabs>
        <w:rPr>
          <w:rFonts w:ascii="Times New Roman" w:cs="Times New Roman" w:eastAsia="Times New Roman" w:hAnsi="Times New Roman"/>
          <w:sz w:val="18"/>
          <w:szCs w:val="18"/>
          <w:b w:val="1"/>
          <w:bCs w:val="1"/>
          <w:color w:val="0000FF"/>
        </w:rPr>
      </w:pPr>
      <w:hyperlink r:id="rId123">
        <w:r>
          <w:rPr>
            <w:rFonts w:ascii="Times New Roman" w:cs="Times New Roman" w:eastAsia="Times New Roman" w:hAnsi="Times New Roman"/>
            <w:sz w:val="18"/>
            <w:szCs w:val="18"/>
            <w:b w:val="1"/>
            <w:bCs w:val="1"/>
            <w:u w:val="single" w:color="auto"/>
            <w:color w:val="0000FF"/>
          </w:rPr>
          <w:t>10.9</w:t>
        </w:r>
      </w:hyperlink>
      <w:r>
        <w:rPr>
          <w:rFonts w:ascii="Times New Roman" w:cs="Times New Roman" w:eastAsia="Times New Roman" w:hAnsi="Times New Roman"/>
          <w:sz w:val="18"/>
          <w:szCs w:val="18"/>
          <w:b w:val="1"/>
          <w:bCs w:val="1"/>
          <w:color w:val="0000FF"/>
        </w:rPr>
        <w:tab/>
        <w:t>Pentair plc Compensation Plan for Non-Employee Directors, as amended and restated (Incorporated by reference to Exhibit 10.6 in the Current Report on Form 8-K of Pentair plc filed with the Commission on June 3, 2014 (File No. 001-11625)).*</w:t>
      </w:r>
    </w:p>
    <w:p>
      <w:pPr>
        <w:spacing w:after="0" w:line="64" w:lineRule="exact"/>
        <w:rPr>
          <w:sz w:val="20"/>
          <w:szCs w:val="20"/>
          <w:color w:val="auto"/>
        </w:rPr>
      </w:pPr>
    </w:p>
    <w:p>
      <w:pPr>
        <w:jc w:val="center"/>
        <w:spacing w:after="0" w:line="239" w:lineRule="auto"/>
        <w:rPr>
          <w:rFonts w:ascii="Times New Roman" w:cs="Times New Roman" w:eastAsia="Times New Roman" w:hAnsi="Times New Roman"/>
          <w:sz w:val="18"/>
          <w:szCs w:val="18"/>
          <w:b w:val="1"/>
          <w:bCs w:val="1"/>
          <w:color w:val="0000FF"/>
        </w:rPr>
      </w:pPr>
      <w:hyperlink r:id="rId124">
        <w:r>
          <w:rPr>
            <w:rFonts w:ascii="Times New Roman" w:cs="Times New Roman" w:eastAsia="Times New Roman" w:hAnsi="Times New Roman"/>
            <w:sz w:val="18"/>
            <w:szCs w:val="18"/>
            <w:b w:val="1"/>
            <w:bCs w:val="1"/>
            <w:u w:val="single" w:color="auto"/>
            <w:color w:val="0000FF"/>
          </w:rPr>
          <w:t>10.10</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Pentair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plc Employee Stock Purchase and Bonus Plan, as amended and restated effective as of January 1, 2021. (Incorporated by reference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to Exhibit 10.11 to the Annual Report on Form 10-K of Pentair plc for the year ended December 31, 2020 (File No. 001-11625)).*</w:t>
      </w:r>
    </w:p>
    <w:p>
      <w:pPr>
        <w:spacing w:after="0" w:line="60" w:lineRule="exact"/>
        <w:rPr>
          <w:sz w:val="20"/>
          <w:szCs w:val="20"/>
          <w:color w:val="auto"/>
        </w:rPr>
      </w:pPr>
    </w:p>
    <w:p>
      <w:pPr>
        <w:ind w:left="780" w:hanging="775"/>
        <w:spacing w:after="0" w:line="237" w:lineRule="auto"/>
        <w:tabs>
          <w:tab w:leader="none" w:pos="760" w:val="left"/>
        </w:tabs>
        <w:rPr>
          <w:rFonts w:ascii="Times New Roman" w:cs="Times New Roman" w:eastAsia="Times New Roman" w:hAnsi="Times New Roman"/>
          <w:sz w:val="18"/>
          <w:szCs w:val="18"/>
          <w:b w:val="1"/>
          <w:bCs w:val="1"/>
          <w:color w:val="0000FF"/>
        </w:rPr>
      </w:pPr>
      <w:hyperlink r:id="rId125">
        <w:r>
          <w:rPr>
            <w:rFonts w:ascii="Times New Roman" w:cs="Times New Roman" w:eastAsia="Times New Roman" w:hAnsi="Times New Roman"/>
            <w:sz w:val="18"/>
            <w:szCs w:val="18"/>
            <w:b w:val="1"/>
            <w:bCs w:val="1"/>
            <w:u w:val="single" w:color="auto"/>
            <w:color w:val="0000FF"/>
          </w:rPr>
          <w:t>10.11</w:t>
        </w:r>
      </w:hyperlink>
      <w:r>
        <w:rPr>
          <w:rFonts w:ascii="Times New Roman" w:cs="Times New Roman" w:eastAsia="Times New Roman" w:hAnsi="Times New Roman"/>
          <w:sz w:val="18"/>
          <w:szCs w:val="18"/>
          <w:b w:val="1"/>
          <w:bCs w:val="1"/>
          <w:color w:val="0000FF"/>
        </w:rPr>
        <w:tab/>
        <w:t>Pentair, Inc. Non-Qualified Deferred Compensation Plan, as amended and restated (Incorporated by reference to Exhibit 10.17 to the Annual Report on Form 10-K of Pentair plc for the year ended December 31, 2018 (File No. 001-11625)).*</w:t>
      </w:r>
    </w:p>
    <w:p>
      <w:pPr>
        <w:spacing w:after="0" w:line="64" w:lineRule="exact"/>
        <w:rPr>
          <w:sz w:val="20"/>
          <w:szCs w:val="20"/>
          <w:color w:val="auto"/>
        </w:rPr>
      </w:pPr>
    </w:p>
    <w:p>
      <w:pPr>
        <w:jc w:val="right"/>
        <w:spacing w:after="0" w:line="225" w:lineRule="auto"/>
        <w:rPr>
          <w:rFonts w:ascii="Times New Roman" w:cs="Times New Roman" w:eastAsia="Times New Roman" w:hAnsi="Times New Roman"/>
          <w:sz w:val="18"/>
          <w:szCs w:val="18"/>
          <w:b w:val="1"/>
          <w:bCs w:val="1"/>
          <w:color w:val="0000FF"/>
        </w:rPr>
      </w:pPr>
      <w:hyperlink r:id="rId126">
        <w:r>
          <w:rPr>
            <w:rFonts w:ascii="Times New Roman" w:cs="Times New Roman" w:eastAsia="Times New Roman" w:hAnsi="Times New Roman"/>
            <w:sz w:val="18"/>
            <w:szCs w:val="18"/>
            <w:b w:val="1"/>
            <w:bCs w:val="1"/>
            <w:u w:val="single" w:color="auto"/>
            <w:color w:val="0000FF"/>
          </w:rPr>
          <w:t>10.12</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Trust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Agreement for Pentair, Inc. Non-Qualified Deferred Compensation Plan between Pentair, Inc. and Fidelity Management Trust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Company (Incorporated by reference to Exhibit 10.18 contained in the Annual Report on Form 10-K of Pentair, Inc. for the year ended</w:t>
      </w:r>
    </w:p>
    <w:p>
      <w:pPr>
        <w:ind w:left="780"/>
        <w:spacing w:after="0"/>
        <w:rPr>
          <w:sz w:val="20"/>
          <w:szCs w:val="20"/>
          <w:color w:val="auto"/>
        </w:rPr>
      </w:pPr>
      <w:r>
        <w:rPr>
          <w:rFonts w:ascii="Times New Roman" w:cs="Times New Roman" w:eastAsia="Times New Roman" w:hAnsi="Times New Roman"/>
          <w:sz w:val="18"/>
          <w:szCs w:val="18"/>
          <w:color w:val="auto"/>
        </w:rPr>
        <w:t>December 31, 1995 (File No. 000-04689)).*</w:t>
      </w:r>
    </w:p>
    <w:p>
      <w:pPr>
        <w:spacing w:after="0" w:line="53" w:lineRule="exact"/>
        <w:rPr>
          <w:sz w:val="20"/>
          <w:szCs w:val="20"/>
          <w:color w:val="auto"/>
        </w:rPr>
      </w:pPr>
    </w:p>
    <w:p>
      <w:pPr>
        <w:ind w:left="780" w:hanging="780"/>
        <w:spacing w:after="0" w:line="237" w:lineRule="auto"/>
        <w:tabs>
          <w:tab w:leader="none" w:pos="760" w:val="left"/>
        </w:tabs>
        <w:rPr>
          <w:rFonts w:ascii="Times New Roman" w:cs="Times New Roman" w:eastAsia="Times New Roman" w:hAnsi="Times New Roman"/>
          <w:sz w:val="18"/>
          <w:szCs w:val="18"/>
          <w:b w:val="1"/>
          <w:bCs w:val="1"/>
          <w:color w:val="0000FF"/>
        </w:rPr>
      </w:pPr>
      <w:hyperlink r:id="rId127">
        <w:r>
          <w:rPr>
            <w:rFonts w:ascii="Times New Roman" w:cs="Times New Roman" w:eastAsia="Times New Roman" w:hAnsi="Times New Roman"/>
            <w:sz w:val="18"/>
            <w:szCs w:val="18"/>
            <w:b w:val="1"/>
            <w:bCs w:val="1"/>
            <w:u w:val="single" w:color="auto"/>
            <w:color w:val="0000FF"/>
          </w:rPr>
          <w:t>10.13</w:t>
        </w:r>
      </w:hyperlink>
      <w:r>
        <w:rPr>
          <w:rFonts w:ascii="Times New Roman" w:cs="Times New Roman" w:eastAsia="Times New Roman" w:hAnsi="Times New Roman"/>
          <w:sz w:val="18"/>
          <w:szCs w:val="18"/>
          <w:b w:val="1"/>
          <w:bCs w:val="1"/>
          <w:color w:val="0000FF"/>
        </w:rPr>
        <w:tab/>
        <w:t>Pentair, Inc. Supplemental Executive Retirement Plan effective January 1, 2009, as amended and restated (Incorporated by reference to Exhibit 10.13 in the Current Report on Form 8-K of Pentair plc filed with the Commission on June 3, 2014 (File No. 001-11625)).*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80" w:top="927"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29">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14</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Pentair, Inc. Restoration Plan effective January 1, 2009, as amended and restated (Incorporated by reference to Exhibit 10.14 in the Current</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30">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15</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Deed of Indemnification for directors and executive officers of Pentair plc (Incorporated by reference to Exhibit 10.15 in the</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Current 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31">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16</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Indemnification Agreement for directors and executive officers of Pentair plc (Incorporated by reference to Exhibit 10.16 in the</w:t>
            </w:r>
          </w:p>
        </w:tc>
        <w:tc>
          <w:tcPr>
            <w:tcW w:w="0" w:type="dxa"/>
            <w:vAlign w:val="bottom"/>
          </w:tcPr>
          <w:p>
            <w:pPr>
              <w:spacing w:after="0"/>
              <w:rPr>
                <w:sz w:val="1"/>
                <w:szCs w:val="1"/>
                <w:color w:val="auto"/>
              </w:rPr>
            </w:pPr>
          </w:p>
        </w:tc>
      </w:tr>
      <w:tr>
        <w:trPr>
          <w:trHeight w:val="214"/>
        </w:trPr>
        <w:tc>
          <w:tcPr>
            <w:tcW w:w="400" w:type="dxa"/>
            <w:vAlign w:val="bottom"/>
            <w:tcBorders>
              <w:top w:val="single" w:sz="8" w:color="0000FF"/>
            </w:tcBorders>
            <w:vMerge w:val="restart"/>
          </w:tcPr>
          <w:p>
            <w:pPr>
              <w:jc w:val="right"/>
              <w:spacing w:after="0"/>
              <w:rPr>
                <w:rFonts w:ascii="Times New Roman" w:cs="Times New Roman" w:eastAsia="Times New Roman" w:hAnsi="Times New Roman"/>
                <w:sz w:val="18"/>
                <w:szCs w:val="18"/>
                <w:b w:val="1"/>
                <w:bCs w:val="1"/>
                <w:color w:val="0000FF"/>
                <w:w w:val="93"/>
              </w:rPr>
            </w:pPr>
            <w:hyperlink r:id="rId132">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17</w:t>
              </w:r>
            </w:hyperlink>
          </w:p>
        </w:tc>
        <w:tc>
          <w:tcPr>
            <w:tcW w:w="2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Report on Form 8-K of Pentair plc filed with the Commission on June 3, 2014 (File No. 001-11625)).*</w:t>
            </w:r>
          </w:p>
        </w:tc>
        <w:tc>
          <w:tcPr>
            <w:tcW w:w="0" w:type="dxa"/>
            <w:vAlign w:val="bottom"/>
          </w:tcPr>
          <w:p>
            <w:pPr>
              <w:spacing w:after="0"/>
              <w:rPr>
                <w:sz w:val="1"/>
                <w:szCs w:val="1"/>
                <w:color w:val="auto"/>
              </w:rPr>
            </w:pPr>
          </w:p>
        </w:tc>
      </w:tr>
      <w:tr>
        <w:trPr>
          <w:trHeight w:val="250"/>
        </w:trPr>
        <w:tc>
          <w:tcPr>
            <w:tcW w:w="400" w:type="dxa"/>
            <w:vAlign w:val="bottom"/>
            <w:tcBorders>
              <w:bottom w:val="single" w:sz="8" w:color="0000FF"/>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Executive Officer Stock Option Grant Agreement for grants made on or after January 1, 2017 and prior to February 26, 2018</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10.31 to the Annual Report on Form 10-K of Pentair plc for the year ended December 31, 2016 (File</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001-11625)).*</w:t>
            </w:r>
          </w:p>
        </w:tc>
        <w:tc>
          <w:tcPr>
            <w:tcW w:w="0" w:type="dxa"/>
            <w:vAlign w:val="bottom"/>
          </w:tcPr>
          <w:p>
            <w:pPr>
              <w:spacing w:after="0"/>
              <w:rPr>
                <w:sz w:val="1"/>
                <w:szCs w:val="1"/>
                <w:color w:val="auto"/>
              </w:rPr>
            </w:pPr>
          </w:p>
        </w:tc>
      </w:tr>
      <w:tr>
        <w:trPr>
          <w:trHeight w:val="279"/>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33">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18</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Executive Officer Stock Option Award Agreement for grants made on or after February 26, 2018 and prior to May 5, 2020</w:t>
            </w:r>
          </w:p>
        </w:tc>
        <w:tc>
          <w:tcPr>
            <w:tcW w:w="0" w:type="dxa"/>
            <w:vAlign w:val="bottom"/>
          </w:tcPr>
          <w:p>
            <w:pPr>
              <w:spacing w:after="0"/>
              <w:rPr>
                <w:sz w:val="1"/>
                <w:szCs w:val="1"/>
                <w:color w:val="auto"/>
              </w:rPr>
            </w:pPr>
          </w:p>
        </w:tc>
      </w:tr>
      <w:tr>
        <w:trPr>
          <w:trHeight w:val="151"/>
        </w:trPr>
        <w:tc>
          <w:tcPr>
            <w:tcW w:w="4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0320" w:type="dxa"/>
            <w:vAlign w:val="bottom"/>
          </w:tcPr>
          <w:p>
            <w:pPr>
              <w:ind w:left="180"/>
              <w:spacing w:after="0" w:line="150" w:lineRule="exact"/>
              <w:rPr>
                <w:sz w:val="20"/>
                <w:szCs w:val="20"/>
                <w:color w:val="auto"/>
              </w:rPr>
            </w:pPr>
            <w:r>
              <w:rPr>
                <w:rFonts w:ascii="Times New Roman" w:cs="Times New Roman" w:eastAsia="Times New Roman" w:hAnsi="Times New Roman"/>
                <w:sz w:val="17"/>
                <w:szCs w:val="17"/>
                <w:color w:val="auto"/>
              </w:rPr>
              <w:t>(Incorporated by reference to Exhibit 10.4 to the Quarterly Report on Form 10-Q of Pentair plc for the quarter ended March 31, 2018 (File</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001-11625)).*</w:t>
            </w:r>
          </w:p>
        </w:tc>
        <w:tc>
          <w:tcPr>
            <w:tcW w:w="0" w:type="dxa"/>
            <w:vAlign w:val="bottom"/>
          </w:tcPr>
          <w:p>
            <w:pPr>
              <w:spacing w:after="0"/>
              <w:rPr>
                <w:sz w:val="1"/>
                <w:szCs w:val="1"/>
                <w:color w:val="auto"/>
              </w:rPr>
            </w:pPr>
          </w:p>
        </w:tc>
      </w:tr>
      <w:tr>
        <w:trPr>
          <w:trHeight w:val="243"/>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34">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19</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Pentair plc 2020 Share and Incentive Plan, effective as of May 5, 2020 (Incorporated by reference to Appendix B to the Definitive Proxy</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Statement on Schedule 14A of Pentair plc filed on March 20, 2020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35">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20</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Employee Restricted Stock Unit Award Agreement under the Pentair plc 2020 Share and Incentive Plan (Incorporated by reference</w:t>
            </w:r>
          </w:p>
        </w:tc>
        <w:tc>
          <w:tcPr>
            <w:tcW w:w="0" w:type="dxa"/>
            <w:vAlign w:val="bottom"/>
          </w:tcPr>
          <w:p>
            <w:pPr>
              <w:spacing w:after="0"/>
              <w:rPr>
                <w:sz w:val="1"/>
                <w:szCs w:val="1"/>
                <w:color w:val="auto"/>
              </w:rPr>
            </w:pPr>
          </w:p>
        </w:tc>
      </w:tr>
      <w:tr>
        <w:trPr>
          <w:trHeight w:val="237"/>
        </w:trPr>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Exhibit 10.21 to the Annual Report on Form 10-K of Pentair plc for the year ended December 31, 2023 (File No. 001-11625)).*</w:t>
            </w:r>
          </w:p>
        </w:tc>
        <w:tc>
          <w:tcPr>
            <w:tcW w:w="0" w:type="dxa"/>
            <w:vAlign w:val="bottom"/>
          </w:tcPr>
          <w:p>
            <w:pPr>
              <w:spacing w:after="0"/>
              <w:rPr>
                <w:sz w:val="1"/>
                <w:szCs w:val="1"/>
                <w:color w:val="auto"/>
              </w:rPr>
            </w:pPr>
          </w:p>
        </w:tc>
      </w:tr>
      <w:tr>
        <w:trPr>
          <w:trHeight w:val="270"/>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36">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21</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Form of Non-Employee Director Restricted Stock Unit Award Agreement under the Pentair plc 2020 Share and Incentive Plan (Incorporated</w:t>
            </w:r>
          </w:p>
        </w:tc>
        <w:tc>
          <w:tcPr>
            <w:tcW w:w="0" w:type="dxa"/>
            <w:vAlign w:val="bottom"/>
          </w:tcPr>
          <w:p>
            <w:pPr>
              <w:spacing w:after="0"/>
              <w:rPr>
                <w:sz w:val="1"/>
                <w:szCs w:val="1"/>
                <w:color w:val="auto"/>
              </w:rPr>
            </w:pPr>
          </w:p>
        </w:tc>
      </w:tr>
      <w:tr>
        <w:trPr>
          <w:trHeight w:val="237"/>
        </w:trPr>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reference to Exhibit 99.2 to the Registration Statement on Form S-8 of Pentair plc (Reg. No. 333-238544)).*</w:t>
            </w:r>
          </w:p>
        </w:tc>
        <w:tc>
          <w:tcPr>
            <w:tcW w:w="0" w:type="dxa"/>
            <w:vAlign w:val="bottom"/>
          </w:tcPr>
          <w:p>
            <w:pPr>
              <w:spacing w:after="0"/>
              <w:rPr>
                <w:sz w:val="1"/>
                <w:szCs w:val="1"/>
                <w:color w:val="auto"/>
              </w:rPr>
            </w:pPr>
          </w:p>
        </w:tc>
      </w:tr>
      <w:tr>
        <w:trPr>
          <w:trHeight w:val="270"/>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37">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22</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Key Talent Award Agreement under the Pentair plc 2020 Share and Incentive Plan (Incorporated by reference to Exhibit 10.23 to</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the Annual Report on Form 10-K of Pentair plc for the year ended December 31, 2023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38">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23</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Stock Option Award Agreement under the Pentair plc 2020 Share and Incentive Plan (Incorporated by reference to Exhibit 10.24 to</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the Annual Report on Form 10-K of Pentair plc for the year ended December 31, 2023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39">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24</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Performance Share Unit Award Agreement under the Pentair plc 2020 Share and Incentive Plan (Incorporated by reference to</w:t>
            </w:r>
          </w:p>
        </w:tc>
        <w:tc>
          <w:tcPr>
            <w:tcW w:w="0" w:type="dxa"/>
            <w:vAlign w:val="bottom"/>
          </w:tcPr>
          <w:p>
            <w:pPr>
              <w:spacing w:after="0"/>
              <w:rPr>
                <w:sz w:val="1"/>
                <w:szCs w:val="1"/>
                <w:color w:val="auto"/>
              </w:rPr>
            </w:pPr>
          </w:p>
        </w:tc>
      </w:tr>
      <w:tr>
        <w:trPr>
          <w:trHeight w:val="237"/>
        </w:trPr>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10.25 to the Annual Report on Form 10-K of Pentair plc for the year ended December 31, 2023 (File No. 001-11625)).*</w:t>
            </w:r>
          </w:p>
        </w:tc>
        <w:tc>
          <w:tcPr>
            <w:tcW w:w="0" w:type="dxa"/>
            <w:vAlign w:val="bottom"/>
          </w:tcPr>
          <w:p>
            <w:pPr>
              <w:spacing w:after="0"/>
              <w:rPr>
                <w:sz w:val="1"/>
                <w:szCs w:val="1"/>
                <w:color w:val="auto"/>
              </w:rPr>
            </w:pPr>
          </w:p>
        </w:tc>
      </w:tr>
      <w:tr>
        <w:trPr>
          <w:trHeight w:val="270"/>
        </w:trPr>
        <w:tc>
          <w:tcPr>
            <w:tcW w:w="600" w:type="dxa"/>
            <w:vAlign w:val="bottom"/>
            <w:gridSpan w:val="2"/>
          </w:tcPr>
          <w:p>
            <w:pPr>
              <w:jc w:val="right"/>
              <w:ind w:right="200"/>
              <w:spacing w:after="0"/>
              <w:rPr>
                <w:rFonts w:ascii="Times New Roman" w:cs="Times New Roman" w:eastAsia="Times New Roman" w:hAnsi="Times New Roman"/>
                <w:sz w:val="18"/>
                <w:szCs w:val="18"/>
                <w:b w:val="1"/>
                <w:bCs w:val="1"/>
                <w:color w:val="0000FF"/>
                <w:w w:val="93"/>
              </w:rPr>
            </w:pPr>
            <w:hyperlink r:id="rId140">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25</w:t>
              </w:r>
            </w:hyperlink>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Pentair plc Executive Officer Severance Plan (Incorporated by reference to Exhibit 10.30 to the Annual Report on Form 10-K of Pentair plc</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for the year ended December 31, 2020 (File No. 001-11625)).*</w:t>
            </w:r>
          </w:p>
        </w:tc>
        <w:tc>
          <w:tcPr>
            <w:tcW w:w="0" w:type="dxa"/>
            <w:vAlign w:val="bottom"/>
          </w:tcPr>
          <w:p>
            <w:pPr>
              <w:spacing w:after="0" w:line="20" w:lineRule="exact"/>
              <w:rPr>
                <w:sz w:val="1"/>
                <w:szCs w:val="1"/>
                <w:color w:val="auto"/>
              </w:rPr>
            </w:pPr>
          </w:p>
        </w:tc>
      </w:tr>
      <w:tr>
        <w:trPr>
          <w:trHeight w:val="214"/>
        </w:trPr>
        <w:tc>
          <w:tcPr>
            <w:tcW w:w="600" w:type="dxa"/>
            <w:vAlign w:val="bottom"/>
            <w:gridSpan w:val="2"/>
            <w:vMerge w:val="restart"/>
          </w:tcPr>
          <w:p>
            <w:pPr>
              <w:jc w:val="right"/>
              <w:ind w:right="200"/>
              <w:spacing w:after="0"/>
              <w:rPr>
                <w:rFonts w:ascii="Times New Roman" w:cs="Times New Roman" w:eastAsia="Times New Roman" w:hAnsi="Times New Roman"/>
                <w:sz w:val="18"/>
                <w:szCs w:val="18"/>
                <w:b w:val="1"/>
                <w:bCs w:val="1"/>
                <w:color w:val="0000FF"/>
                <w:w w:val="93"/>
              </w:rPr>
            </w:pPr>
            <w:hyperlink r:id="rId141">
              <w:r>
                <w:rPr>
                  <w:rFonts w:ascii="Times New Roman" w:cs="Times New Roman" w:eastAsia="Times New Roman" w:hAnsi="Times New Roman"/>
                  <w:sz w:val="18"/>
                  <w:szCs w:val="18"/>
                  <w:b w:val="1"/>
                  <w:bCs w:val="1"/>
                  <w:color w:val="0000FF"/>
                  <w:w w:val="93"/>
                </w:rPr>
                <w:t>10.</w:t>
              </w:r>
              <w:r>
                <w:rPr>
                  <w:rFonts w:ascii="Times New Roman" w:cs="Times New Roman" w:eastAsia="Times New Roman" w:hAnsi="Times New Roman"/>
                  <w:sz w:val="18"/>
                  <w:szCs w:val="18"/>
                  <w:b w:val="1"/>
                  <w:bCs w:val="1"/>
                  <w:u w:val="single" w:color="auto"/>
                  <w:color w:val="0000FF"/>
                  <w:w w:val="93"/>
                </w:rPr>
                <w:t>26</w:t>
              </w:r>
            </w:hyperlink>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gridSpan w:val="2"/>
            <w:vMerge w:val="continue"/>
          </w:tcPr>
          <w:p>
            <w:pPr>
              <w:spacing w:after="0"/>
              <w:rPr>
                <w:sz w:val="20"/>
                <w:szCs w:val="20"/>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No. 1 to the Pentair plc 2020 Share and Incentive Plan (Incorporated by reference to Exhibit 10.31 to the Annual Report on</w:t>
            </w:r>
          </w:p>
        </w:tc>
        <w:tc>
          <w:tcPr>
            <w:tcW w:w="0" w:type="dxa"/>
            <w:vAlign w:val="bottom"/>
          </w:tcPr>
          <w:p>
            <w:pPr>
              <w:spacing w:after="0"/>
              <w:rPr>
                <w:sz w:val="1"/>
                <w:szCs w:val="1"/>
                <w:color w:val="auto"/>
              </w:rPr>
            </w:pPr>
          </w:p>
        </w:tc>
      </w:tr>
      <w:tr>
        <w:trPr>
          <w:trHeight w:val="214"/>
        </w:trPr>
        <w:tc>
          <w:tcPr>
            <w:tcW w:w="4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10-K of Pentair plc for the year ended December 31, 2020 (File No. 001-11625)).*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780" w:hanging="670"/>
        <w:spacing w:after="0"/>
        <w:tabs>
          <w:tab w:leader="none" w:pos="780" w:val="left"/>
        </w:tabs>
        <w:numPr>
          <w:ilvl w:val="0"/>
          <w:numId w:val="6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Insider Trading Policy.</w:t>
      </w:r>
    </w:p>
    <w:p>
      <w:pPr>
        <w:spacing w:after="0" w:line="77" w:lineRule="exact"/>
        <w:rPr>
          <w:sz w:val="20"/>
          <w:szCs w:val="20"/>
          <w:color w:val="auto"/>
        </w:rPr>
      </w:pPr>
    </w:p>
    <w:p>
      <w:pPr>
        <w:ind w:left="780" w:hanging="670"/>
        <w:spacing w:after="0"/>
        <w:tabs>
          <w:tab w:leader="none" w:pos="780" w:val="left"/>
        </w:tabs>
        <w:numPr>
          <w:ilvl w:val="0"/>
          <w:numId w:val="6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Pentair plc subsidiaries.</w:t>
      </w:r>
    </w:p>
    <w:p>
      <w:pPr>
        <w:spacing w:after="0" w:line="90" w:lineRule="exact"/>
        <w:rPr>
          <w:rFonts w:ascii="Times New Roman" w:cs="Times New Roman" w:eastAsia="Times New Roman" w:hAnsi="Times New Roman"/>
          <w:sz w:val="18"/>
          <w:szCs w:val="18"/>
          <w:b w:val="1"/>
          <w:bCs w:val="1"/>
          <w:u w:val="single" w:color="auto"/>
          <w:color w:val="0000FF"/>
        </w:rPr>
      </w:pPr>
    </w:p>
    <w:p>
      <w:pPr>
        <w:ind w:left="780" w:hanging="670"/>
        <w:spacing w:after="0" w:line="266" w:lineRule="auto"/>
        <w:tabs>
          <w:tab w:leader="none" w:pos="780" w:val="left"/>
        </w:tabs>
        <w:numPr>
          <w:ilvl w:val="0"/>
          <w:numId w:val="6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54" w:lineRule="exact"/>
        <w:rPr>
          <w:rFonts w:ascii="Times New Roman" w:cs="Times New Roman" w:eastAsia="Times New Roman" w:hAnsi="Times New Roman"/>
          <w:sz w:val="18"/>
          <w:szCs w:val="18"/>
          <w:b w:val="1"/>
          <w:bCs w:val="1"/>
          <w:u w:val="single" w:color="auto"/>
          <w:color w:val="0000FF"/>
        </w:rPr>
      </w:pPr>
    </w:p>
    <w:p>
      <w:pPr>
        <w:ind w:left="780" w:hanging="670"/>
        <w:spacing w:after="0"/>
        <w:tabs>
          <w:tab w:leader="none" w:pos="780" w:val="left"/>
        </w:tabs>
        <w:numPr>
          <w:ilvl w:val="0"/>
          <w:numId w:val="6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Consent of Independent Registered Public Accounting Firm — Deloitte &amp; Touche LLP.</w:t>
      </w:r>
    </w:p>
    <w:p>
      <w:pPr>
        <w:spacing w:after="0" w:line="76" w:lineRule="exact"/>
        <w:rPr>
          <w:rFonts w:ascii="Times New Roman" w:cs="Times New Roman" w:eastAsia="Times New Roman" w:hAnsi="Times New Roman"/>
          <w:sz w:val="18"/>
          <w:szCs w:val="18"/>
          <w:b w:val="1"/>
          <w:bCs w:val="1"/>
          <w:u w:val="single" w:color="auto"/>
          <w:color w:val="0000FF"/>
        </w:rPr>
      </w:pPr>
    </w:p>
    <w:p>
      <w:pPr>
        <w:ind w:left="780" w:hanging="670"/>
        <w:spacing w:after="0"/>
        <w:tabs>
          <w:tab w:leader="none" w:pos="780" w:val="left"/>
        </w:tabs>
        <w:numPr>
          <w:ilvl w:val="0"/>
          <w:numId w:val="6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Power of attorney.</w:t>
      </w:r>
    </w:p>
    <w:p>
      <w:pPr>
        <w:spacing w:after="0" w:line="73"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7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77" w:lineRule="exact"/>
        <w:rPr>
          <w:sz w:val="20"/>
          <w:szCs w:val="20"/>
          <w:color w:val="auto"/>
        </w:rPr>
      </w:pPr>
    </w:p>
    <w:p>
      <w:pPr>
        <w:ind w:left="780" w:hanging="735"/>
        <w:spacing w:after="0" w:line="237" w:lineRule="auto"/>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64" w:lineRule="exact"/>
        <w:rPr>
          <w:sz w:val="20"/>
          <w:szCs w:val="20"/>
          <w:color w:val="auto"/>
        </w:rPr>
      </w:pPr>
    </w:p>
    <w:p>
      <w:pPr>
        <w:ind w:left="780" w:hanging="735"/>
        <w:spacing w:after="0" w:line="237" w:lineRule="auto"/>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80" w:top="918" w:right="399" w:bottom="1440" w:gutter="0" w:footer="0" w:header="0"/>
        </w:sectPr>
      </w:pPr>
    </w:p>
    <w:bookmarkStart w:id="88" w:name="page89"/>
    <w:bookmarkEnd w:id="88"/>
    <w:p>
      <w:pPr>
        <w:ind w:left="1040" w:hanging="670"/>
        <w:spacing w:after="0" w:line="237" w:lineRule="auto"/>
        <w:tabs>
          <w:tab w:leader="none" w:pos="1040" w:val="left"/>
        </w:tabs>
        <w:numPr>
          <w:ilvl w:val="0"/>
          <w:numId w:val="6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Compensation Recovery Policy (Incorporated by reference to Exhibit 97 to the Annual Report on Form 10-K of Pentair plc for the year ended December 31, 2023 (File No. 001-11625)).</w:t>
      </w:r>
    </w:p>
    <w:p>
      <w:pPr>
        <w:spacing w:after="0" w:line="64" w:lineRule="exact"/>
        <w:rPr>
          <w:sz w:val="20"/>
          <w:szCs w:val="20"/>
          <w:color w:val="auto"/>
        </w:rPr>
      </w:pPr>
    </w:p>
    <w:p>
      <w:pPr>
        <w:jc w:val="both"/>
        <w:ind w:left="1040" w:hanging="715"/>
        <w:spacing w:after="0" w:line="217" w:lineRule="auto"/>
        <w:tabs>
          <w:tab w:leader="none" w:pos="10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Annual Report on Form 10-K for the year ended December 31, 2024 are filed herewith, formatted in iXBRL (Inline Extensible Business Reporting Language): (i) the Consolidated Statements of Operations and Comprehensive Income for the years ended December 31, 2024, 2023 and 2022, (ii) the Consolidated Balance Sheets as of December 31, 2024 and 2023, (iii) the Consolidated Statements of Cash Flows for the years ended December 31, 2024, 2023 and 2022, (iv) the Consolidated Statements of Changes in Equity for the years ended December 31, 2024, 2023 and 2022, (v) the Notes to the Consolidated Financial Statements, and (vi) the information included in Part I, Item IC, Part II, Item 9B(b) and Part III, Item 10. The instance document does not appear in the interactive data file because its XBRL tags are embedded within the Inline XBRL document.</w:t>
      </w:r>
    </w:p>
    <w:p>
      <w:pPr>
        <w:spacing w:after="0" w:line="53" w:lineRule="exact"/>
        <w:rPr>
          <w:sz w:val="20"/>
          <w:szCs w:val="20"/>
          <w:color w:val="auto"/>
        </w:rPr>
      </w:pPr>
    </w:p>
    <w:p>
      <w:pPr>
        <w:ind w:left="20" w:right="3560" w:firstLine="305"/>
        <w:spacing w:after="0" w:line="454" w:lineRule="auto"/>
        <w:tabs>
          <w:tab w:leader="none" w:pos="1032"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25, 2025.</w:t>
      </w:r>
    </w:p>
    <w:p>
      <w:pPr>
        <w:spacing w:after="0" w:line="8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PENTAIR PLC</w:t>
      </w:r>
    </w:p>
    <w:p>
      <w:pPr>
        <w:spacing w:after="0" w:line="27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31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ind w:left="56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25,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2"/>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8"/>
                <w:szCs w:val="18"/>
                <w:color w:val="auto"/>
              </w:rPr>
              <w:t>/s/ John L. Stauch</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28"/>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rPr>
              <w:t>John L. Stauch</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w:t>
            </w:r>
          </w:p>
        </w:tc>
      </w:tr>
      <w:tr>
        <w:trPr>
          <w:trHeight w:val="234"/>
        </w:trPr>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Robert P. Fishman</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8"/>
              </w:rPr>
              <w:t>Robert P. Fishman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Mona Abutaleb Stephenson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9"/>
              </w:rPr>
              <w:t>Melissa Barra</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Tracey Doi</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8"/>
              </w:rPr>
              <w:t>T. Michael Glenn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Theodore L. Harris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w w:val="99"/>
              </w:rPr>
              <w:t>David A. Jones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660" w:type="dxa"/>
            <w:vAlign w:val="bottom"/>
          </w:tcPr>
          <w:p>
            <w:pPr>
              <w:spacing w:after="0"/>
              <w:rPr>
                <w:sz w:val="20"/>
                <w:szCs w:val="20"/>
                <w:color w:val="auto"/>
              </w:rPr>
            </w:pPr>
          </w:p>
        </w:tc>
        <w:tc>
          <w:tcPr>
            <w:tcW w:w="45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Gregory E. Knight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97"/>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8"/>
              </w:rPr>
              <w:t>Michael T. Speetzen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79"/>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8"/>
              </w:rPr>
              <w:t>Billie I. Williamson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4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/s/ Karla C. Robertson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8"/>
                <w:szCs w:val="18"/>
                <w:color w:val="auto"/>
              </w:rPr>
              <w:t>Karla C. Robertson</w:t>
            </w: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9"/>
              </w:rPr>
              <w:t>Attorney-in-fact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spacing w:after="0" w:line="153"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2024 annual general meeting of shareholders to authorize the board of directors to issue up to a maximum of 20% of Pentair’s issued ordinary share capital as of March 8, 2024 (an aggregate nominal amount of $332,032 or 33,203,219 shares), for a period to expire 18 months from the approval, or November 7, 2025.</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restrictions to which the ordinary shares are subject are prescribed in the Pentair Articles.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2024 annual general meeting of shareholders to authorize Pentair to opt out of preemption rights with respect to the allotment of equity securities up to a maximum of 20% of Pentair’s issued ordinary share capital as of March 8, 2024 (an aggregate nominal amount of $332,032 or 33,203,219 shares). This approval will expire 18 months from the date of the approval, or November 7,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 accounting practice. The relevant financial statements must be filed in the Companies Registration Office (the official public registry for companies in Ireland).</w:t>
      </w:r>
    </w:p>
    <w:p>
      <w:pPr>
        <w:sectPr>
          <w:pgSz w:w="11900" w:h="16838" w:orient="portrait"/>
          <w:cols w:equalWidth="0" w:num="1">
            <w:col w:w="11240"/>
          </w:cols>
          <w:pgMar w:left="320" w:top="117" w:right="339" w:bottom="1440" w:gutter="0" w:footer="0" w:header="0"/>
        </w:sectPr>
      </w:pPr>
    </w:p>
    <w:bookmarkStart w:id="91" w:name="page92"/>
    <w:bookmarkEnd w:id="91"/>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spacing w:after="0" w:line="1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directors of Pentair may deduct from any dividend payable to any shareholder any amounts payable by such shareholder to Pentair in relation to the ordinary shares of Pentair.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and Redemptions by Pentair</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spacing w:after="0" w:line="14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by Subsidiaries of Pentair</w:t>
      </w:r>
    </w:p>
    <w:p>
      <w:pPr>
        <w:spacing w:after="0" w:line="18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72" w:right="379" w:bottom="1440" w:gutter="0" w:footer="0" w:header="0"/>
        </w:sectPr>
      </w:pPr>
    </w:p>
    <w:bookmarkStart w:id="92" w:name="page93"/>
    <w:bookmarkEnd w:id="92"/>
    <w:p>
      <w:pPr>
        <w:ind w:right="40"/>
        <w:spacing w:after="0" w:line="266" w:lineRule="auto"/>
        <w:rPr>
          <w:sz w:val="20"/>
          <w:szCs w:val="20"/>
          <w:color w:val="auto"/>
        </w:rPr>
      </w:pPr>
      <w:r>
        <w:rPr>
          <w:rFonts w:ascii="Times New Roman" w:cs="Times New Roman" w:eastAsia="Times New Roman" w:hAnsi="Times New Roman"/>
          <w:sz w:val="18"/>
          <w:szCs w:val="18"/>
          <w:color w:val="auto"/>
        </w:rPr>
        <w:t>resolution of the shareholders before the contract is entered into. The person whose Pentair ordinary shares are to be bought back cannot vote in favor of the special resolution and, for at least 21 days prior to the special resolution being passed, the purchase contract must be on display or must be available for inspection by shareholders at the registered office of Pentair.</w:t>
      </w:r>
    </w:p>
    <w:p>
      <w:pPr>
        <w:spacing w:after="0" w:line="14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 and Forfeiture of Shares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8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Each ordinary share is entitled to one vote on each matter properly brought before the shareholders. At any meeting of Pentair, all resolutions will be decided on a poll.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Treasury shares or Pentair ordinary shares that are held by subsidiaries of Pentair are not entitled to be voted at general meetings of shareholders.</w:t>
      </w:r>
    </w:p>
    <w:p>
      <w:pPr>
        <w:spacing w:after="0" w:line="18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Pentair Articles;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Pentair;</w:t>
      </w:r>
    </w:p>
    <w:p>
      <w:pPr>
        <w:spacing w:after="0" w:line="157" w:lineRule="exact"/>
        <w:rPr>
          <w:rFonts w:ascii="Times New Roman" w:cs="Times New Roman" w:eastAsia="Times New Roman" w:hAnsi="Times New Roman"/>
          <w:sz w:val="18"/>
          <w:szCs w:val="18"/>
          <w:color w:val="auto"/>
        </w:rPr>
      </w:pPr>
    </w:p>
    <w:p>
      <w:pPr>
        <w:ind w:left="1300" w:right="580" w:hanging="644"/>
        <w:spacing w:after="0" w:line="237" w:lineRule="auto"/>
        <w:tabs>
          <w:tab w:leader="none" w:pos="1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connected person;</w:t>
      </w:r>
    </w:p>
    <w:p>
      <w:pPr>
        <w:spacing w:after="0" w:line="1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preemption rights on the issuance of new shares;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Pentair from a public limited company to a private company;</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972" w:right="359" w:bottom="1440" w:gutter="0" w:footer="0" w:header="0"/>
          <w:type w:val="continuous"/>
        </w:sectPr>
      </w:pPr>
    </w:p>
    <w:bookmarkStart w:id="93" w:name="page94"/>
    <w:bookmarkEnd w:id="93"/>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the Pentair Articles do not provide otherwise);</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Pentair shares off-market;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Pentair be wound up by the Irish courts;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 and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cross-border merger pursuant to Directive (EU) 2017/1132 of 14 June 2017 relating to certain aspects of company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85" w:lineRule="exact"/>
        <w:rPr>
          <w:sz w:val="20"/>
          <w:szCs w:val="20"/>
          <w:color w:val="auto"/>
        </w:rPr>
      </w:pPr>
    </w:p>
    <w:p>
      <w:pPr>
        <w:ind w:left="1300" w:right="160" w:hanging="644"/>
        <w:spacing w:after="0" w:line="226" w:lineRule="auto"/>
        <w:tabs>
          <w:tab w:leader="none" w:pos="12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30" w:lineRule="exact"/>
        <w:rPr>
          <w:rFonts w:ascii="Times New Roman" w:cs="Times New Roman" w:eastAsia="Times New Roman" w:hAnsi="Times New Roman"/>
          <w:sz w:val="18"/>
          <w:szCs w:val="18"/>
          <w:color w:val="auto"/>
        </w:rPr>
      </w:pPr>
    </w:p>
    <w:p>
      <w:pPr>
        <w:ind w:left="1300" w:right="40" w:hanging="644"/>
        <w:spacing w:after="0" w:line="220" w:lineRule="auto"/>
        <w:tabs>
          <w:tab w:leader="none" w:pos="12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spacing w:after="0" w:line="131" w:lineRule="exact"/>
        <w:rPr>
          <w:rFonts w:ascii="Times New Roman" w:cs="Times New Roman" w:eastAsia="Times New Roman" w:hAnsi="Times New Roman"/>
          <w:sz w:val="18"/>
          <w:szCs w:val="18"/>
          <w:color w:val="auto"/>
        </w:rPr>
      </w:pPr>
    </w:p>
    <w:p>
      <w:pPr>
        <w:ind w:left="1300" w:right="60" w:hanging="644"/>
        <w:spacing w:after="0" w:line="224" w:lineRule="auto"/>
        <w:tabs>
          <w:tab w:leader="none" w:pos="12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spacing w:after="0" w:line="1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58" w:right="359" w:bottom="1440" w:gutter="0" w:footer="0" w:header="0"/>
        </w:sectPr>
      </w:pPr>
    </w:p>
    <w:bookmarkStart w:id="94" w:name="page95"/>
    <w:bookmarkEnd w:id="94"/>
    <w:p>
      <w:pPr>
        <w:ind w:right="400"/>
        <w:spacing w:after="0" w:line="261" w:lineRule="auto"/>
        <w:rPr>
          <w:sz w:val="20"/>
          <w:szCs w:val="20"/>
          <w:color w:val="auto"/>
        </w:rPr>
      </w:pPr>
      <w:r>
        <w:rPr>
          <w:rFonts w:ascii="Times New Roman" w:cs="Times New Roman" w:eastAsia="Times New Roman" w:hAnsi="Times New Roman"/>
          <w:sz w:val="18"/>
          <w:szCs w:val="18"/>
          <w:color w:val="auto"/>
        </w:rPr>
        <w:t>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 subject to certain restrictions, as prescribed by the Companies Act, as follows:</w:t>
      </w:r>
    </w:p>
    <w:p>
      <w:pPr>
        <w:spacing w:after="0" w:line="139" w:lineRule="exact"/>
        <w:rPr>
          <w:sz w:val="20"/>
          <w:szCs w:val="20"/>
          <w:color w:val="auto"/>
        </w:rPr>
      </w:pPr>
    </w:p>
    <w:p>
      <w:pPr>
        <w:ind w:left="1300" w:right="300" w:hanging="644"/>
        <w:spacing w:after="0" w:line="237"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Pentair on those shares, whether in respect of capital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8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event Pentair is in an offer period pursuant to the Irish Takeover Rules (as defined below), accelerated disclosure provisions apply for persons holding an interest in Pentair securities of 1% or more.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Takeover Rules and Substantial Acquisition Rules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Principles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Irish Takeover Rules are built on the following General Principles which will apply to any transaction regulated by the Panel:</w:t>
      </w:r>
    </w:p>
    <w:p>
      <w:pPr>
        <w:spacing w:after="0" w:line="171" w:lineRule="exact"/>
        <w:rPr>
          <w:sz w:val="20"/>
          <w:szCs w:val="20"/>
          <w:color w:val="auto"/>
        </w:rPr>
      </w:pPr>
    </w:p>
    <w:p>
      <w:pPr>
        <w:ind w:left="1300" w:right="300" w:hanging="644"/>
        <w:spacing w:after="0" w:line="237" w:lineRule="auto"/>
        <w:tabs>
          <w:tab w:leader="none" w:pos="1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security of the target company should be afforded equivalent treatment and, if a person acquires control of a company, the other holders of securities must be protected;</w:t>
      </w:r>
    </w:p>
    <w:p>
      <w:pPr>
        <w:spacing w:after="0" w:line="131" w:lineRule="exact"/>
        <w:rPr>
          <w:rFonts w:ascii="Times New Roman" w:cs="Times New Roman" w:eastAsia="Times New Roman" w:hAnsi="Times New Roman"/>
          <w:sz w:val="18"/>
          <w:szCs w:val="18"/>
          <w:color w:val="auto"/>
        </w:rPr>
      </w:pPr>
    </w:p>
    <w:p>
      <w:pPr>
        <w:ind w:left="1300" w:right="60" w:hanging="644"/>
        <w:spacing w:after="0" w:line="247" w:lineRule="auto"/>
        <w:tabs>
          <w:tab w:leader="none" w:pos="129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11" w:lineRule="exact"/>
        <w:rPr>
          <w:rFonts w:ascii="Times New Roman" w:cs="Times New Roman" w:eastAsia="Times New Roman" w:hAnsi="Times New Roman"/>
          <w:sz w:val="17"/>
          <w:szCs w:val="17"/>
          <w:color w:val="auto"/>
        </w:rPr>
      </w:pPr>
    </w:p>
    <w:p>
      <w:pPr>
        <w:ind w:left="1300" w:right="520" w:hanging="644"/>
        <w:spacing w:after="0" w:line="250" w:lineRule="auto"/>
        <w:tabs>
          <w:tab w:leader="none" w:pos="1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8" w:lineRule="exact"/>
        <w:rPr>
          <w:rFonts w:ascii="Times New Roman" w:cs="Times New Roman" w:eastAsia="Times New Roman" w:hAnsi="Times New Roman"/>
          <w:sz w:val="18"/>
          <w:szCs w:val="18"/>
          <w:color w:val="auto"/>
        </w:rPr>
      </w:pPr>
    </w:p>
    <w:p>
      <w:pPr>
        <w:ind w:left="1300" w:right="260" w:hanging="644"/>
        <w:spacing w:after="0" w:line="279" w:lineRule="auto"/>
        <w:tabs>
          <w:tab w:leader="none" w:pos="129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50" w:lineRule="auto"/>
        <w:tabs>
          <w:tab w:leader="none" w:pos="1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57" w:lineRule="exact"/>
        <w:rPr>
          <w:rFonts w:ascii="Times New Roman" w:cs="Times New Roman" w:eastAsia="Times New Roman" w:hAnsi="Times New Roman"/>
          <w:sz w:val="18"/>
          <w:szCs w:val="18"/>
          <w:color w:val="auto"/>
        </w:rPr>
      </w:pPr>
    </w:p>
    <w:p>
      <w:pPr>
        <w:ind w:left="1300" w:hanging="644"/>
        <w:spacing w:after="0" w:line="237" w:lineRule="auto"/>
        <w:tabs>
          <w:tab w:leader="none" w:pos="1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972" w:right="359" w:bottom="1440" w:gutter="0" w:footer="0" w:header="0"/>
        </w:sectPr>
      </w:pPr>
    </w:p>
    <w:bookmarkStart w:id="95" w:name="page96"/>
    <w:bookmarkEnd w:id="95"/>
    <w:p>
      <w:pPr>
        <w:spacing w:after="0" w:line="256" w:lineRule="auto"/>
        <w:rPr>
          <w:sz w:val="20"/>
          <w:szCs w:val="20"/>
          <w:color w:val="auto"/>
        </w:rPr>
      </w:pPr>
      <w:r>
        <w:rPr>
          <w:rFonts w:ascii="Times New Roman" w:cs="Times New Roman" w:eastAsia="Times New Roman" w:hAnsi="Times New Roman"/>
          <w:sz w:val="18"/>
          <w:szCs w:val="18"/>
          <w:color w:val="auto"/>
        </w:rPr>
        <w:t>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3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offer period will generally commence from the date of the first announcement of the offer or proposed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spacing w:after="0" w:line="133"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Pentair’s shareholders at a general meeting; or</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Panel has given its consent, where:</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44"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Pentair shareholders that hold 50% of the voting rights state in writing that they approve the proposed action and would vote in favor of it at a general meeting;</w:t>
      </w:r>
    </w:p>
    <w:p>
      <w:pPr>
        <w:spacing w:after="0" w:line="1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57" w:lineRule="exact"/>
        <w:rPr>
          <w:rFonts w:ascii="Times New Roman" w:cs="Times New Roman" w:eastAsia="Times New Roman" w:hAnsi="Times New Roman"/>
          <w:sz w:val="18"/>
          <w:szCs w:val="18"/>
          <w:color w:val="auto"/>
        </w:rPr>
      </w:pPr>
    </w:p>
    <w:p>
      <w:pPr>
        <w:ind w:left="1300" w:right="60" w:hanging="644"/>
        <w:spacing w:after="0" w:line="237" w:lineRule="auto"/>
        <w:tabs>
          <w:tab w:leader="none" w:pos="1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72" w:right="339" w:bottom="1440" w:gutter="0" w:footer="0" w:header="0"/>
        </w:sectPr>
      </w:pPr>
    </w:p>
    <w:bookmarkStart w:id="96" w:name="page97"/>
    <w:bookmarkEnd w:id="96"/>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Pentair ordinary shares have no sinking fund provisions.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202" w:lineRule="exact"/>
        <w:rPr>
          <w:sz w:val="20"/>
          <w:szCs w:val="20"/>
          <w:color w:val="auto"/>
        </w:rPr>
      </w:pPr>
    </w:p>
    <w:p>
      <w:pPr>
        <w:ind w:right="2000" w:firstLine="648"/>
        <w:spacing w:after="0" w:line="453" w:lineRule="auto"/>
        <w:rPr>
          <w:sz w:val="20"/>
          <w:szCs w:val="20"/>
          <w:color w:val="auto"/>
        </w:rPr>
      </w:pPr>
      <w:r>
        <w:rPr>
          <w:rFonts w:ascii="Times New Roman" w:cs="Times New Roman" w:eastAsia="Times New Roman" w:hAnsi="Times New Roman"/>
          <w:sz w:val="18"/>
          <w:szCs w:val="18"/>
          <w:color w:val="auto"/>
        </w:rPr>
        <w:t xml:space="preserve">When the ordinary shares offered hereby are issued, they will be duly and validly issued, fully paid and nonassessable. </w:t>
      </w:r>
      <w:r>
        <w:rPr>
          <w:rFonts w:ascii="Times New Roman" w:cs="Times New Roman" w:eastAsia="Times New Roman" w:hAnsi="Times New Roman"/>
          <w:sz w:val="18"/>
          <w:szCs w:val="18"/>
          <w:b w:val="1"/>
          <w:bCs w:val="1"/>
          <w:color w:val="auto"/>
        </w:rPr>
        <w:t>Transfer and Registration of Shares</w:t>
      </w:r>
    </w:p>
    <w:p>
      <w:pPr>
        <w:spacing w:after="0" w:line="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person who also holds such shares beneficially through a depository or other nominee is not registered in Pentair’s official share register, as the depository or other nominee remains the record holder of any such shares.</w:t>
      </w:r>
    </w:p>
    <w:p>
      <w:pPr>
        <w:spacing w:after="0" w:line="1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spacing w:after="0" w:line="14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Pentair Articles delegate to Pentair’s secretary or assistant secretary (or their nominees) the authority to execute an instrument of transfer on behalf of a transferring party.</w:t>
      </w:r>
    </w:p>
    <w:p>
      <w:pPr>
        <w:spacing w:after="0" w:line="13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Pentair ordinary shares occurring through normal electronic systems, Pentair intends to regularly produce any required instruments of transfer in connection with any transactions for which it pays stamp duty (subject to the reimbursement and set-off rights described above). In the event that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972" w:right="379" w:bottom="1440" w:gutter="0" w:footer="0" w:header="0"/>
        </w:sectPr>
      </w:pPr>
    </w:p>
    <w:bookmarkStart w:id="97" w:name="page98"/>
    <w:bookmarkEnd w:id="97"/>
    <w:p>
      <w:pPr>
        <w:spacing w:after="0" w:line="256" w:lineRule="auto"/>
        <w:rPr>
          <w:sz w:val="20"/>
          <w:szCs w:val="20"/>
          <w:color w:val="auto"/>
        </w:rPr>
      </w:pPr>
      <w:r>
        <w:rPr>
          <w:rFonts w:ascii="Times New Roman" w:cs="Times New Roman" w:eastAsia="Times New Roman" w:hAnsi="Times New Roman"/>
          <w:sz w:val="18"/>
          <w:szCs w:val="18"/>
          <w:color w:val="auto"/>
        </w:rPr>
        <w:t>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72" w:right="339" w:bottom="1440" w:gutter="0" w:footer="0" w:header="0"/>
        </w:sectPr>
      </w:pPr>
    </w:p>
    <w:bookmarkStart w:id="98" w:name="page99"/>
    <w:bookmarkEnd w:id="98"/>
    <w:p>
      <w:pPr>
        <w:jc w:val="right"/>
        <w:spacing w:after="0"/>
        <w:rPr>
          <w:sz w:val="20"/>
          <w:szCs w:val="20"/>
          <w:color w:val="auto"/>
        </w:rPr>
      </w:pPr>
      <w:r>
        <w:rPr>
          <w:rFonts w:ascii="Calibri" w:cs="Calibri" w:eastAsia="Calibri" w:hAnsi="Calibri"/>
          <w:sz w:val="22"/>
          <w:szCs w:val="22"/>
          <w:b w:val="1"/>
          <w:bCs w:val="1"/>
          <w:color w:val="auto"/>
        </w:rPr>
        <w:t>Exhibit 19</w:t>
      </w:r>
    </w:p>
    <w:p>
      <w:pPr>
        <w:spacing w:after="0" w:line="15" w:lineRule="exact"/>
        <w:rPr>
          <w:sz w:val="20"/>
          <w:szCs w:val="20"/>
          <w:color w:val="auto"/>
        </w:rPr>
      </w:pPr>
    </w:p>
    <w:p>
      <w:pPr>
        <w:jc w:val="right"/>
        <w:ind w:right="80"/>
        <w:spacing w:after="0"/>
        <w:rPr>
          <w:sz w:val="20"/>
          <w:szCs w:val="20"/>
          <w:color w:val="auto"/>
        </w:rPr>
      </w:pPr>
      <w:r>
        <w:rPr>
          <w:rFonts w:ascii="Calibri" w:cs="Calibri" w:eastAsia="Calibri" w:hAnsi="Calibri"/>
          <w:sz w:val="29"/>
          <w:szCs w:val="29"/>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63740"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063740" cy="480060"/>
                    </a:xfrm>
                    <a:prstGeom prst="rect">
                      <a:avLst/>
                    </a:prstGeom>
                    <a:noFill/>
                  </pic:spPr>
                </pic:pic>
              </a:graphicData>
            </a:graphic>
          </wp:anchor>
        </w:drawing>
      </w:r>
    </w:p>
    <w:p>
      <w:pPr>
        <w:jc w:val="right"/>
        <w:ind w:right="80"/>
        <w:spacing w:after="0" w:line="237" w:lineRule="auto"/>
        <w:rPr>
          <w:sz w:val="20"/>
          <w:szCs w:val="20"/>
          <w:color w:val="auto"/>
        </w:rPr>
      </w:pPr>
      <w:r>
        <w:rPr>
          <w:rFonts w:ascii="Calibri" w:cs="Calibri" w:eastAsia="Calibri" w:hAnsi="Calibri"/>
          <w:sz w:val="29"/>
          <w:szCs w:val="29"/>
          <w:b w:val="1"/>
          <w:bCs w:val="1"/>
          <w:color w:val="auto"/>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32"/>
          <w:szCs w:val="32"/>
          <w:b w:val="1"/>
          <w:bCs w:val="1"/>
          <w:u w:val="single" w:color="auto"/>
          <w:color w:val="auto"/>
        </w:rPr>
        <w:t>INSIDER TRADING POLICY</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PURPOSE</w:t>
      </w:r>
    </w:p>
    <w:p>
      <w:pPr>
        <w:spacing w:after="0" w:line="242"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This Policy is intended to ensure that all directors, ofcers, and employees of Pentair plc worldwide (collectvely, “Company Personnel”) comply with all applicable laws and regulatons that prohibit persons who are aware of material nonpublic informaton about a company from (i) trading in securites of that company, commonly known as “insider trading,” or (ii) providing material nonpublic informaton to other persons who may trade on the basis of that informaton, commonly known as “tpping.” Insider trading and stock tpping, as discussed below, are criminal ofenses subject to severe criminal and civil consequences as well as possible discipline or dismissal under this Policy.</w:t>
      </w: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SCOPE</w:t>
      </w:r>
    </w:p>
    <w:p>
      <w:pPr>
        <w:spacing w:after="0" w:line="244"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This Policy applies to all directors, ofcers and employees of Pentair plc and its subsidiaries, afliates and related companies, partnerships and joint ventures in which Pentair plc has a controlling interest (collectvely, the “Company”) and to the Company itself. The Company may also determine that other persons should be subject to this Policy, such as contractors or consultants who have access to material nonpublic informaton.</w:t>
      </w:r>
    </w:p>
    <w:p>
      <w:pPr>
        <w:spacing w:after="0" w:line="244" w:lineRule="exact"/>
        <w:rPr>
          <w:sz w:val="20"/>
          <w:szCs w:val="20"/>
          <w:color w:val="auto"/>
        </w:rPr>
      </w:pPr>
    </w:p>
    <w:p>
      <w:pPr>
        <w:spacing w:after="0" w:line="231" w:lineRule="auto"/>
        <w:rPr>
          <w:sz w:val="20"/>
          <w:szCs w:val="20"/>
          <w:color w:val="auto"/>
        </w:rPr>
      </w:pPr>
      <w:r>
        <w:rPr>
          <w:rFonts w:ascii="Calibri" w:cs="Calibri" w:eastAsia="Calibri" w:hAnsi="Calibri"/>
          <w:sz w:val="22"/>
          <w:szCs w:val="22"/>
          <w:color w:val="auto"/>
        </w:rPr>
        <w:t>This Policy applies to family members who reside with Company Personnel (including children away at college), anyone else with whom Company Personnel share a household, and any family members with whom Company Personnel do not share a household but whose transactons in Company Securites are directed by Company Personnel or are subject to Company Personnel infuence or control, such as parents or children who consult with Company Personnel before they trade in Company Securites (collectvely, “Family Members”).</w:t>
      </w:r>
    </w:p>
    <w:p>
      <w:pPr>
        <w:spacing w:after="0" w:line="247" w:lineRule="exact"/>
        <w:rPr>
          <w:sz w:val="20"/>
          <w:szCs w:val="20"/>
          <w:color w:val="auto"/>
        </w:rPr>
      </w:pPr>
    </w:p>
    <w:p>
      <w:pPr>
        <w:ind w:right="720"/>
        <w:spacing w:after="0" w:line="235" w:lineRule="auto"/>
        <w:rPr>
          <w:sz w:val="20"/>
          <w:szCs w:val="20"/>
          <w:color w:val="auto"/>
        </w:rPr>
      </w:pPr>
      <w:r>
        <w:rPr>
          <w:rFonts w:ascii="Calibri" w:cs="Calibri" w:eastAsia="Calibri" w:hAnsi="Calibri"/>
          <w:sz w:val="22"/>
          <w:szCs w:val="22"/>
          <w:color w:val="auto"/>
        </w:rPr>
        <w:t>This Policy applies to any enttes that Company Personnel infuence or control, including any corporatons, partnerships, limited liability companies or trusts (collectvely, “Controlled Enttes”).</w:t>
      </w:r>
    </w:p>
    <w:p>
      <w:pPr>
        <w:spacing w:after="0" w:line="244" w:lineRule="exact"/>
        <w:rPr>
          <w:sz w:val="20"/>
          <w:szCs w:val="20"/>
          <w:color w:val="auto"/>
        </w:rPr>
      </w:pPr>
    </w:p>
    <w:p>
      <w:pPr>
        <w:ind w:right="560"/>
        <w:spacing w:after="0" w:line="229" w:lineRule="auto"/>
        <w:rPr>
          <w:sz w:val="20"/>
          <w:szCs w:val="20"/>
          <w:color w:val="auto"/>
        </w:rPr>
      </w:pPr>
      <w:r>
        <w:rPr>
          <w:rFonts w:ascii="Calibri" w:cs="Calibri" w:eastAsia="Calibri" w:hAnsi="Calibri"/>
          <w:sz w:val="22"/>
          <w:szCs w:val="22"/>
          <w:color w:val="auto"/>
        </w:rPr>
        <w:t>Company Personnel are responsible for the transactons of their Family Members and Controlled Enttes, and all such transactons will be treated for the purposes of this Policy and applicable securites laws as if the transactons were for the Company Personnel’s own account.</w:t>
      </w:r>
    </w:p>
    <w:p>
      <w:pPr>
        <w:spacing w:after="0" w:line="244" w:lineRule="exact"/>
        <w:rPr>
          <w:sz w:val="20"/>
          <w:szCs w:val="20"/>
          <w:color w:val="auto"/>
        </w:rPr>
      </w:pPr>
    </w:p>
    <w:p>
      <w:pPr>
        <w:jc w:val="both"/>
        <w:ind w:right="60"/>
        <w:spacing w:after="0" w:line="233" w:lineRule="auto"/>
        <w:rPr>
          <w:sz w:val="20"/>
          <w:szCs w:val="20"/>
          <w:color w:val="auto"/>
        </w:rPr>
      </w:pPr>
      <w:r>
        <w:rPr>
          <w:rFonts w:ascii="Calibri" w:cs="Calibri" w:eastAsia="Calibri" w:hAnsi="Calibri"/>
          <w:sz w:val="22"/>
          <w:szCs w:val="22"/>
          <w:color w:val="auto"/>
        </w:rPr>
        <w:t>If a person ceases to be Company Personnel at tme when the person is aware of material nonpublic informaton, the applicable provisions of this Policy will contnue to apply to such person untl that informaton has become public or is no longer material. Accordingly, certain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1 of 10</w:t>
            </w:r>
          </w:p>
        </w:tc>
      </w:tr>
      <w:tr>
        <w:trPr>
          <w:trHeight w:val="51"/>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85" w:right="339" w:bottom="1440" w:gutter="0" w:footer="0" w:header="0"/>
        </w:sectPr>
      </w:pPr>
    </w:p>
    <w:bookmarkStart w:id="99" w:name="page100"/>
    <w:bookmarkEnd w:id="99"/>
    <w:p>
      <w:pPr>
        <w:spacing w:after="0" w:line="237" w:lineRule="exact"/>
        <w:rPr>
          <w:sz w:val="20"/>
          <w:szCs w:val="20"/>
          <w:color w:val="auto"/>
        </w:rPr>
      </w:pPr>
    </w:p>
    <w:p>
      <w:pPr>
        <w:ind w:right="1160"/>
        <w:spacing w:after="0" w:line="235" w:lineRule="auto"/>
        <w:rPr>
          <w:sz w:val="20"/>
          <w:szCs w:val="20"/>
          <w:color w:val="auto"/>
        </w:rPr>
      </w:pPr>
      <w:r>
        <w:rPr>
          <w:rFonts w:ascii="Calibri" w:cs="Calibri" w:eastAsia="Calibri" w:hAnsi="Calibri"/>
          <w:sz w:val="22"/>
          <w:szCs w:val="22"/>
          <w:color w:val="auto"/>
        </w:rPr>
        <w:t>provisions of this Policy may contnue to apply to a person afer they cease to be Company Personnel, based on the circumstances in efect at the tme of separaton from the Company.</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DEFINITIONS</w:t>
      </w:r>
    </w:p>
    <w:p>
      <w:pPr>
        <w:spacing w:after="0" w:line="242" w:lineRule="exact"/>
        <w:rPr>
          <w:sz w:val="20"/>
          <w:szCs w:val="20"/>
          <w:color w:val="auto"/>
        </w:rPr>
      </w:pPr>
    </w:p>
    <w:p>
      <w:pPr>
        <w:ind w:right="60"/>
        <w:spacing w:after="0" w:line="231" w:lineRule="auto"/>
        <w:rPr>
          <w:sz w:val="20"/>
          <w:szCs w:val="20"/>
          <w:color w:val="auto"/>
        </w:rPr>
      </w:pPr>
      <w:r>
        <w:rPr>
          <w:rFonts w:ascii="Calibri" w:cs="Calibri" w:eastAsia="Calibri" w:hAnsi="Calibri"/>
          <w:sz w:val="22"/>
          <w:szCs w:val="22"/>
          <w:i w:val="1"/>
          <w:iCs w:val="1"/>
          <w:color w:val="auto"/>
        </w:rPr>
        <w:t xml:space="preserve">Company Securites </w:t>
      </w:r>
      <w:r>
        <w:rPr>
          <w:rFonts w:ascii="Calibri" w:cs="Calibri" w:eastAsia="Calibri" w:hAnsi="Calibri"/>
          <w:sz w:val="22"/>
          <w:szCs w:val="22"/>
          <w:color w:val="auto"/>
        </w:rPr>
        <w:t>means and includes, without limitaton, the Company’s ordinary shares, optons to purchase the Company’s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shares, or any other type of securites that the Company may issue, including, but not limited to, debt securites, preferred shares, restricted shares, restricted stock units, performance share units, convertble debentures and warrants, as well as derivatve securites that are not issued by the Company, such as exchange-traded put or call optons or swaps relatng to the Company’s Securites.</w:t>
      </w:r>
    </w:p>
    <w:p>
      <w:pPr>
        <w:spacing w:after="0" w:line="247" w:lineRule="exact"/>
        <w:rPr>
          <w:sz w:val="20"/>
          <w:szCs w:val="20"/>
          <w:color w:val="auto"/>
        </w:rPr>
      </w:pPr>
    </w:p>
    <w:p>
      <w:pPr>
        <w:ind w:right="40"/>
        <w:spacing w:after="0" w:line="230" w:lineRule="auto"/>
        <w:rPr>
          <w:sz w:val="20"/>
          <w:szCs w:val="20"/>
          <w:color w:val="auto"/>
        </w:rPr>
      </w:pPr>
      <w:r>
        <w:rPr>
          <w:rFonts w:ascii="Calibri" w:cs="Calibri" w:eastAsia="Calibri" w:hAnsi="Calibri"/>
          <w:sz w:val="22"/>
          <w:szCs w:val="22"/>
          <w:i w:val="1"/>
          <w:iCs w:val="1"/>
          <w:color w:val="auto"/>
        </w:rPr>
        <w:t xml:space="preserve">Nonpublic informaton </w:t>
      </w:r>
      <w:r>
        <w:rPr>
          <w:rFonts w:ascii="Calibri" w:cs="Calibri" w:eastAsia="Calibri" w:hAnsi="Calibri"/>
          <w:sz w:val="22"/>
          <w:szCs w:val="22"/>
          <w:color w:val="auto"/>
        </w:rPr>
        <w:t>is sometmes referred to as confdental informaton and means informaton about the Company that is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not known to the public-at-large. All informaton is considered nonpublic untl the business day that is two full trading days afer it has been widely released through a press release, news wire, television or radio broadcast, newspaper, magazine or website publicaton, or public disclosure documents fled with the U.S. Securites and Exchange Commission. By contrast, informaton would likely not be considered widely disseminated if it is available only to the Company’s employees. If, for example, you were aware of Company material nonpublic informaton and the Company were to disseminate that informaton during the trading day before market close on a Monday, you should not trade in Company Securites untl Thursday. Depending on the partcular circumstances, the Company may determine that a longer or shorter period should apply to the disseminaton of specifc material nonpublic informaton.</w:t>
      </w:r>
    </w:p>
    <w:p>
      <w:pPr>
        <w:spacing w:after="0" w:line="262"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 xml:space="preserve">Informaton is considered </w:t>
      </w:r>
      <w:r>
        <w:rPr>
          <w:rFonts w:ascii="Calibri" w:cs="Calibri" w:eastAsia="Calibri" w:hAnsi="Calibri"/>
          <w:sz w:val="22"/>
          <w:szCs w:val="22"/>
          <w:i w:val="1"/>
          <w:iCs w:val="1"/>
          <w:color w:val="auto"/>
        </w:rPr>
        <w:t>material</w:t>
      </w:r>
      <w:r>
        <w:rPr>
          <w:rFonts w:ascii="Calibri" w:cs="Calibri" w:eastAsia="Calibri" w:hAnsi="Calibri"/>
          <w:sz w:val="22"/>
          <w:szCs w:val="22"/>
          <w:color w:val="auto"/>
        </w:rPr>
        <w:t xml:space="preserve"> if a reasonable investor would consider it important in deciding whether to buy, hold or sell securites. It is not possible to defne all categories of material informaton; however, informaton about the following subjects are examples of the type of informaton that would ofen be regarded as material, depending on the circumstances, and should be analyzed carefully:</w:t>
      </w:r>
    </w:p>
    <w:p>
      <w:pPr>
        <w:spacing w:after="0" w:line="260"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expected earnings or revenues, as well as Company projectons as to future earnings or revenues;</w:t>
      </w:r>
    </w:p>
    <w:p>
      <w:pPr>
        <w:spacing w:after="0" w:line="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to previously announced earnings guidance, or a decision to suspend earnings guidance;</w:t>
      </w:r>
    </w:p>
    <w:p>
      <w:pPr>
        <w:spacing w:after="0" w:line="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related party transactons;</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proposed signifcant acquisiton, dispositon or joint venture;</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purchases, sales or write-ofs of assets;</w:t>
      </w:r>
    </w:p>
    <w:p>
      <w:pPr>
        <w:spacing w:after="0" w:line="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planned ofering of securites, change in dividend policy or declaraton of a stock split;</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establishment of a repurchase program for Company Securites or changes thereto;</w:t>
      </w:r>
    </w:p>
    <w:p>
      <w:pPr>
        <w:spacing w:after="0" w:line="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major change in the Company’s pricing or cost structure;</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major marketng changes;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2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0" w:name="page101"/>
    <w:bookmarkEnd w:id="100"/>
    <w:p>
      <w:pPr>
        <w:spacing w:after="0" w:line="254"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signifcant product development, gain or loss of a major customer or substantal contract award or terminaton;</w:t>
      </w:r>
    </w:p>
    <w:p>
      <w:pPr>
        <w:spacing w:after="0" w:line="2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signifcant Company restructuring;</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bank borrowings or other fnancing transactons out of the ordinary course;</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change in senior management;</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change in auditors or notfcaton that the auditor’s reports may no longer be relied upon;</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impositon of a ban on trading in Company Securites or the securites of another company;</w:t>
      </w:r>
    </w:p>
    <w:p>
      <w:pPr>
        <w:spacing w:after="0" w:line="2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impending bankruptcy or the existence of severe liquidity problems;</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pending or threatened signifcant litgaton or resoluton of such litgaton; and</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signifcant cybersecurity incident, such as a data breach.</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POLICY</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All Company Personnel must comply with applicable securites laws with respect to transactons in Company Securites.</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General Prohibitons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Company Personnel, their Family Members and Controlled Enttes and the Company must never:</w:t>
      </w:r>
    </w:p>
    <w:p>
      <w:pPr>
        <w:spacing w:after="0" w:line="242" w:lineRule="exact"/>
        <w:rPr>
          <w:sz w:val="20"/>
          <w:szCs w:val="20"/>
          <w:color w:val="auto"/>
        </w:rPr>
      </w:pPr>
    </w:p>
    <w:p>
      <w:pPr>
        <w:ind w:left="660" w:right="80" w:hanging="328"/>
        <w:spacing w:after="0" w:line="229" w:lineRule="auto"/>
        <w:tabs>
          <w:tab w:leader="none" w:pos="648" w:val="left"/>
        </w:tabs>
        <w:numPr>
          <w:ilvl w:val="0"/>
          <w:numId w:val="80"/>
        </w:numPr>
        <w:rPr>
          <w:rFonts w:ascii="Calibri" w:cs="Calibri" w:eastAsia="Calibri" w:hAnsi="Calibri"/>
          <w:sz w:val="22"/>
          <w:szCs w:val="22"/>
          <w:color w:val="auto"/>
        </w:rPr>
      </w:pPr>
      <w:r>
        <w:rPr>
          <w:rFonts w:ascii="Calibri" w:cs="Calibri" w:eastAsia="Calibri" w:hAnsi="Calibri"/>
          <w:sz w:val="22"/>
          <w:szCs w:val="22"/>
          <w:color w:val="auto"/>
        </w:rPr>
        <w:t>Buy, sell or engage in other transactons in Company Securites while aware of Company material nonpublic informaton, except as otherwise specifed in this Policy.</w:t>
      </w:r>
    </w:p>
    <w:p>
      <w:pPr>
        <w:spacing w:after="0" w:line="243" w:lineRule="exact"/>
        <w:rPr>
          <w:rFonts w:ascii="Calibri" w:cs="Calibri" w:eastAsia="Calibri" w:hAnsi="Calibri"/>
          <w:sz w:val="22"/>
          <w:szCs w:val="22"/>
          <w:color w:val="auto"/>
        </w:rPr>
      </w:pPr>
    </w:p>
    <w:p>
      <w:pPr>
        <w:ind w:left="660" w:right="80" w:hanging="328"/>
        <w:spacing w:after="0" w:line="233" w:lineRule="auto"/>
        <w:tabs>
          <w:tab w:leader="none" w:pos="648" w:val="left"/>
        </w:tabs>
        <w:numPr>
          <w:ilvl w:val="0"/>
          <w:numId w:val="80"/>
        </w:numPr>
        <w:rPr>
          <w:rFonts w:ascii="Calibri" w:cs="Calibri" w:eastAsia="Calibri" w:hAnsi="Calibri"/>
          <w:sz w:val="22"/>
          <w:szCs w:val="22"/>
          <w:color w:val="auto"/>
        </w:rPr>
      </w:pPr>
      <w:r>
        <w:rPr>
          <w:rFonts w:ascii="Calibri" w:cs="Calibri" w:eastAsia="Calibri" w:hAnsi="Calibri"/>
          <w:sz w:val="22"/>
          <w:szCs w:val="22"/>
          <w:color w:val="auto"/>
        </w:rPr>
        <w:t>Disclose or “tp” material nonpublic informaton to any unauthorized persons or or recommend the purchase or sale of any Company Securites to others or otherwise making unauthorized disclosure or use of such informaton, regardless of whether the persons proft or intend to proft by such tpping, disclosure or use.</w:t>
      </w:r>
    </w:p>
    <w:p>
      <w:pPr>
        <w:spacing w:after="0" w:line="244" w:lineRule="exact"/>
        <w:rPr>
          <w:sz w:val="20"/>
          <w:szCs w:val="20"/>
          <w:color w:val="auto"/>
        </w:rPr>
      </w:pPr>
    </w:p>
    <w:p>
      <w:pPr>
        <w:ind w:right="300"/>
        <w:spacing w:after="0" w:line="229" w:lineRule="auto"/>
        <w:rPr>
          <w:sz w:val="20"/>
          <w:szCs w:val="20"/>
          <w:color w:val="auto"/>
        </w:rPr>
      </w:pPr>
      <w:r>
        <w:rPr>
          <w:rFonts w:ascii="Calibri" w:cs="Calibri" w:eastAsia="Calibri" w:hAnsi="Calibri"/>
          <w:sz w:val="22"/>
          <w:szCs w:val="22"/>
          <w:color w:val="auto"/>
        </w:rPr>
        <w:t>You must take steps to prevent the inadvertent disclosure of material nonpublic informaton to unauthorized persons outside the Company. If you believe that the disclosure of material nonpublic informaton is necessary or appropriate for business reasons, you must consult with Company counsel to ensure that they concur that such disclosure is necessary, and to ensure that any such disclosure will comply with all applicable laws and policies.</w:t>
      </w: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Applicaton of Policy to Trading in Other Companies’ Securites</w:t>
      </w:r>
    </w:p>
    <w:p>
      <w:pPr>
        <w:ind w:right="100"/>
        <w:spacing w:after="0" w:line="229" w:lineRule="auto"/>
        <w:rPr>
          <w:sz w:val="20"/>
          <w:szCs w:val="20"/>
          <w:color w:val="auto"/>
        </w:rPr>
      </w:pPr>
      <w:r>
        <w:rPr>
          <w:rFonts w:ascii="Calibri" w:cs="Calibri" w:eastAsia="Calibri" w:hAnsi="Calibri"/>
          <w:sz w:val="22"/>
          <w:szCs w:val="22"/>
          <w:color w:val="auto"/>
        </w:rPr>
        <w:t>This Policy also prohibits Company Personnel, their Family Members and Controlled Enttes and the Company from buying, selling or engaging in other transactons in securites of other companies while aware of material nonpublic informaton about those other companies that Company Personnel became aware of as a result of their service to the Company. Other companies potentally covered by this restricton may include suppliers, customers, business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3 of 10</w:t>
            </w:r>
          </w:p>
        </w:tc>
      </w:tr>
      <w:tr>
        <w:trPr>
          <w:trHeight w:val="51"/>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1" w:name="page102"/>
    <w:bookmarkEnd w:id="101"/>
    <w:p>
      <w:pPr>
        <w:spacing w:after="0" w:line="237" w:lineRule="exact"/>
        <w:rPr>
          <w:sz w:val="20"/>
          <w:szCs w:val="20"/>
          <w:color w:val="auto"/>
        </w:rPr>
      </w:pPr>
    </w:p>
    <w:p>
      <w:pPr>
        <w:ind w:right="520"/>
        <w:spacing w:after="0" w:line="235" w:lineRule="auto"/>
        <w:rPr>
          <w:sz w:val="20"/>
          <w:szCs w:val="20"/>
          <w:color w:val="auto"/>
        </w:rPr>
      </w:pPr>
      <w:r>
        <w:rPr>
          <w:rFonts w:ascii="Calibri" w:cs="Calibri" w:eastAsia="Calibri" w:hAnsi="Calibri"/>
          <w:sz w:val="22"/>
          <w:szCs w:val="22"/>
          <w:color w:val="auto"/>
        </w:rPr>
        <w:t>partners, compettors and potental merger and acquisiton partes. This restricton also prohibits disclosing or tpping such informaton, or making trading recommendatons regarding such other companies, to any other person.</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Specifc Prohibiton on Special Transactons, Including Hedging and Pledging</w:t>
      </w:r>
    </w:p>
    <w:p>
      <w:pPr>
        <w:jc w:val="both"/>
        <w:spacing w:after="0" w:line="230" w:lineRule="auto"/>
        <w:rPr>
          <w:sz w:val="20"/>
          <w:szCs w:val="20"/>
          <w:color w:val="auto"/>
        </w:rPr>
      </w:pPr>
      <w:r>
        <w:rPr>
          <w:rFonts w:ascii="Calibri" w:cs="Calibri" w:eastAsia="Calibri" w:hAnsi="Calibri"/>
          <w:sz w:val="22"/>
          <w:szCs w:val="22"/>
          <w:color w:val="auto"/>
        </w:rPr>
        <w:t>Company Personnel, as well as their Family Members and Controlled Enttes and anyone designated to engage in securites transactons on behalf of Company Personnel, are prohibited from purchasing fnancial instruments, including prepaid variable forward contracts, equity swaps, collars and exchange funds, or otherwise engaging in transactons, that hedge or ofset, or are designed to hedge or ofset, any decrease in the market value of Company Securites. Prohibited transactons include transactons in puts, calls, cashless collars, optons (other than optons issued by the Company to acquire Company Securites), short sales, and similar rights and obligatons. The foregoing restricton applies to all Company Securites owned directly or indirectly by Company Personnel, including Company Securites owned by their Family Members and Controlled Enttes, and their respectve designees. Nothing in this hedging restricton shall preclude any Company Personnel or their designees from engaging in general portolio diversifcaton or investng in broad-based index funds.</w:t>
      </w:r>
    </w:p>
    <w:p>
      <w:pPr>
        <w:spacing w:after="0" w:line="261" w:lineRule="exact"/>
        <w:rPr>
          <w:sz w:val="20"/>
          <w:szCs w:val="20"/>
          <w:color w:val="auto"/>
        </w:rPr>
      </w:pPr>
    </w:p>
    <w:p>
      <w:pPr>
        <w:ind w:right="700"/>
        <w:spacing w:after="0" w:line="229" w:lineRule="auto"/>
        <w:rPr>
          <w:sz w:val="20"/>
          <w:szCs w:val="20"/>
          <w:color w:val="auto"/>
        </w:rPr>
      </w:pPr>
      <w:r>
        <w:rPr>
          <w:rFonts w:ascii="Calibri" w:cs="Calibri" w:eastAsia="Calibri" w:hAnsi="Calibri"/>
          <w:sz w:val="22"/>
          <w:szCs w:val="22"/>
          <w:color w:val="auto"/>
        </w:rPr>
        <w:t>In additon, Company Personnel and their Family Members and Controlled Enttes are prohibited from holding Company Securites in a margin account or otherwise pledging Company Securites as collateral for a loan.</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Gifs</w:t>
      </w:r>
    </w:p>
    <w:p>
      <w:pPr>
        <w:ind w:right="40"/>
        <w:spacing w:after="0" w:line="231" w:lineRule="auto"/>
        <w:rPr>
          <w:sz w:val="20"/>
          <w:szCs w:val="20"/>
          <w:color w:val="auto"/>
        </w:rPr>
      </w:pPr>
      <w:r>
        <w:rPr>
          <w:rFonts w:ascii="Calibri" w:cs="Calibri" w:eastAsia="Calibri" w:hAnsi="Calibri"/>
          <w:sz w:val="22"/>
          <w:szCs w:val="22"/>
          <w:color w:val="auto"/>
        </w:rPr>
        <w:t>Company Personnel may not make a gif of Company Securites while aware of material nonpublic informaton relatng to the Company if the Company Personnel knows or is reckless in not knowing the recipient of the gif would sell the securites prior to the Company’s disclosure of such informaton. Such a situaton can arise with gifs of securites to charites, which are ofen required by their policies to sell securites soon afer a gif.</w:t>
      </w:r>
    </w:p>
    <w:p>
      <w:pPr>
        <w:spacing w:after="0" w:line="23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Event-Specifc Trading Windows</w:t>
      </w:r>
    </w:p>
    <w:p>
      <w:pPr>
        <w:spacing w:after="0" w:line="241"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From tme to tme, an event may occur that is material to the Company and is known by only a few directors, ofcers and/or employees. So long as the event or informaton related to the event remains material and nonpublic, the persons designated by the General Counsel may not trade Company Securites. In that situaton, the General Counsel may notfy these persons that they should not trade in Company Securites, without disclosing the reason for the restricton. The existence of an event-specifc trading restricton period or shortening of a Trading Window period will not be announced to the Company as a whole, and should not be communicated to any other person.</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4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Quarterly Trading Window Procedures for Window Group</w:t>
      </w:r>
    </w:p>
    <w:p>
      <w:pPr>
        <w:spacing w:after="0" w:line="14" w:lineRule="exact"/>
        <w:rPr>
          <w:sz w:val="20"/>
          <w:szCs w:val="20"/>
          <w:color w:val="auto"/>
        </w:rPr>
      </w:pPr>
    </w:p>
    <w:p>
      <w:pPr>
        <w:ind w:right="220"/>
        <w:spacing w:after="0" w:line="229" w:lineRule="auto"/>
        <w:rPr>
          <w:sz w:val="20"/>
          <w:szCs w:val="20"/>
          <w:color w:val="auto"/>
        </w:rPr>
      </w:pPr>
      <w:r>
        <w:rPr>
          <w:rFonts w:ascii="Calibri" w:cs="Calibri" w:eastAsia="Calibri" w:hAnsi="Calibri"/>
          <w:sz w:val="22"/>
          <w:szCs w:val="22"/>
          <w:color w:val="auto"/>
        </w:rPr>
        <w:t>The Company imposes certain restrictons on specifed directors, executve ofcers, and other designated personnel in trading Company Securites. These restrictons govern even though the transactons may be permissible under law and apply to the following persons hereafer defned as the “Window Group”:</w:t>
      </w:r>
    </w:p>
    <w:p>
      <w:pPr>
        <w:spacing w:after="0" w:line="26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directors of Pentair plc</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executve ofcers of Pentair plc</w:t>
      </w:r>
    </w:p>
    <w:p>
      <w:pPr>
        <w:spacing w:after="0" w:line="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Segment Presidents and Vice Presidents, Finance (or their equivalents)</w:t>
      </w:r>
    </w:p>
    <w:p>
      <w:pPr>
        <w:spacing w:after="0" w:line="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other employees designated by the General Counsel</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Calibri" w:cs="Calibri" w:eastAsia="Calibri" w:hAnsi="Calibri"/>
          <w:sz w:val="22"/>
          <w:szCs w:val="22"/>
          <w:color w:val="auto"/>
        </w:rPr>
        <w:t>Family Members and Controlled Enttes of any of the foregoing</w:t>
      </w:r>
    </w:p>
    <w:p>
      <w:pPr>
        <w:spacing w:after="0" w:line="244" w:lineRule="exact"/>
        <w:rPr>
          <w:sz w:val="20"/>
          <w:szCs w:val="20"/>
          <w:color w:val="auto"/>
        </w:rPr>
      </w:pPr>
    </w:p>
    <w:p>
      <w:pPr>
        <w:ind w:right="40"/>
        <w:spacing w:after="0" w:line="230" w:lineRule="auto"/>
        <w:rPr>
          <w:sz w:val="20"/>
          <w:szCs w:val="20"/>
          <w:color w:val="auto"/>
        </w:rPr>
      </w:pPr>
      <w:r>
        <w:rPr>
          <w:rFonts w:ascii="Calibri" w:cs="Calibri" w:eastAsia="Calibri" w:hAnsi="Calibri"/>
          <w:sz w:val="22"/>
          <w:szCs w:val="22"/>
          <w:color w:val="auto"/>
        </w:rPr>
        <w:t>Except for transactons made subject to a 10b5-1 Plan approved in accordance with this Policy, members of the Window Group may only enter into transactons in Company Securites (including opton exercises and gifs, in each case except as described below) during an open trading window that commences on the business day that is two full trading days afer the public release of, and investor call regarding, the Company’s quarterly or annual fnancial results and ends before trading commences on the frst day of the last month prior to the close of the next fscal quarter (“Trading Window”). The Window Group will be informed electronically each quarter of the opening and closing of the Trading Window. The Company may close an open Trading Window early at any tme, as deemed appropriate by the General Counsel.</w:t>
      </w:r>
    </w:p>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color w:val="auto"/>
        </w:rPr>
        <w:t>These foregoing restrictons apply to Family Members and Controlled Enttes of the Window Group.</w:t>
      </w:r>
    </w:p>
    <w:p>
      <w:pPr>
        <w:spacing w:after="0" w:line="255" w:lineRule="exact"/>
        <w:rPr>
          <w:sz w:val="20"/>
          <w:szCs w:val="20"/>
          <w:color w:val="auto"/>
        </w:rPr>
      </w:pPr>
    </w:p>
    <w:p>
      <w:pPr>
        <w:ind w:right="280"/>
        <w:spacing w:after="0" w:line="229" w:lineRule="auto"/>
        <w:rPr>
          <w:sz w:val="20"/>
          <w:szCs w:val="20"/>
          <w:color w:val="auto"/>
        </w:rPr>
      </w:pPr>
      <w:r>
        <w:rPr>
          <w:rFonts w:ascii="Calibri" w:cs="Calibri" w:eastAsia="Calibri" w:hAnsi="Calibri"/>
          <w:sz w:val="22"/>
          <w:szCs w:val="22"/>
          <w:color w:val="auto"/>
        </w:rPr>
        <w:t>The Company will not engage in transactons in Company Securites at any tme when there is material nonpublic informaton about the Company, and will generally be guided by the trading windows set forth in this Policy.</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Rule 10b5-1 Plans</w:t>
      </w:r>
    </w:p>
    <w:p>
      <w:pPr>
        <w:spacing w:after="0" w:line="243" w:lineRule="exact"/>
        <w:rPr>
          <w:sz w:val="20"/>
          <w:szCs w:val="20"/>
          <w:color w:val="auto"/>
        </w:rPr>
      </w:pPr>
    </w:p>
    <w:p>
      <w:pPr>
        <w:ind w:right="180"/>
        <w:spacing w:after="0" w:line="243" w:lineRule="auto"/>
        <w:rPr>
          <w:sz w:val="20"/>
          <w:szCs w:val="20"/>
          <w:color w:val="auto"/>
        </w:rPr>
      </w:pPr>
      <w:r>
        <w:rPr>
          <w:rFonts w:ascii="Calibri" w:cs="Calibri" w:eastAsia="Calibri" w:hAnsi="Calibri"/>
          <w:sz w:val="21"/>
          <w:szCs w:val="21"/>
          <w:color w:val="auto"/>
        </w:rPr>
        <w:t>Rule 10b5-1 of the Securites Exchange Act of 1934 (the “Exchange Act”) provides a defense from insider trading liability. To be eligible to rely on this defense, a person must enter into a Rule 10b5-1 plan for transactons in Company Securites that meets certain conditons specifed in the Rule (a “10b5-1 Plan”). If the plan meets the requirements of Rule 10b5-1, Company Securites may be purchased or sold without regard to certain insider trading restrictons. To comply with this policy, a 10b5-1 Plan must be approved by the General Counsel and meet the requirements of Rule 10b5-1 as outlined on Appendix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5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3" w:name="page104"/>
    <w:bookmarkEnd w:id="103"/>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Pre-Clearance Requirement for Secton 16 Persons</w:t>
      </w:r>
    </w:p>
    <w:p>
      <w:pPr>
        <w:spacing w:after="0" w:line="255" w:lineRule="exact"/>
        <w:rPr>
          <w:sz w:val="20"/>
          <w:szCs w:val="20"/>
          <w:color w:val="auto"/>
        </w:rPr>
      </w:pPr>
    </w:p>
    <w:p>
      <w:pPr>
        <w:ind w:right="80"/>
        <w:spacing w:after="0" w:line="230" w:lineRule="auto"/>
        <w:rPr>
          <w:sz w:val="20"/>
          <w:szCs w:val="20"/>
          <w:color w:val="auto"/>
        </w:rPr>
      </w:pPr>
      <w:r>
        <w:rPr>
          <w:rFonts w:ascii="Calibri" w:cs="Calibri" w:eastAsia="Calibri" w:hAnsi="Calibri"/>
          <w:sz w:val="22"/>
          <w:szCs w:val="22"/>
          <w:color w:val="auto"/>
        </w:rPr>
        <w:t>All members of the Board of Directors and ofcers subject to Secton 16 of the Exchange Act (together, “Secton 16 Persons”) must pre-clear all transactons in Company Securites in advance with the General Counsel’s ofce before efectng the transacton. This pre-clearance is required even if the trading window is open. Any pre-clearance will generally be valid untl the end of the second day afer receipt of approval, unless the approval specifes a diferent efectve period. To avoid signaling to others that something material and non-public is happening with respect to the Company, Secton 16 Person should keep a pre-clearance denial confdental. As a result, Secton 16 Persons should seek pre-clearance before talking to others (e.g., brokers) about the proposed transacton. A favorable response from the General Counsel should not be interpreted as approval by the Company of the advisability of the proposed transacton. Secton 16 Persons are responsible for determining whether a proposed transacton is permited under this Policy, and should not efect a proposed transacton if the Secton 16 Person is, in fact, aware of material, nonpublic informaton about the Company.</w:t>
      </w:r>
    </w:p>
    <w:p>
      <w:pPr>
        <w:spacing w:after="0" w:line="248" w:lineRule="exact"/>
        <w:rPr>
          <w:sz w:val="20"/>
          <w:szCs w:val="20"/>
          <w:color w:val="auto"/>
        </w:rPr>
      </w:pPr>
    </w:p>
    <w:p>
      <w:pPr>
        <w:ind w:right="80"/>
        <w:spacing w:after="0" w:line="254" w:lineRule="auto"/>
        <w:rPr>
          <w:sz w:val="20"/>
          <w:szCs w:val="20"/>
          <w:color w:val="auto"/>
        </w:rPr>
      </w:pPr>
      <w:r>
        <w:rPr>
          <w:rFonts w:ascii="Calibri" w:cs="Calibri" w:eastAsia="Calibri" w:hAnsi="Calibri"/>
          <w:sz w:val="21"/>
          <w:szCs w:val="21"/>
          <w:color w:val="auto"/>
        </w:rPr>
        <w:t>Secton 16 Persons are also subject to the short-swing and reportng obligatons of Secton 16 of the Exchange Act, Rule 144 of the Securites Act of 1933 applicable to afliates of the Company, and any stock ownership guidelines adopted by the Company.</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EXCEPTIONS</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This Policy does not apply in the case of the following transactons, except as specifcally noted:</w:t>
      </w:r>
    </w:p>
    <w:p>
      <w:pPr>
        <w:spacing w:after="0" w:line="241" w:lineRule="exact"/>
        <w:rPr>
          <w:sz w:val="20"/>
          <w:szCs w:val="20"/>
          <w:color w:val="auto"/>
        </w:rPr>
      </w:pPr>
    </w:p>
    <w:p>
      <w:pPr>
        <w:ind w:right="160"/>
        <w:spacing w:after="0" w:line="230" w:lineRule="auto"/>
        <w:rPr>
          <w:sz w:val="20"/>
          <w:szCs w:val="20"/>
          <w:color w:val="auto"/>
        </w:rPr>
      </w:pPr>
      <w:r>
        <w:rPr>
          <w:rFonts w:ascii="Calibri" w:cs="Calibri" w:eastAsia="Calibri" w:hAnsi="Calibri"/>
          <w:sz w:val="22"/>
          <w:szCs w:val="22"/>
          <w:i w:val="1"/>
          <w:iCs w:val="1"/>
          <w:u w:val="single" w:color="auto"/>
          <w:color w:val="auto"/>
        </w:rPr>
        <w:t>Stock Opton Exercises.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This Policy does not apply to the vestng or exercise of an employee opton to purchase the Company’s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shares acquired pursuant to the Company’s plans, to the delivery to the Company of shares to pay the exercise price or satsfy tax withholding requirements for such opton, or to the exercise of a right pursuant to which you elect to have the Company net or withhold shares subject to an opton to pay the exercise price or satsfy tax withholding requirements. This Policy does apply, however, to any sale of shares as part of a broker-assisted cashless exercise of an opton or any other market sale for the purpose of generatng the cash needed to pay the exercise price of or tax withholding for an opton and to any market sale of the shares received on exercise of optons.</w:t>
      </w:r>
    </w:p>
    <w:p>
      <w:pPr>
        <w:spacing w:after="0" w:line="264" w:lineRule="exact"/>
        <w:rPr>
          <w:sz w:val="20"/>
          <w:szCs w:val="20"/>
          <w:color w:val="auto"/>
        </w:rPr>
      </w:pPr>
    </w:p>
    <w:p>
      <w:pPr>
        <w:ind w:right="220"/>
        <w:spacing w:after="0" w:line="229" w:lineRule="auto"/>
        <w:rPr>
          <w:sz w:val="20"/>
          <w:szCs w:val="20"/>
          <w:color w:val="auto"/>
        </w:rPr>
      </w:pPr>
      <w:r>
        <w:rPr>
          <w:rFonts w:ascii="Calibri" w:cs="Calibri" w:eastAsia="Calibri" w:hAnsi="Calibri"/>
          <w:sz w:val="22"/>
          <w:szCs w:val="22"/>
          <w:i w:val="1"/>
          <w:iCs w:val="1"/>
          <w:u w:val="single" w:color="auto"/>
          <w:color w:val="auto"/>
        </w:rPr>
        <w:t>Restricted Stock Unit and Performance Share Unit Awards.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This Policy does not apply to the vestng of restricted stock units or</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performance share units, or the exercise of a tax withholding right pursuant to which you elect to have the Company withhold shares to satsfy tax withholding requirements upon the vestng of any restricted stock units or performance share units. The Policy does apply, however, to any market sale of shares received on vestng of restricted stock units or performance share units.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6 of 10</w:t>
            </w:r>
          </w:p>
        </w:tc>
      </w:tr>
      <w:tr>
        <w:trPr>
          <w:trHeight w:val="51"/>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4" w:name="page105"/>
    <w:bookmarkEnd w:id="104"/>
    <w:p>
      <w:pPr>
        <w:spacing w:after="0" w:line="237" w:lineRule="exact"/>
        <w:rPr>
          <w:sz w:val="20"/>
          <w:szCs w:val="20"/>
          <w:color w:val="auto"/>
        </w:rPr>
      </w:pPr>
    </w:p>
    <w:p>
      <w:pPr>
        <w:ind w:right="80"/>
        <w:spacing w:after="0" w:line="232" w:lineRule="auto"/>
        <w:rPr>
          <w:sz w:val="20"/>
          <w:szCs w:val="20"/>
          <w:color w:val="auto"/>
        </w:rPr>
      </w:pPr>
      <w:r>
        <w:rPr>
          <w:rFonts w:ascii="Calibri" w:cs="Calibri" w:eastAsia="Calibri" w:hAnsi="Calibri"/>
          <w:sz w:val="22"/>
          <w:szCs w:val="22"/>
          <w:i w:val="1"/>
          <w:iCs w:val="1"/>
          <w:u w:val="single" w:color="auto"/>
          <w:color w:val="auto"/>
        </w:rPr>
        <w:t>401(k) Plan.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This Policy does not apply to purchases of Company Securites in the Company’s 401(k) plan resultng from your</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periodic contributon of money to the plan pursuant to your payroll deducton electon (including any contributons out of Company bonuses). This Policy does apply, however, to certain electons you may make under the 401(k) plan, including: (a) an electon to increase or decrease the percentage of your periodic contributons that will be allocated to the Company stock fund; (b) an electon to make an intra-plan transfer of an existng account balance into or out of the Company stock fund; (c) an electon to borrow money against your 401(k) plan account if the loan will result in a liquidaton of some or all of your Company stock fund balance; and (d) an electon to pre-pay a plan loan if the pre-payment will result in allocaton of loan proceeds to the Company stock fund.</w:t>
      </w:r>
    </w:p>
    <w:p>
      <w:pPr>
        <w:spacing w:after="0" w:line="245" w:lineRule="exact"/>
        <w:rPr>
          <w:sz w:val="20"/>
          <w:szCs w:val="20"/>
          <w:color w:val="auto"/>
        </w:rPr>
      </w:pPr>
    </w:p>
    <w:p>
      <w:pPr>
        <w:ind w:right="240"/>
        <w:spacing w:after="0" w:line="231" w:lineRule="auto"/>
        <w:rPr>
          <w:sz w:val="20"/>
          <w:szCs w:val="20"/>
          <w:color w:val="auto"/>
        </w:rPr>
      </w:pPr>
      <w:r>
        <w:rPr>
          <w:rFonts w:ascii="Calibri" w:cs="Calibri" w:eastAsia="Calibri" w:hAnsi="Calibri"/>
          <w:sz w:val="22"/>
          <w:szCs w:val="22"/>
          <w:i w:val="1"/>
          <w:iCs w:val="1"/>
          <w:u w:val="single" w:color="auto"/>
          <w:color w:val="auto"/>
        </w:rPr>
        <w:t>Employee Stock Purchase Plan.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This Policy does not apply to purchases of Company Securites in the employee stock purchase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plan resultng from your periodic contributon of money to the plan pursuant to the electon you made at the tme of your enrollment in the plan. This Policy also does not apply to purchases of Company Securites resultng from lump sum contributons to the plan, provided that you elected to partcipate by lump sum payment at the beginning of the applicable enrollment period. This Policy does apply, however, to your electon to partcipate in the plan for any enrollment period, your electon to increase or decrease the level of your partcipaton in the plan, and your sales of Company Securites purchased pursuant to the plan.</w:t>
      </w:r>
    </w:p>
    <w:p>
      <w:pPr>
        <w:spacing w:after="0" w:line="243" w:lineRule="exact"/>
        <w:rPr>
          <w:sz w:val="20"/>
          <w:szCs w:val="20"/>
          <w:color w:val="auto"/>
        </w:rPr>
      </w:pPr>
    </w:p>
    <w:p>
      <w:pPr>
        <w:ind w:right="200"/>
        <w:spacing w:after="0" w:line="231" w:lineRule="auto"/>
        <w:rPr>
          <w:sz w:val="20"/>
          <w:szCs w:val="20"/>
          <w:color w:val="auto"/>
        </w:rPr>
      </w:pPr>
      <w:r>
        <w:rPr>
          <w:rFonts w:ascii="Calibri" w:cs="Calibri" w:eastAsia="Calibri" w:hAnsi="Calibri"/>
          <w:sz w:val="22"/>
          <w:szCs w:val="22"/>
          <w:i w:val="1"/>
          <w:iCs w:val="1"/>
          <w:u w:val="single" w:color="auto"/>
          <w:color w:val="auto"/>
        </w:rPr>
        <w:t>Dividend Reinvestment Plan.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This Policy does not apply to purchases of Company Securites under the Company’s dividend</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reinvestment plan resultng from your reinvestment of dividends paid on Company Securites. This Policy does apply, however, to voluntary purchases of Company Securites resultng from additonal contributons you choose to make to the dividend reinvestment plan, to your electon to partcipate in the plan or increase your level of partcipaton in the plan and to your sale of any Company Securites purchased pursuant to the plan.</w:t>
      </w:r>
    </w:p>
    <w:p>
      <w:pPr>
        <w:spacing w:after="0" w:line="247" w:lineRule="exact"/>
        <w:rPr>
          <w:sz w:val="20"/>
          <w:szCs w:val="20"/>
          <w:color w:val="auto"/>
        </w:rPr>
      </w:pPr>
    </w:p>
    <w:p>
      <w:pPr>
        <w:jc w:val="both"/>
        <w:ind w:right="120"/>
        <w:spacing w:after="0" w:line="232" w:lineRule="auto"/>
        <w:rPr>
          <w:sz w:val="20"/>
          <w:szCs w:val="20"/>
          <w:color w:val="auto"/>
        </w:rPr>
      </w:pPr>
      <w:r>
        <w:rPr>
          <w:rFonts w:ascii="Calibri" w:cs="Calibri" w:eastAsia="Calibri" w:hAnsi="Calibri"/>
          <w:sz w:val="22"/>
          <w:szCs w:val="22"/>
          <w:i w:val="1"/>
          <w:iCs w:val="1"/>
          <w:u w:val="single" w:color="auto"/>
          <w:color w:val="auto"/>
        </w:rPr>
        <w:t>Bona Fide Gifs.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 trading window restrictons and restrictons on engaging in transactons when aware of material nonpublic</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informaton do not apply to a bona fde gif of Company Securites so long as the recipient of the Company Securites is subject to the same provisions of this Policy as the donor. Any gif of Company Securites by a Secton 16 Person remains subject to the pre-clearance requirements of this Policy.</w:t>
      </w:r>
    </w:p>
    <w:p>
      <w:pPr>
        <w:spacing w:after="0" w:line="23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IMPLEMENTATION</w:t>
      </w:r>
    </w:p>
    <w:p>
      <w:pPr>
        <w:spacing w:after="0" w:line="95" w:lineRule="exact"/>
        <w:rPr>
          <w:sz w:val="20"/>
          <w:szCs w:val="20"/>
          <w:color w:val="auto"/>
        </w:rPr>
      </w:pPr>
    </w:p>
    <w:p>
      <w:pPr>
        <w:ind w:right="260"/>
        <w:spacing w:after="0" w:line="229" w:lineRule="auto"/>
        <w:rPr>
          <w:sz w:val="20"/>
          <w:szCs w:val="20"/>
          <w:color w:val="auto"/>
        </w:rPr>
      </w:pPr>
      <w:r>
        <w:rPr>
          <w:rFonts w:ascii="Calibri" w:cs="Calibri" w:eastAsia="Calibri" w:hAnsi="Calibri"/>
          <w:sz w:val="22"/>
          <w:szCs w:val="22"/>
          <w:color w:val="auto"/>
        </w:rPr>
        <w:t>The current version of this Policy will at all tmes be accessible through the Company's intranet. The Company will notfy the Window Group of the trading window periods for each quarter. The Company provides training and informaton on this Policy and the insider trading laws to appropriate Company Personnel from tme to tme, and Company Personnel are required to atend all such trainings assigned to them.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7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5" w:name="page106"/>
    <w:bookmarkEnd w:id="105"/>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COMPLIANCE AND SANCTIONS</w:t>
      </w:r>
    </w:p>
    <w:p>
      <w:pPr>
        <w:spacing w:after="0" w:line="255" w:lineRule="exact"/>
        <w:rPr>
          <w:sz w:val="20"/>
          <w:szCs w:val="20"/>
          <w:color w:val="auto"/>
        </w:rPr>
      </w:pPr>
    </w:p>
    <w:p>
      <w:pPr>
        <w:ind w:right="640"/>
        <w:spacing w:after="0" w:line="229" w:lineRule="auto"/>
        <w:rPr>
          <w:sz w:val="20"/>
          <w:szCs w:val="20"/>
          <w:color w:val="auto"/>
        </w:rPr>
      </w:pPr>
      <w:r>
        <w:rPr>
          <w:rFonts w:ascii="Calibri" w:cs="Calibri" w:eastAsia="Calibri" w:hAnsi="Calibri"/>
          <w:sz w:val="22"/>
          <w:szCs w:val="22"/>
          <w:color w:val="auto"/>
        </w:rPr>
        <w:t>Failure to comply with this Policy may be grounds for disciplinary acton, in accordance with local law, up to and including terminaton.</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REPORTING AND NON-RETALIATION</w:t>
      </w:r>
    </w:p>
    <w:p>
      <w:pPr>
        <w:spacing w:after="0" w:line="242" w:lineRule="exact"/>
        <w:rPr>
          <w:sz w:val="20"/>
          <w:szCs w:val="20"/>
          <w:color w:val="auto"/>
        </w:rPr>
      </w:pPr>
    </w:p>
    <w:p>
      <w:pPr>
        <w:ind w:right="80"/>
        <w:spacing w:after="0" w:line="232" w:lineRule="auto"/>
        <w:rPr>
          <w:sz w:val="20"/>
          <w:szCs w:val="20"/>
          <w:color w:val="auto"/>
        </w:rPr>
      </w:pPr>
      <w:r>
        <w:rPr>
          <w:rFonts w:ascii="Calibri" w:cs="Calibri" w:eastAsia="Calibri" w:hAnsi="Calibri"/>
          <w:sz w:val="22"/>
          <w:szCs w:val="22"/>
          <w:color w:val="auto"/>
        </w:rPr>
        <w:t xml:space="preserve">Company employees should, in accordance with local law, report any conduct that they believe in good faith to be a violaton or apparent violaton of this Policy to their manager, Human Resources, the Legal Department, the Ofce of Business Conduct &amp; Ethics, or the Ethics Helpline at </w:t>
      </w:r>
      <w:r>
        <w:rPr>
          <w:rFonts w:ascii="Calibri" w:cs="Calibri" w:eastAsia="Calibri" w:hAnsi="Calibri"/>
          <w:sz w:val="22"/>
          <w:szCs w:val="22"/>
          <w:u w:val="single" w:color="auto"/>
          <w:color w:val="auto"/>
        </w:rPr>
        <w:t>www.PentairEthics.com</w:t>
      </w:r>
      <w:r>
        <w:rPr>
          <w:rFonts w:ascii="Calibri" w:cs="Calibri" w:eastAsia="Calibri" w:hAnsi="Calibri"/>
          <w:sz w:val="22"/>
          <w:szCs w:val="22"/>
          <w:color w:val="auto"/>
        </w:rPr>
        <w:t>. Any such reports shall be treated as confdental to the extent allowed by law. The Company prohibits retaliaton for good faith reports of suspected misconduct.</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CONTACT/QUESTIONS</w:t>
      </w:r>
    </w:p>
    <w:p>
      <w:pPr>
        <w:spacing w:after="0" w:line="242"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 xml:space="preserve">Any questons concerning this Policy may be addressed to the General Counsel or the Ofce of Business Conduct &amp; Ethics, or by e-mail at </w:t>
      </w:r>
      <w:r>
        <w:rPr>
          <w:rFonts w:ascii="Calibri" w:cs="Calibri" w:eastAsia="Calibri" w:hAnsi="Calibri"/>
          <w:sz w:val="22"/>
          <w:szCs w:val="22"/>
          <w:u w:val="single" w:color="auto"/>
          <w:color w:val="auto"/>
        </w:rPr>
        <w:t>ethics@pentair.com</w:t>
      </w:r>
      <w:r>
        <w:rPr>
          <w:rFonts w:ascii="Calibri" w:cs="Calibri" w:eastAsia="Calibri" w:hAnsi="Calibri"/>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8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6" w:name="page107"/>
    <w:bookmarkEnd w:id="106"/>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APPENDIX A</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Rule 10b5-1 Trading Plan Transactons Policy</w:t>
      </w:r>
    </w:p>
    <w:p>
      <w:pPr>
        <w:spacing w:after="0" w:line="24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Rule 10b5-1 under the Exchange Act provides a defense from insider trading liability under Rule 10b-5. In order to be eligible to rely on this defense, a person subject to this Policy must enter into a 10b5-1 Plan for transactons in Company Securites (as defned in this Policy) that meets certain conditons specifed in that rule. Once the plan is adopted, the person must not exercise any infuence over the amount of securites to be traded, the price at which they are to be traded or the date of the trade. The plan must either specify the amount, pricing and tming of transactons in advance or delegate discreton on these maters to an independent third party.</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guidelines apply to all 10b5-1 Plans (unless otherwise approved by the General Counsel):</w:t>
      </w:r>
    </w:p>
    <w:p>
      <w:pPr>
        <w:spacing w:after="0" w:line="269" w:lineRule="exact"/>
        <w:rPr>
          <w:sz w:val="20"/>
          <w:szCs w:val="20"/>
          <w:color w:val="auto"/>
        </w:rPr>
      </w:pPr>
    </w:p>
    <w:p>
      <w:pPr>
        <w:jc w:val="both"/>
        <w:ind w:left="720" w:hanging="323"/>
        <w:spacing w:after="0" w:line="231"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For Secton 16 Persons, no transacton may take place under a 10b5-1 Plan untl expiraton of a cooling-of period consistng of the later of (a) 90 days afer adopton or modifcaton (as specifed in Rule 10b5-1) of the 10b5-1 Plan or (b) two business days following the disclosure of the Company’s fnancial results in a Form 10-Q or Form 10-K for the fscal quarter (the Company’s fourth fscal quarter in the case of a Form 10-K) in which the 10b5-1 Plan was adopted or modifed (as specifed in Rule 10b5-1), but in any event, this required cooling-of period is subject to a maximum of 120 days afer adopton of the plan.</w:t>
      </w:r>
    </w:p>
    <w:p>
      <w:pPr>
        <w:spacing w:after="0" w:line="136" w:lineRule="exact"/>
        <w:rPr>
          <w:rFonts w:ascii="Arial" w:cs="Arial" w:eastAsia="Arial" w:hAnsi="Arial"/>
          <w:sz w:val="22"/>
          <w:szCs w:val="22"/>
          <w:color w:val="auto"/>
        </w:rPr>
      </w:pPr>
    </w:p>
    <w:p>
      <w:pPr>
        <w:ind w:left="720" w:hanging="323"/>
        <w:spacing w:after="0" w:line="229"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For persons other than Secton 16 Persons, no transacton may take place under a 10b5-1 Plan untl the expiraton of a cooling-of period that is 30 days following the adopton or modifcaton (as specifed in Rule 10b5-1) of a 10b5-1 Plan.</w:t>
      </w:r>
    </w:p>
    <w:p>
      <w:pPr>
        <w:spacing w:after="0" w:line="149" w:lineRule="exact"/>
        <w:rPr>
          <w:rFonts w:ascii="Arial" w:cs="Arial" w:eastAsia="Arial" w:hAnsi="Arial"/>
          <w:sz w:val="22"/>
          <w:szCs w:val="22"/>
          <w:color w:val="auto"/>
        </w:rPr>
      </w:pPr>
    </w:p>
    <w:p>
      <w:pPr>
        <w:ind w:left="720" w:right="20" w:hanging="323"/>
        <w:spacing w:after="0" w:line="229"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Subject to certain limited exceptons specifed in 10b5-1, you may not have more than one 10b5-1 Plan in efect at any same tme.</w:t>
      </w:r>
    </w:p>
    <w:p>
      <w:pPr>
        <w:spacing w:after="0" w:line="135" w:lineRule="exact"/>
        <w:rPr>
          <w:rFonts w:ascii="Arial" w:cs="Arial" w:eastAsia="Arial" w:hAnsi="Arial"/>
          <w:sz w:val="22"/>
          <w:szCs w:val="22"/>
          <w:color w:val="auto"/>
        </w:rPr>
      </w:pPr>
    </w:p>
    <w:p>
      <w:pPr>
        <w:jc w:val="both"/>
        <w:ind w:left="720" w:hanging="323"/>
        <w:spacing w:after="0" w:line="229"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Subject to certain limited exceptons specifed in Rule 10b5-1, you may only enter into a 10b5-1 Plan that is designed to efect an open market purchase or sale of the total amount of securites subject to the 10b5-1 Plan as a single transacton (a “single-transacton plan”) if you have not entered into a “single-transacton plan” in the prior 12 months.</w:t>
      </w:r>
    </w:p>
    <w:p>
      <w:pPr>
        <w:spacing w:after="0" w:line="149" w:lineRule="exact"/>
        <w:rPr>
          <w:rFonts w:ascii="Arial" w:cs="Arial" w:eastAsia="Arial" w:hAnsi="Arial"/>
          <w:sz w:val="22"/>
          <w:szCs w:val="22"/>
          <w:color w:val="auto"/>
        </w:rPr>
      </w:pPr>
    </w:p>
    <w:p>
      <w:pPr>
        <w:jc w:val="both"/>
        <w:ind w:left="720" w:hanging="323"/>
        <w:spacing w:after="0" w:line="229"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You must act in good faith with respect to a 10b5-1 Plan. A 10b5-1 Plan cannot be entered into as part of a plan or scheme to evade the prohibiton of Rule 10b-5. Therefore, although modifcatons to an existng 10b5-1 Plan are not prohibited, a 10b5-1 Plan should be adopted with the intenton that it will not be amended or terminated prior to its expiraton.</w:t>
      </w:r>
    </w:p>
    <w:p>
      <w:pPr>
        <w:spacing w:after="0" w:line="136" w:lineRule="exact"/>
        <w:rPr>
          <w:rFonts w:ascii="Arial" w:cs="Arial" w:eastAsia="Arial" w:hAnsi="Arial"/>
          <w:sz w:val="22"/>
          <w:szCs w:val="22"/>
          <w:color w:val="auto"/>
        </w:rPr>
      </w:pPr>
    </w:p>
    <w:p>
      <w:pPr>
        <w:ind w:left="720" w:hanging="323"/>
        <w:spacing w:after="0" w:line="229" w:lineRule="auto"/>
        <w:tabs>
          <w:tab w:leader="none" w:pos="714" w:val="left"/>
        </w:tabs>
        <w:numPr>
          <w:ilvl w:val="0"/>
          <w:numId w:val="82"/>
        </w:numPr>
        <w:rPr>
          <w:rFonts w:ascii="Arial" w:cs="Arial" w:eastAsia="Arial" w:hAnsi="Arial"/>
          <w:sz w:val="22"/>
          <w:szCs w:val="22"/>
          <w:color w:val="auto"/>
        </w:rPr>
      </w:pPr>
      <w:r>
        <w:rPr>
          <w:rFonts w:ascii="Calibri" w:cs="Calibri" w:eastAsia="Calibri" w:hAnsi="Calibri"/>
          <w:sz w:val="22"/>
          <w:szCs w:val="22"/>
          <w:color w:val="auto"/>
        </w:rPr>
        <w:t>Secton 16 Persons must include a representaton in the 10b5-1 Plan that (i) the person is not aware of material, nonpublic informaton about the Company or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7"/>
              </w:rPr>
              <w:t>Page 9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237" w:lineRule="exact"/>
        <w:rPr>
          <w:sz w:val="20"/>
          <w:szCs w:val="20"/>
          <w:color w:val="auto"/>
        </w:rPr>
      </w:pPr>
    </w:p>
    <w:p>
      <w:pPr>
        <w:ind w:left="720"/>
        <w:spacing w:after="0" w:line="235" w:lineRule="auto"/>
        <w:rPr>
          <w:sz w:val="20"/>
          <w:szCs w:val="20"/>
          <w:color w:val="auto"/>
        </w:rPr>
      </w:pPr>
      <w:r>
        <w:rPr>
          <w:rFonts w:ascii="Calibri" w:cs="Calibri" w:eastAsia="Calibri" w:hAnsi="Calibri"/>
          <w:sz w:val="22"/>
          <w:szCs w:val="22"/>
          <w:color w:val="auto"/>
        </w:rPr>
        <w:t>Securites and (ii) the person is adoptng the plan in good faith and not as part of plan or scheme to evade the prohibitons of Rule 10b-5.</w:t>
      </w:r>
    </w:p>
    <w:p>
      <w:pPr>
        <w:spacing w:after="0" w:line="109" w:lineRule="exact"/>
        <w:rPr>
          <w:sz w:val="20"/>
          <w:szCs w:val="20"/>
          <w:color w:val="auto"/>
        </w:rPr>
      </w:pPr>
    </w:p>
    <w:p>
      <w:pPr>
        <w:ind w:hanging="11"/>
        <w:spacing w:after="0" w:line="229" w:lineRule="auto"/>
        <w:rPr>
          <w:sz w:val="20"/>
          <w:szCs w:val="20"/>
          <w:color w:val="auto"/>
        </w:rPr>
      </w:pPr>
      <w:r>
        <w:rPr>
          <w:rFonts w:ascii="Calibri" w:cs="Calibri" w:eastAsia="Calibri" w:hAnsi="Calibri"/>
          <w:sz w:val="22"/>
          <w:szCs w:val="22"/>
          <w:color w:val="auto"/>
        </w:rPr>
        <w:t>For purposes of the above, a modifcaton as specifed in Rule 10b5-1 includes any modifcaton of a 10b5-1 Plan that changes the amount, price or tming of the purchase or sale of securites underlying the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35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ISSUED BY</w:t>
            </w:r>
          </w:p>
        </w:tc>
        <w:tc>
          <w:tcPr>
            <w:tcW w:w="26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5"/>
              </w:rPr>
              <w:t>EFFECTIVE DATE</w:t>
            </w:r>
          </w:p>
        </w:tc>
        <w:tc>
          <w:tcPr>
            <w:tcW w:w="26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SUPERSEDES</w:t>
            </w:r>
          </w:p>
        </w:tc>
        <w:tc>
          <w:tcPr>
            <w:tcW w:w="24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5"/>
              </w:rPr>
              <w:t>PAGE</w:t>
            </w:r>
          </w:p>
        </w:tc>
      </w:tr>
      <w:tr>
        <w:trPr>
          <w:trHeight w:val="459"/>
        </w:trPr>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Legal Department</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December 16, 2024</w:t>
            </w:r>
          </w:p>
        </w:tc>
        <w:tc>
          <w:tcPr>
            <w:tcW w:w="26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February 23, 2023</w:t>
            </w:r>
          </w:p>
        </w:tc>
        <w:tc>
          <w:tcPr>
            <w:tcW w:w="2420" w:type="dxa"/>
            <w:vAlign w:val="bottom"/>
          </w:tcPr>
          <w:p>
            <w:pPr>
              <w:jc w:val="center"/>
              <w:spacing w:after="0"/>
              <w:rPr>
                <w:sz w:val="20"/>
                <w:szCs w:val="20"/>
                <w:color w:val="auto"/>
              </w:rPr>
            </w:pPr>
            <w:r>
              <w:rPr>
                <w:rFonts w:ascii="Calibri" w:cs="Calibri" w:eastAsia="Calibri" w:hAnsi="Calibri"/>
                <w:sz w:val="18"/>
                <w:szCs w:val="18"/>
                <w:color w:val="auto"/>
                <w:w w:val="96"/>
              </w:rPr>
              <w:t>Page 10 of 10</w:t>
            </w:r>
          </w:p>
        </w:tc>
      </w:tr>
      <w:tr>
        <w:trPr>
          <w:trHeight w:val="50"/>
        </w:trPr>
        <w:tc>
          <w:tcPr>
            <w:tcW w:w="35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40" w:type="dxa"/>
            <w:vAlign w:val="bottom"/>
            <w:tcBorders>
              <w:right w:val="single" w:sz="8" w:color="auto"/>
            </w:tcBorders>
          </w:tcPr>
          <w:p>
            <w:pPr>
              <w:spacing w:after="0"/>
              <w:rPr>
                <w:sz w:val="4"/>
                <w:szCs w:val="4"/>
                <w:color w:val="auto"/>
              </w:rPr>
            </w:pPr>
          </w:p>
        </w:tc>
        <w:tc>
          <w:tcPr>
            <w:tcW w:w="2420" w:type="dxa"/>
            <w:vAlign w:val="bottom"/>
          </w:tcPr>
          <w:p>
            <w:pPr>
              <w:spacing w:after="0"/>
              <w:rPr>
                <w:sz w:val="4"/>
                <w:szCs w:val="4"/>
                <w:color w:val="auto"/>
              </w:rPr>
            </w:pPr>
          </w:p>
        </w:tc>
      </w:tr>
    </w:tbl>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Pentair plc and subsidiaries as of December 31, 2024</w:t>
      </w:r>
    </w:p>
    <w:p>
      <w:pPr>
        <w:sectPr>
          <w:pgSz w:w="11900" w:h="16838" w:orient="portrait"/>
          <w:cols w:equalWidth="0" w:num="1">
            <w:col w:w="11200"/>
          </w:cols>
          <w:pgMar w:left="360" w:top="887" w:right="33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APEL International,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Aplex Industries,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Aqua Membranes, Inc. </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Aquion (Xi'an) Water Treatment Equipment Co., Ltd.</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Aquion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Aquion,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ClearWater Tech,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ETE Coliban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Everpure Japan Kabushiki Kaisha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FARADYNE Motors (Suzhou) Co., Ltd </w:t>
      </w:r>
      <w:r>
        <w:rPr>
          <w:rFonts w:ascii="Times New Roman" w:cs="Times New Roman" w:eastAsia="Times New Roman" w:hAnsi="Times New Roman"/>
          <w:sz w:val="10"/>
          <w:szCs w:val="10"/>
          <w:color w:val="auto"/>
        </w:rPr>
        <w:t>(2)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Faradyne Motors LLC </w:t>
      </w:r>
      <w:r>
        <w:rPr>
          <w:rFonts w:ascii="Times New Roman" w:cs="Times New Roman" w:eastAsia="Times New Roman" w:hAnsi="Times New Roman"/>
          <w:sz w:val="10"/>
          <w:szCs w:val="10"/>
          <w:color w:val="auto"/>
        </w:rPr>
        <w:t>(2)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FilterDeal,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 &amp; F Manufacturing,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Goyen Controls Co.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Goyen Valve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Greenspan Environmental Technology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Haffmans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Hypro EU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Jung Pumpen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Lincoln Automotive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Manitowoc Foodservice (Switzerland)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Manitowoc FSG Holding,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Manitowoc FSG Manufactura Mexico, S. de R.L.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McNeil (Ohio)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MECAIR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Milperra Developments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Pool Builder,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Moraine Properties,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Nano Terra, Inc. </w:t>
      </w:r>
      <w:r>
        <w:rPr>
          <w:rFonts w:ascii="Times New Roman" w:cs="Times New Roman" w:eastAsia="Times New Roman" w:hAnsi="Times New Roman"/>
          <w:sz w:val="10"/>
          <w:szCs w:val="10"/>
          <w:color w:val="auto"/>
        </w:rPr>
        <w:t>(3)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Nijhuis Pompen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Panthro Acquisition 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Aquatic Eco-Systems,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Australia Holdings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Canada,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Clean Process Technologies India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Commercial Ice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Commercial Services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Denmark Holding 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86" w:lineRule="exact"/>
        <w:rPr>
          <w:sz w:val="20"/>
          <w:szCs w:val="20"/>
          <w:color w:val="auto"/>
        </w:rPr>
      </w:pPr>
    </w:p>
    <w:p>
      <w:pPr>
        <w:sectPr>
          <w:pgSz w:w="11900" w:h="16838" w:orient="portrait"/>
          <w:cols w:equalWidth="0" w:num="2">
            <w:col w:w="6240" w:space="720"/>
            <w:col w:w="4240"/>
          </w:cols>
          <w:pgMar w:left="36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Pentair Filtration Solutions,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Group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Switzerland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Control International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Services AG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de Mexico, S. de R.L.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Pacific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France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Germany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Global Holdings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Global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ectPr>
          <w:pgSz w:w="11900" w:h="16838" w:orient="portrait"/>
          <w:cols w:equalWidth="0" w:num="2">
            <w:col w:w="6240" w:space="720"/>
            <w:col w:w="4240"/>
          </w:cols>
          <w:pgMar w:left="360" w:top="887"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color w:val="auto"/>
        </w:rPr>
        <w:t>Pentair Group (Thailand)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Holdings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(UK)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Holding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Investments Switzerland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Ireland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Luxembourg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Management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Manufacturing Belgium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Manufacturing Italy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Middle East FZE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Netherlands Euro Finance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Netherlands Holding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Pacific Rim (Water)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Pacific Rim,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Pentair Philippines, Inc. </w:t>
      </w:r>
      <w:r>
        <w:rPr>
          <w:rFonts w:ascii="Times New Roman" w:cs="Times New Roman" w:eastAsia="Times New Roman" w:hAnsi="Times New Roman"/>
          <w:sz w:val="10"/>
          <w:szCs w:val="10"/>
          <w:color w:val="auto"/>
        </w:rPr>
        <w:t>(4)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Pleatco Acquisition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Residential Filtration,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Sudmo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Trading (Shanghai)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28" w:lineRule="exact"/>
        <w:rPr>
          <w:sz w:val="20"/>
          <w:szCs w:val="20"/>
          <w:color w:val="auto"/>
        </w:rPr>
      </w:pPr>
    </w:p>
    <w:p>
      <w:pPr>
        <w:sectPr>
          <w:pgSz w:w="11900" w:h="16838" w:orient="portrait"/>
          <w:cols w:equalWidth="0" w:num="2">
            <w:col w:w="6240" w:space="720"/>
            <w:col w:w="3139"/>
          </w:cols>
          <w:pgMar w:left="360" w:top="1030" w:right="1440"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Pentair US LLC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39" w:lineRule="exact"/>
        <w:rPr>
          <w:sz w:val="20"/>
          <w:szCs w:val="20"/>
          <w:color w:val="auto"/>
        </w:rPr>
      </w:pPr>
    </w:p>
    <w:p>
      <w:pPr>
        <w:sectPr>
          <w:pgSz w:w="11900" w:h="16838" w:orient="portrait"/>
          <w:cols w:equalWidth="0" w:num="2">
            <w:col w:w="6240" w:space="720"/>
            <w:col w:w="3139"/>
          </w:cols>
          <w:pgMar w:left="360" w:top="103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Pentair US LLC 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US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(Suzhou) Company,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Asia Pacific Pte.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Australia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Belgium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Brazil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do Brasil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France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Group,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India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Italy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Operations Australia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Polska Sp.zoo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Pool and Spa,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Proces Technologie Holding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Process Technology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Purification Systems (Shanghai)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Solutions (Hangzhou) Company,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Spain, S.L.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Treatment (OH)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Treatment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Treatment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Water-Mexico, S. de R.L.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Penwald Insurance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PES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Pleatco Mexican Holding Company,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Pleatco Mexicana,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ectPr>
          <w:pgSz w:w="11900" w:h="16838" w:orient="portrait"/>
          <w:cols w:equalWidth="0" w:num="2">
            <w:col w:w="6240" w:space="720"/>
            <w:col w:w="3139"/>
          </w:cols>
          <w:pgMar w:left="360" w:top="1030" w:right="144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Pleatco,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Plymouth Products,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Seneca Enterprises Co.</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1"/>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Sta-Rite Industries,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27"/>
        </w:trPr>
        <w:tc>
          <w:tcPr>
            <w:tcW w:w="478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 xml:space="preserve">Surface Logix LLC </w:t>
            </w:r>
            <w:r>
              <w:rPr>
                <w:rFonts w:ascii="Times New Roman" w:cs="Times New Roman" w:eastAsia="Times New Roman" w:hAnsi="Times New Roman"/>
                <w:sz w:val="21"/>
                <w:szCs w:val="21"/>
                <w:color w:val="auto"/>
                <w:vertAlign w:val="superscript"/>
              </w:rPr>
              <w:t>(5)</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Union Engineering (NingBo) Co., Ltd.</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Union Engineering A/S</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Denmark</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Union Engineering Holding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Union Engineering Latam Ltda</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Brazil</w:t>
            </w:r>
          </w:p>
        </w:tc>
      </w:tr>
      <w:tr>
        <w:trPr>
          <w:trHeight w:val="265"/>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Union Engineering North America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27"/>
        </w:trPr>
        <w:tc>
          <w:tcPr>
            <w:tcW w:w="478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 xml:space="preserve">Voltea Ltd. </w:t>
            </w:r>
            <w:r>
              <w:rPr>
                <w:rFonts w:ascii="Times New Roman" w:cs="Times New Roman" w:eastAsia="Times New Roman" w:hAnsi="Times New Roman"/>
                <w:sz w:val="21"/>
                <w:szCs w:val="21"/>
                <w:color w:val="auto"/>
                <w:vertAlign w:val="superscript"/>
              </w:rPr>
              <w:t>(6)</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Webster Electric Company, LLC</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Wicor Industries (Australia) Pty. Ltd.</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X-Flow B.V.</w:t>
            </w:r>
          </w:p>
        </w:tc>
        <w:tc>
          <w:tcPr>
            <w:tcW w:w="32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Netherlands</w:t>
            </w:r>
          </w:p>
        </w:tc>
      </w:tr>
      <w:tr>
        <w:trPr>
          <w:trHeight w:val="324"/>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12.41% owned</w:t>
            </w:r>
          </w:p>
        </w:tc>
        <w:tc>
          <w:tcPr>
            <w:tcW w:w="3280" w:type="dxa"/>
            <w:vAlign w:val="bottom"/>
          </w:tcPr>
          <w:p>
            <w:pPr>
              <w:spacing w:after="0"/>
              <w:rPr>
                <w:sz w:val="24"/>
                <w:szCs w:val="24"/>
                <w:color w:val="auto"/>
              </w:rPr>
            </w:pPr>
          </w:p>
        </w:tc>
      </w:tr>
      <w:tr>
        <w:trPr>
          <w:trHeight w:val="216"/>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50% owned</w:t>
            </w:r>
          </w:p>
        </w:tc>
        <w:tc>
          <w:tcPr>
            <w:tcW w:w="3280" w:type="dxa"/>
            <w:vAlign w:val="bottom"/>
          </w:tcPr>
          <w:p>
            <w:pPr>
              <w:spacing w:after="0"/>
              <w:rPr>
                <w:sz w:val="18"/>
                <w:szCs w:val="18"/>
                <w:color w:val="auto"/>
              </w:rPr>
            </w:pPr>
          </w:p>
        </w:tc>
      </w:tr>
      <w:tr>
        <w:trPr>
          <w:trHeight w:val="216"/>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0.9% owned</w:t>
            </w:r>
          </w:p>
        </w:tc>
        <w:tc>
          <w:tcPr>
            <w:tcW w:w="3280" w:type="dxa"/>
            <w:vAlign w:val="bottom"/>
          </w:tcPr>
          <w:p>
            <w:pPr>
              <w:spacing w:after="0"/>
              <w:rPr>
                <w:sz w:val="18"/>
                <w:szCs w:val="18"/>
                <w:color w:val="auto"/>
              </w:rPr>
            </w:pPr>
          </w:p>
        </w:tc>
      </w:tr>
      <w:tr>
        <w:trPr>
          <w:trHeight w:val="216"/>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99.99% owned</w:t>
            </w:r>
          </w:p>
        </w:tc>
        <w:tc>
          <w:tcPr>
            <w:tcW w:w="3280" w:type="dxa"/>
            <w:vAlign w:val="bottom"/>
          </w:tcPr>
          <w:p>
            <w:pPr>
              <w:spacing w:after="0"/>
              <w:rPr>
                <w:sz w:val="18"/>
                <w:szCs w:val="18"/>
                <w:color w:val="auto"/>
              </w:rPr>
            </w:pPr>
          </w:p>
        </w:tc>
      </w:tr>
      <w:tr>
        <w:trPr>
          <w:trHeight w:val="216"/>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0.01% owned</w:t>
            </w:r>
          </w:p>
        </w:tc>
        <w:tc>
          <w:tcPr>
            <w:tcW w:w="3280" w:type="dxa"/>
            <w:vAlign w:val="bottom"/>
          </w:tcPr>
          <w:p>
            <w:pPr>
              <w:spacing w:after="0"/>
              <w:rPr>
                <w:sz w:val="18"/>
                <w:szCs w:val="18"/>
                <w:color w:val="auto"/>
              </w:rPr>
            </w:pPr>
          </w:p>
        </w:tc>
      </w:tr>
      <w:tr>
        <w:trPr>
          <w:trHeight w:val="216"/>
        </w:trPr>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1.69% owned</w:t>
            </w:r>
          </w:p>
        </w:tc>
        <w:tc>
          <w:tcPr>
            <w:tcW w:w="3280" w:type="dxa"/>
            <w:vAlign w:val="bottom"/>
          </w:tcPr>
          <w:p>
            <w:pPr>
              <w:spacing w:after="0"/>
              <w:rPr>
                <w:sz w:val="18"/>
                <w:szCs w:val="18"/>
                <w:color w:val="auto"/>
              </w:rPr>
            </w:pPr>
          </w:p>
        </w:tc>
      </w:tr>
    </w:tbl>
    <w:p>
      <w:pPr>
        <w:sectPr>
          <w:pgSz w:w="11900" w:h="16838" w:orient="portrait"/>
          <w:cols w:equalWidth="0" w:num="1">
            <w:col w:w="10099"/>
          </w:cols>
          <w:pgMar w:left="360" w:top="1030"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333-184151, 333-184152, and 333-238544 on Form S-8 and Registration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Statement No. 333-265317 on Form S-3 of our reports dated February 25, 2025, relating to the financial statements of Pentair plc and the effectiveness of Pentair plc’s internal control over financial reporting appearing in this Annual Report on Form 10-K for the year ended December 31,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Mona Abutaleb Stephenson</w:t>
            </w:r>
          </w:p>
        </w:tc>
        <w:tc>
          <w:tcPr>
            <w:tcW w:w="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Mona Abutaleb Stephenson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Melissa Barra</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Melissa Barra</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Tracey Doi</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Tracey Doi</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 Michael Glenn</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 Michael Glenn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Theodore L. Harris</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Theodore L. Harris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A. Jones</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A. Jones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Gregory E. Knight</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Gregory E. Knight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T. Speetzen</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T. Speetzen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6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Billie I. Williamson</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Billie I. Williamson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Pentair plc (the “Company”) on Form 10-K for the period ended December 31, 2024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Pentair plc (the “Company”) on Form 10-K for the period ended December 31, 2024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endash "/>
      <w:numFmt w:val="bullet"/>
      <w:start w:val="1"/>
    </w:lvl>
  </w:abstractNum>
  <w:abstractNum w:abstractNumId="12">
    <w:nsid w:val="579478FE"/>
    <w:multiLevelType w:val="hybridMultilevel"/>
    <w:lvl w:ilvl="0">
      <w:lvlJc w:val="left"/>
      <w:lvlText w:val="(%1)"/>
      <w:numFmt w:val="lowerLetter"/>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lvl w:ilvl="1">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9"/>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2"/>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5"/>
    </w:lvl>
  </w:abstractNum>
  <w:abstractNum w:abstractNumId="63">
    <w:nsid w:val="7BD3EE7B"/>
    <w:multiLevelType w:val="hybridMultilevel"/>
    <w:lvl w:ilvl="0">
      <w:lvlJc w:val="left"/>
      <w:lvlText w:val="(%1)"/>
      <w:numFmt w:val="lowerLetter"/>
      <w:start w:val="2"/>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2"/>
    </w:lvl>
  </w:abstractNum>
  <w:abstractNum w:abstractNumId="66">
    <w:nsid w:val="BF72B14"/>
    <w:multiLevelType w:val="hybridMultilevel"/>
    <w:lvl w:ilvl="0">
      <w:lvlJc w:val="left"/>
      <w:lvlText w:val="%1"/>
      <w:numFmt w:val="decimal"/>
      <w:start w:val="19"/>
    </w:lvl>
  </w:abstractNum>
  <w:abstractNum w:abstractNumId="67">
    <w:nsid w:val="11447B73"/>
    <w:multiLevelType w:val="hybridMultilevel"/>
    <w:lvl w:ilvl="0">
      <w:lvlJc w:val="left"/>
      <w:lvlText w:val="%1"/>
      <w:numFmt w:val="decimal"/>
      <w:start w:val="21"/>
    </w:lvl>
  </w:abstractNum>
  <w:abstractNum w:abstractNumId="68">
    <w:nsid w:val="42963E5A"/>
    <w:multiLevelType w:val="hybridMultilevel"/>
    <w:lvl w:ilvl="0">
      <w:lvlJc w:val="left"/>
      <w:lvlText w:val="%1"/>
      <w:numFmt w:val="decimal"/>
      <w:start w:val="97"/>
    </w:lvl>
  </w:abstractNum>
  <w:abstractNum w:abstractNumId="69">
    <w:nsid w:val="A0382C5"/>
    <w:multiLevelType w:val="hybridMultilevel"/>
    <w:lvl w:ilvl="0">
      <w:lvlJc w:val="left"/>
      <w:lvlText w:val="%1"/>
      <w:numFmt w:val="decimal"/>
      <w:start w:val="101"/>
    </w:lvl>
  </w:abstractNum>
  <w:abstractNum w:abstractNumId="70">
    <w:nsid w:val="8F2B15E"/>
    <w:multiLevelType w:val="hybridMultilevel"/>
    <w:lvl w:ilvl="0">
      <w:lvlJc w:val="left"/>
      <w:lvlText w:val="*"/>
      <w:numFmt w:val="bullet"/>
      <w:start w:val="1"/>
    </w:lvl>
    <w:lvl w:ilvl="1">
      <w:lvlJc w:val="left"/>
      <w:lvlText w:val="%2"/>
      <w:numFmt w:val="decimal"/>
      <w:start w:val="104"/>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0" Type="http://schemas.openxmlformats.org/officeDocument/2006/relationships/image" Target="media/image96.png"/><Relationship Id="rId128"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03" Type="http://schemas.openxmlformats.org/officeDocument/2006/relationships/hyperlink" Target="https://www.sec.gov/Archives/edgar/data/77360/000119312517164403/d365501dex31.htm" TargetMode="External"/><Relationship Id="rId104" Type="http://schemas.openxmlformats.org/officeDocument/2006/relationships/hyperlink" Target="https://www.sec.gov/Archives/edgar/data/77360/000110465921151404/tm2135751d1_ex4-1.htm" TargetMode="External"/><Relationship Id="rId105" Type="http://schemas.openxmlformats.org/officeDocument/2006/relationships/hyperlink" Target="https://www.sec.gov/Archives/edgar/data/77360/000007736023000006/amendmentno1tocreditagre.htm" TargetMode="External"/><Relationship Id="rId106" Type="http://schemas.openxmlformats.org/officeDocument/2006/relationships/hyperlink" Target="https://www.sec.gov/Archives/edgar/data/77360/000119312515321236/d19886dex41.htm" TargetMode="External"/><Relationship Id="rId107" Type="http://schemas.openxmlformats.org/officeDocument/2006/relationships/hyperlink" Target="https://www.sec.gov/Archives/edgar/data/77360/000119312515321236/d19886dex44.htm" TargetMode="External"/><Relationship Id="rId108" Type="http://schemas.openxmlformats.org/officeDocument/2006/relationships/hyperlink" Target="https://www.sec.gov/Archives/edgar/data/77360/000007736017000025/exhibit43fifthsupplemental.htm" TargetMode="External"/><Relationship Id="rId109" Type="http://schemas.openxmlformats.org/officeDocument/2006/relationships/hyperlink" Target="https://www.sec.gov/Archives/edgar/data/77360/000110465919037009/a19-10746_8ex4d2.htm" TargetMode="External"/><Relationship Id="rId111" Type="http://schemas.openxmlformats.org/officeDocument/2006/relationships/hyperlink" Target="https://www.sec.gov/Archives/edgar/data/77360/000007736020000031/exhibit42seventhsupple.htm" TargetMode="External"/><Relationship Id="rId112" Type="http://schemas.openxmlformats.org/officeDocument/2006/relationships/hyperlink" Target="https://www.sec.gov/Archives/edgar/data/77360/000110465922078363/tm2220547d1_ex4-3.htm" TargetMode="External"/><Relationship Id="rId113" Type="http://schemas.openxmlformats.org/officeDocument/2006/relationships/hyperlink" Target="https://www.sec.gov/Archives/edgar/data/77360/000110465922038083/tm2210380d1_ex4-1.htm" TargetMode="External"/><Relationship Id="rId114" Type="http://schemas.openxmlformats.org/officeDocument/2006/relationships/hyperlink" Target="https://www.sec.gov/Archives/edgar/data/77360/000110465922076355/tm2219016d10_ex4-1.htm" TargetMode="External"/><Relationship Id="rId115" Type="http://schemas.openxmlformats.org/officeDocument/2006/relationships/hyperlink" Target="https://www.sec.gov/Archives/edgar/data/77360/000007736017000008/ex102pentairplc2012stockan.htm" TargetMode="External"/><Relationship Id="rId116" Type="http://schemas.openxmlformats.org/officeDocument/2006/relationships/hyperlink" Target="https://www.sec.gov/Archives/edgar/data/77360/000119312514223285/d738414dex107.htm" TargetMode="External"/><Relationship Id="rId117" Type="http://schemas.openxmlformats.org/officeDocument/2006/relationships/hyperlink" Target="https://www.sec.gov/Archives/edgar/data/77360/000119312514223285/d738414dex1010.htm" TargetMode="External"/><Relationship Id="rId118" Type="http://schemas.openxmlformats.org/officeDocument/2006/relationships/hyperlink" Target="https://www.sec.gov/Archives/edgar/data/77360/000007736018000027/exhibit10120180630.htm" TargetMode="External"/><Relationship Id="rId119" Type="http://schemas.openxmlformats.org/officeDocument/2006/relationships/hyperlink" Target="https://www.sec.gov/Archives/edgar/data/77360/000007736018000027/exhibit10320180630.htm" TargetMode="External"/><Relationship Id="rId120" Type="http://schemas.openxmlformats.org/officeDocument/2006/relationships/hyperlink" Target="https://www.sec.gov/Archives/edgar/data/77360/000007736024000007/ex107-amendmenttokeesa.htm" TargetMode="External"/><Relationship Id="rId121" Type="http://schemas.openxmlformats.org/officeDocument/2006/relationships/hyperlink" Target="https://www.sec.gov/Archives/edgar/data/77360/000007736022000006/exhibit108keesa.htm" TargetMode="External"/><Relationship Id="rId122" Type="http://schemas.openxmlformats.org/officeDocument/2006/relationships/hyperlink" Target="https://www.sec.gov/Archives/edgar/data/77360/000007736024000007/ex109formofamendmenttokees.htm" TargetMode="External"/><Relationship Id="rId123" Type="http://schemas.openxmlformats.org/officeDocument/2006/relationships/hyperlink" Target="https://www.sec.gov/Archives/edgar/data/77360/000119312514223285/d738414dex106.htm" TargetMode="External"/><Relationship Id="rId124" Type="http://schemas.openxmlformats.org/officeDocument/2006/relationships/hyperlink" Target="https://www.sec.gov/Archives/edgar/data/77360/000007736021000005/exhibit1011.htm" TargetMode="External"/><Relationship Id="rId125" Type="http://schemas.openxmlformats.org/officeDocument/2006/relationships/hyperlink" Target="https://www.sec.gov/Archives/edgar/data/77360/000007736019000006/ex1017non-qualifieddeferre.htm" TargetMode="External"/><Relationship Id="rId126" Type="http://schemas.openxmlformats.org/officeDocument/2006/relationships/hyperlink" Target="https://www.sec.gov/Archives/edgar/data/77360/0000077360-96-000028.txt" TargetMode="External"/><Relationship Id="rId127" Type="http://schemas.openxmlformats.org/officeDocument/2006/relationships/hyperlink" Target="https://www.sec.gov/Archives/edgar/data/77360/000119312514223285/d738414dex1013.htm" TargetMode="External"/><Relationship Id="rId129" Type="http://schemas.openxmlformats.org/officeDocument/2006/relationships/hyperlink" Target="https://www.sec.gov/Archives/edgar/data/77360/000119312514223285/d738414dex1014.htm" TargetMode="External"/><Relationship Id="rId130" Type="http://schemas.openxmlformats.org/officeDocument/2006/relationships/hyperlink" Target="https://www.sec.gov/Archives/edgar/data/77360/000119312514223285/d738414dex1015.htm" TargetMode="External"/><Relationship Id="rId131" Type="http://schemas.openxmlformats.org/officeDocument/2006/relationships/hyperlink" Target="https://www.sec.gov/Archives/edgar/data/77360/000119312514223285/d738414dex1016.htm" TargetMode="External"/><Relationship Id="rId132" Type="http://schemas.openxmlformats.org/officeDocument/2006/relationships/hyperlink" Target="https://www.sec.gov/Archives/edgar/data/77360/000007736017000008/ex1031pentairplc2012stocka.htm" TargetMode="External"/><Relationship Id="rId133" Type="http://schemas.openxmlformats.org/officeDocument/2006/relationships/hyperlink" Target="https://www.sec.gov/Archives/edgar/data/77360/000007736018000016/ex104pentairstockoptionagr.htm" TargetMode="External"/><Relationship Id="rId134" Type="http://schemas.openxmlformats.org/officeDocument/2006/relationships/hyperlink" Target="https://www.sec.gov/Archives/edgar/data/77360/000104746920001649/a2240951zdef14a.htm#a66" TargetMode="External"/><Relationship Id="rId135" Type="http://schemas.openxmlformats.org/officeDocument/2006/relationships/hyperlink" Target="https://www.sec.gov/Archives/edgar/data/77360/000007736024000007/ex1021restrictedstockunita.htm" TargetMode="External"/><Relationship Id="rId136" Type="http://schemas.openxmlformats.org/officeDocument/2006/relationships/hyperlink" Target="https://www.sec.gov/Archives/edgar/data/77360/000110465920064373/tm2020013d2_ex99-2.htm" TargetMode="External"/><Relationship Id="rId137" Type="http://schemas.openxmlformats.org/officeDocument/2006/relationships/hyperlink" Target="https://www.sec.gov/Archives/edgar/data/77360/000007736024000007/ex1023keytalentawardagreem.htm" TargetMode="External"/><Relationship Id="rId138" Type="http://schemas.openxmlformats.org/officeDocument/2006/relationships/hyperlink" Target="https://www.sec.gov/Archives/edgar/data/77360/000007736024000007/ex1024stockoptionagreement.htm" TargetMode="External"/><Relationship Id="rId139" Type="http://schemas.openxmlformats.org/officeDocument/2006/relationships/hyperlink" Target="https://www.sec.gov/Archives/edgar/data/77360/000007736024000007/ex1025performanceshareunit.htm" TargetMode="External"/><Relationship Id="rId140" Type="http://schemas.openxmlformats.org/officeDocument/2006/relationships/hyperlink" Target="https://www.sec.gov/Archives/edgar/data/77360/000007736021000005/exhibit1030.htm" TargetMode="External"/><Relationship Id="rId141" Type="http://schemas.openxmlformats.org/officeDocument/2006/relationships/hyperlink" Target="https://www.sec.gov/Archives/edgar/data/77360/000007736021000005/exhibit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2025-02-25T16:52:32Z</dcterms:created>
  <dcterms:modified xsi:type="dcterms:W3CDTF">2025-02-25T16:52:32Z</dcterms:modified>
</cp:coreProperties>
</file>