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44-20-7347-8925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September 30, 2017, 181,597,391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Pentair plc and Subsidiaries</w:t>
      </w:r>
    </w:p>
    <w:p>
      <w:pPr>
        <w:spacing w:after="0" w:line="360"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34290</wp:posOffset>
            </wp:positionV>
            <wp:extent cx="574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FINANCIAL INFORMATION</w:t>
      </w:r>
    </w:p>
    <w:p>
      <w:pPr>
        <w:sectPr>
          <w:pgSz w:w="11900" w:h="16838" w:orient="portrait"/>
          <w:cols w:equalWidth="0" w:num="1">
            <w:col w:w="11400"/>
          </w:cols>
          <w:pgMar w:left="240" w:top="121" w:right="259" w:bottom="1440" w:gutter="0" w:footer="0" w:header="0"/>
        </w:sectPr>
      </w:pP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7920" w:type="dxa"/>
            <w:vAlign w:val="bottom"/>
            <w:gridSpan w:val="1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920" w:type="dxa"/>
            <w:vAlign w:val="bottom"/>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Operations and Comprehensive Income (Loss) for the three and nine</w:t>
              </w:r>
            </w:hyperlink>
          </w:p>
        </w:tc>
      </w:tr>
      <w:tr>
        <w:trPr>
          <w:trHeight w:val="196"/>
        </w:trPr>
        <w:tc>
          <w:tcPr>
            <w:tcW w:w="21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months ended September 30, 2017 and 2016</w:t>
              </w:r>
            </w:hyperlink>
          </w:p>
        </w:tc>
        <w:tc>
          <w:tcPr>
            <w:tcW w:w="444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72"/>
        </w:trPr>
        <w:tc>
          <w:tcPr>
            <w:tcW w:w="2160" w:type="dxa"/>
            <w:vAlign w:val="bottom"/>
          </w:tcPr>
          <w:p>
            <w:pPr>
              <w:spacing w:after="0"/>
              <w:rPr>
                <w:sz w:val="24"/>
                <w:szCs w:val="24"/>
                <w:color w:val="auto"/>
              </w:rPr>
            </w:pPr>
          </w:p>
        </w:tc>
        <w:tc>
          <w:tcPr>
            <w:tcW w:w="792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 and December 31, 2016</w:t>
              </w:r>
            </w:hyperlink>
          </w:p>
        </w:tc>
      </w:tr>
      <w:tr>
        <w:trPr>
          <w:trHeight w:val="20"/>
        </w:trPr>
        <w:tc>
          <w:tcPr>
            <w:tcW w:w="2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920" w:type="dxa"/>
            <w:vAlign w:val="bottom"/>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2017 and 2016</w:t>
              </w:r>
            </w:hyperlink>
          </w:p>
        </w:tc>
      </w:tr>
      <w:tr>
        <w:trPr>
          <w:trHeight w:val="20"/>
        </w:trPr>
        <w:tc>
          <w:tcPr>
            <w:tcW w:w="2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Equity for the nine months ended September 30, 2017 and</w:t>
              </w:r>
            </w:hyperlink>
          </w:p>
        </w:tc>
      </w:tr>
      <w:tr>
        <w:trPr>
          <w:trHeight w:val="196"/>
        </w:trPr>
        <w:tc>
          <w:tcPr>
            <w:tcW w:w="2160" w:type="dxa"/>
            <w:vAlign w:val="bottom"/>
          </w:tcPr>
          <w:p>
            <w:pPr>
              <w:spacing w:after="0"/>
              <w:rPr>
                <w:sz w:val="17"/>
                <w:szCs w:val="17"/>
                <w:color w:val="auto"/>
              </w:rPr>
            </w:pPr>
          </w:p>
        </w:tc>
        <w:tc>
          <w:tcPr>
            <w:tcW w:w="540" w:type="dxa"/>
            <w:vAlign w:val="bottom"/>
            <w:gridSpan w:val="2"/>
          </w:tcPr>
          <w:p>
            <w:pPr>
              <w:ind w:left="18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2016</w:t>
              </w:r>
            </w:hyperlink>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79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r>
      <w:tr>
        <w:trPr>
          <w:trHeight w:val="20"/>
        </w:trPr>
        <w:tc>
          <w:tcPr>
            <w:tcW w:w="216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gridSpan w:val="1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tcPr>
          <w:p>
            <w:pPr>
              <w:spacing w:after="0"/>
              <w:rPr>
                <w:sz w:val="24"/>
                <w:szCs w:val="24"/>
                <w:color w:val="auto"/>
              </w:rPr>
            </w:pPr>
          </w:p>
        </w:tc>
        <w:tc>
          <w:tcPr>
            <w:tcW w:w="1460" w:type="dxa"/>
            <w:vAlign w:val="bottom"/>
            <w:gridSpan w:val="4"/>
          </w:tcPr>
          <w:p>
            <w:pPr>
              <w:spacing w:after="0"/>
              <w:rPr>
                <w:sz w:val="24"/>
                <w:szCs w:val="24"/>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Controls and Procedures</w:t>
              </w:r>
            </w:hyperlink>
          </w:p>
        </w:tc>
        <w:tc>
          <w:tcPr>
            <w:tcW w:w="6140" w:type="dxa"/>
            <w:vAlign w:val="bottom"/>
            <w:gridSpan w:val="9"/>
          </w:tcPr>
          <w:p>
            <w:pPr>
              <w:spacing w:after="0"/>
              <w:rPr>
                <w:sz w:val="24"/>
                <w:szCs w:val="24"/>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p>
      <w:pPr>
        <w:spacing w:after="0" w:line="185"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p>
      <w:pPr>
        <w:spacing w:after="0" w:line="185" w:lineRule="exact"/>
        <w:rPr>
          <w:sz w:val="20"/>
          <w:szCs w:val="20"/>
          <w:color w:val="auto"/>
        </w:rPr>
      </w:pPr>
    </w:p>
    <w:p>
      <w:pPr>
        <w:jc w:val="right"/>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29</w:t>
        </w:r>
      </w:hyperlink>
    </w:p>
    <w:p>
      <w:pPr>
        <w:spacing w:after="0" w:line="208"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40</w:t>
        </w:r>
      </w:hyperlink>
    </w:p>
    <w:p>
      <w:pPr>
        <w:spacing w:after="0" w:line="208"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40</w:t>
        </w:r>
      </w:hyperlink>
    </w:p>
    <w:p>
      <w:pPr>
        <w:spacing w:after="0" w:line="582" w:lineRule="exact"/>
        <w:rPr>
          <w:sz w:val="20"/>
          <w:szCs w:val="20"/>
          <w:color w:val="auto"/>
        </w:rPr>
      </w:pPr>
    </w:p>
    <w:p>
      <w:pPr>
        <w:sectPr>
          <w:pgSz w:w="11900" w:h="16838" w:orient="portrait"/>
          <w:cols w:equalWidth="0" w:num="2">
            <w:col w:w="10500" w:space="720"/>
            <w:col w:w="18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80" w:type="dxa"/>
            <w:vAlign w:val="bottom"/>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Risk Factors</w:t>
              </w:r>
            </w:hyperlink>
          </w:p>
        </w:tc>
        <w:tc>
          <w:tcPr>
            <w:tcW w:w="420" w:type="dxa"/>
            <w:vAlign w:val="bottom"/>
            <w:tcBorders>
              <w:top w:val="single" w:sz="8" w:color="0000FF"/>
            </w:tcBorders>
          </w:tcPr>
          <w:p>
            <w:pPr>
              <w:spacing w:after="0"/>
              <w:rPr>
                <w:sz w:val="24"/>
                <w:szCs w:val="24"/>
                <w:color w:val="auto"/>
              </w:rPr>
            </w:pPr>
          </w:p>
        </w:tc>
        <w:tc>
          <w:tcPr>
            <w:tcW w:w="76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Unregistered Sales of Equity Securities and Use of Proceeds</w:t>
              </w:r>
            </w:hyperlink>
          </w:p>
        </w:tc>
        <w:tc>
          <w:tcPr>
            <w:tcW w:w="46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52</w:t>
              </w:r>
            </w:hyperlink>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902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52</w:t>
              </w:r>
            </w:hyperlink>
          </w:p>
        </w:tc>
      </w:tr>
      <w:tr>
        <w:trPr>
          <w:trHeight w:val="20"/>
        </w:trPr>
        <w:tc>
          <w:tcPr>
            <w:tcW w:w="2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9020" w:type="dxa"/>
            <w:vAlign w:val="bottom"/>
            <w:gridSpan w:val="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180" w:type="dxa"/>
            <w:vAlign w:val="bottom"/>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53</w:t>
              </w:r>
            </w:hyperlink>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600" w:type="dxa"/>
            <w:vAlign w:val="bottom"/>
            <w:gridSpan w:val="3"/>
          </w:tcPr>
          <w:p>
            <w:pPr>
              <w:jc w:val="right"/>
              <w:ind w:right="800"/>
              <w:spacing w:after="0"/>
              <w:rPr>
                <w:sz w:val="20"/>
                <w:szCs w:val="20"/>
                <w:color w:val="auto"/>
              </w:rPr>
            </w:pPr>
            <w:r>
              <w:rPr>
                <w:rFonts w:ascii="Arial" w:cs="Arial" w:eastAsia="Arial" w:hAnsi="Arial"/>
                <w:sz w:val="18"/>
                <w:szCs w:val="18"/>
                <w:color w:val="auto"/>
              </w:rPr>
              <w:t>2</w:t>
            </w:r>
          </w:p>
        </w:tc>
        <w:tc>
          <w:tcPr>
            <w:tcW w:w="46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3"/>
                <w:szCs w:val="13"/>
                <w:color w:val="auto"/>
              </w:rPr>
            </w:pPr>
          </w:p>
        </w:tc>
        <w:tc>
          <w:tcPr>
            <w:tcW w:w="11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205"/>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3,701.9</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771.5</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2,314.8</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2,347.9</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1,360.8</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1,354.0</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234.7</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730.3</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728.2</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87.1</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538.9</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Equity income of unconsolidated subsidiaries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sale of business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174.8</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364.9</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435.7</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88.8</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127.1</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276.1</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342.0</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gain from sale of discontinued operations, net of tax</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198.9</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w:t>
            </w:r>
          </w:p>
        </w:tc>
      </w:tr>
      <w:tr>
        <w:trPr>
          <w:trHeight w:val="157"/>
        </w:trPr>
        <w:tc>
          <w:tcPr>
            <w:tcW w:w="6280" w:type="dxa"/>
            <w:vAlign w:val="bottom"/>
          </w:tcPr>
          <w:p>
            <w:pPr>
              <w:ind w:left="40"/>
              <w:spacing w:after="0" w:line="157" w:lineRule="exact"/>
              <w:rPr>
                <w:sz w:val="20"/>
                <w:szCs w:val="20"/>
                <w:color w:val="auto"/>
              </w:rPr>
            </w:pPr>
            <w:r>
              <w:rPr>
                <w:rFonts w:ascii="Arial" w:cs="Arial" w:eastAsia="Arial" w:hAnsi="Arial"/>
                <w:sz w:val="14"/>
                <w:szCs w:val="14"/>
                <w:color w:val="auto"/>
                <w:w w:val="95"/>
              </w:rPr>
              <w:t>Changes in cumulative translation adjustment (inclusive of divestiture of business reclassified to gain from</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6280" w:type="dxa"/>
            <w:vAlign w:val="bottom"/>
          </w:tcPr>
          <w:p>
            <w:pPr>
              <w:ind w:left="40"/>
              <w:spacing w:after="0"/>
              <w:rPr>
                <w:sz w:val="20"/>
                <w:szCs w:val="20"/>
                <w:color w:val="auto"/>
              </w:rPr>
            </w:pPr>
            <w:r>
              <w:rPr>
                <w:rFonts w:ascii="Arial" w:cs="Arial" w:eastAsia="Arial" w:hAnsi="Arial"/>
                <w:sz w:val="14"/>
                <w:szCs w:val="14"/>
                <w:color w:val="auto"/>
              </w:rPr>
              <w:t>sale of $0.0 and $374.2 for the three and nine months ended September 30, 2017, respectively)</w:t>
            </w:r>
          </w:p>
        </w:tc>
        <w:tc>
          <w:tcPr>
            <w:tcW w:w="1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502.8</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419.7</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181.7</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183.5</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183.7</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183.0</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3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8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81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$27.3 and $25.6, respectively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768.2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764.0</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524.2</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253.4</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891.9</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1,705.8</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2,672.0</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4,217.4</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1,607.3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1,631.8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Non-current assets held for sale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2,292.9</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6,375.9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8,324.2</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8,628.8</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73"/>
        </w:trPr>
        <w:tc>
          <w:tcPr>
            <w:tcW w:w="8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81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 and short-term borrowings</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436.6</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528.7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511.5</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held for sale</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356.2</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1,471.2</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1,503.4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4,278.4</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549.5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609.5</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Non-current liabilities held for sale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505.9</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3,620.2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7,280.4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Ordinary shares $0.01 par value, 426.0 authorized, 181.6 and 181.8 issued at September 30, 2017 and December 31, 2016,</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2,887.3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2,920.8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(235.8)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(736.3)</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4,254.4</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8,628.8</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11,534.8</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40"/>
        </w:trPr>
        <w:tc>
          <w:tcPr>
            <w:tcW w:w="8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40"/>
        </w:trPr>
        <w:tc>
          <w:tcPr>
            <w:tcW w:w="8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476.9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391.2</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Gain from sale of discontinued operations, net of tax</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(198.9)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sale of business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early extinguishment of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418.5</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459.7</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361.8</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556.8</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sale of businesses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2,764.0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2,654.6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repayments of short-term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repayments of commercial paper and revolving 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(842.3)</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(291.1)</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Premium paid on early extinguishment of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(181.6)</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238.5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126.3</w:t>
            </w:r>
          </w:p>
        </w:tc>
      </w:tr>
      <w:tr>
        <w:trPr>
          <w:trHeight w:val="33"/>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2" w:right="239" w:bottom="9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975"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44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476.9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476.9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500.5</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2017</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181.6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2,887.3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2,355.3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5,008.6</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30"/>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2015</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180.5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2,860.3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4,008.8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391.2</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28.5</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September 30, 2016</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181.7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2,909.1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2,060.9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(616.5)</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4,355.3</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0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Pentair plc (formerly Pentair Ltd.)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can be condensed or omitted.</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2016.</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Separation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disclosures and financial statements within these condensed consolidated financial statements include the results of operations, financial condition and cash flows of the Electrical business as continuing operations.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to complete the Proposed Separation in the second quarter of 2018; however, there can be no assurance regarding the ultimate timing of the Proposed Separation or that the Proposed Separation will be completed.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March 2016, the Financial Accounting Standards Board ("FASB") issued a new accounting standard for share-based payments. The guidance simplifies several aspects of the accounting for employee share-based payment transactions, including the accounting for income taxes, forfeitures, and statutory tax withholding requirements, as well as classification of excess tax benefits in the Condensed Consolidated Statements of Cash Flows. We adopted the new standard in the first quarter of 2017. The impact of the adoption resulted in the following:</w:t>
      </w:r>
    </w:p>
    <w:p>
      <w:pPr>
        <w:spacing w:after="0" w:line="136" w:lineRule="exact"/>
        <w:rPr>
          <w:sz w:val="20"/>
          <w:szCs w:val="20"/>
          <w:color w:val="auto"/>
        </w:rPr>
      </w:pPr>
    </w:p>
    <w:p>
      <w:pPr>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excess tax benefits and deficiencies arising from employee share-based payment awards, and dividends on those awards, will be recognized within income taxes in the period in which they occur rather than within additional paid-in-capital. Our adoption of this requirement under the new standard had no material impact for the three and nine months ended September 30, 2017.</w:t>
      </w:r>
    </w:p>
    <w:p>
      <w:pPr>
        <w:spacing w:after="0" w:line="127"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no longer presents excess tax benefits within cash flows from financing activities in the Condensed Consolidated Statements of Cash Flows; instead these are now reflected within cash flows from operating activities. The Company elected to apply this change prospectively.</w:t>
      </w:r>
    </w:p>
    <w:p>
      <w:pPr>
        <w:spacing w:after="0" w:line="69"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continues to estimate the total number of awards for which the requisite service period will not be rendered.</w:t>
      </w:r>
    </w:p>
    <w:p>
      <w:pPr>
        <w:spacing w:after="0" w:line="11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excluded the excess tax benefits from the assumed proceeds available to repurchase shares in the computation of our diluted earnings per share for the three and nine months ended September 30, 2017. This increased diluted weighted average common shares outstanding by less than 300,000 shares for the three and nine months ended September 30, 2017.</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new accounting requirements regarding accounting for leases, which require an entity to recognize both assets and liabilities arising from financing and operating leases, along with additional qualitative and quantitative disclosures. The requirements are effective for annual reporting periods beginning after December 15, 2018, including interim periods within that reporting period, and early adoption is permitted. We have not yet determined the potential effects on our financial condition or results of operations.</w:t>
      </w:r>
    </w:p>
    <w:p>
      <w:pPr>
        <w:spacing w:after="0" w:line="2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2014, the FASB issued new accounting requirements for the recognition of revenue from contracts with customers. The new requirements also include additional disclosure about the nature, amount, timing and uncertainty of revenue and cash flows arising from customer contracts, including significant judgments and changes in judgments and assets recognized from costs incurred to obtain or fulfill a contract. The requirements are effective for annual reporting periods beginning after December 15, 2017, including interim periods within that reporting period. The Company intends to adopt the new revenue guidance as of January 1, 2018 and expects to utilize the modified retrospective transition method of adoption, with adjustment to beginning retained earnings for the cumulative effect of the change. In preparation for adoption of the new guidance, the Company has reviewed representative samples of contracts and other forms of agreements with customers globally and is in the process of quantifying the impact of adopting the new revenue standard. Based on its procedures to date, the Company does not believe the adoption of the new standard will have a material impact on its results of operations, financial condition or cash flows. The new standard will result in enhanced disclosures in the footnotes to our consolidated financial statements to provide additional quantitative and qualitative information related to disaggregation of revenue, changes in contract assets and liabilities and remaining performance obligations. Adoption of this standard will require changes to our business processes, systems and controls to support the additional required disclosures. We are in the process of implementing such changes.</w:t>
      </w:r>
    </w:p>
    <w:p>
      <w:pPr>
        <w:spacing w:after="0" w:line="311"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7"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On April 28, 2017, we completed the sale of the Valves &amp; Controls business to Emerson Electric Co. for $3.15 billion, subject to final working capital adjustments. The sale resulted in a gain, net of tax, of $198.9 million.</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results of the Valves &amp; Controls business have been presented as discontinued operations and the related assets and liabilities have been classified as held for sale for all periods presented. The Valves &amp; Controls business was previously disclosed as a stand-alone reporting segment. Transaction costs of $1.7 million and $55.4 million related to the sale of Valves &amp; Controls were incurred during the three and nine months ended September 30, 2017, respectively, and were recorded within </w:t>
      </w:r>
      <w:r>
        <w:rPr>
          <w:rFonts w:ascii="Arial" w:cs="Arial" w:eastAsia="Arial" w:hAnsi="Arial"/>
          <w:sz w:val="17"/>
          <w:szCs w:val="17"/>
          <w:i w:val="1"/>
          <w:iCs w:val="1"/>
          <w:color w:val="auto"/>
        </w:rPr>
        <w:t>(Loss) gain from sale of discontinued operations before income taxes</w:t>
      </w:r>
      <w:r>
        <w:rPr>
          <w:rFonts w:ascii="Arial" w:cs="Arial" w:eastAsia="Arial" w:hAnsi="Arial"/>
          <w:sz w:val="17"/>
          <w:szCs w:val="17"/>
          <w:color w:val="auto"/>
        </w:rPr>
        <w:t xml:space="preserve"> presented below.</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339.7</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886.7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63.1</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10"/>
        </w:trPr>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10"/>
        </w:trPr>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w w:val="96"/>
              </w:rPr>
              <w:t>(Loss) gain from sale of discontinued operations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gain from sale of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major classes of assets and liabilities that were classified as held for sale on the Condensed Consolidated Balance Sheets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60" w:type="dxa"/>
            <w:vAlign w:val="bottom"/>
          </w:tcPr>
          <w:p>
            <w:pPr>
              <w:spacing w:after="0"/>
              <w:rPr>
                <w:sz w:val="20"/>
                <w:szCs w:val="20"/>
                <w:color w:val="auto"/>
              </w:rPr>
            </w:pPr>
          </w:p>
        </w:tc>
        <w:tc>
          <w:tcPr>
            <w:tcW w:w="1380" w:type="dxa"/>
            <w:vAlign w:val="bottom"/>
          </w:tcPr>
          <w:p>
            <w:pPr>
              <w:ind w:left="44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491.5</w:t>
            </w:r>
          </w:p>
        </w:tc>
      </w:tr>
      <w:tr>
        <w:trPr>
          <w:trHeight w:val="27"/>
        </w:trPr>
        <w:tc>
          <w:tcPr>
            <w:tcW w:w="6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assets held for sale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891.9</w:t>
            </w:r>
          </w:p>
        </w:tc>
      </w:tr>
      <w:tr>
        <w:trPr>
          <w:trHeight w:val="67"/>
        </w:trPr>
        <w:tc>
          <w:tcPr>
            <w:tcW w:w="63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996.4</w:t>
            </w:r>
          </w:p>
        </w:tc>
      </w:tr>
      <w:tr>
        <w:trPr>
          <w:trHeight w:val="27"/>
        </w:trPr>
        <w:tc>
          <w:tcPr>
            <w:tcW w:w="6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0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Asbestos-related insurance receivable</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6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2,292.9</w:t>
            </w:r>
          </w:p>
        </w:tc>
      </w:tr>
      <w:tr>
        <w:trPr>
          <w:trHeight w:val="67"/>
        </w:trPr>
        <w:tc>
          <w:tcPr>
            <w:tcW w:w="63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
        </w:trPr>
        <w:tc>
          <w:tcPr>
            <w:tcW w:w="6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67"/>
        </w:trPr>
        <w:tc>
          <w:tcPr>
            <w:tcW w:w="63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6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Asbestos-related liabilities</w:t>
            </w:r>
          </w:p>
        </w:tc>
        <w:tc>
          <w:tcPr>
            <w:tcW w:w="20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6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2017 and 2016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2017, we issued our annual share-based compensation grants under the Pentair plc 2012 Stock and Incentive Plan to eligible employees. The total number of awards issued was approximately 1.4 million, of which 0.3 million were restricted stock units, 0.9 million were stock options and 0.2 million were performance share units. The weighted-average grant date fair value of the restricted stock units, stock options and performance share units issued was $58.93, $12.57 and $58.41, respectively.</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34"/>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6.3</w:t>
            </w:r>
          </w:p>
        </w:tc>
      </w:tr>
    </w:tbl>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9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During the nine months ended September 30, 2017 and the year ended December 31, 2016, we continued execution of certain business restructuring initiatives aimed at reducing our fixed cost structure and realigning our business. Initiatives during the nine months ended September 30, 2017 included the reduction in hourly and salaried headcount of approximately 400 employees, consisting of approximately 200 in Water and 200 in Electrical. Initiatives during the year ended December 31, 2016 included the reduction in hourly and salaried headcount of approximately 650 employees, consisting of approximately 300 in Water and 350 in Electrical.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expenses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7"/>
        </w:trPr>
        <w:tc>
          <w:tcPr>
            <w:tcW w:w="5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6"/>
        </w:trPr>
        <w:tc>
          <w:tcPr>
            <w:tcW w:w="620" w:type="dxa"/>
            <w:vAlign w:val="bottom"/>
          </w:tcPr>
          <w:p>
            <w:pPr>
              <w:spacing w:after="0"/>
              <w:rPr>
                <w:sz w:val="20"/>
                <w:szCs w:val="20"/>
                <w:color w:val="auto"/>
              </w:rPr>
            </w:pPr>
            <w:r>
              <w:rPr>
                <w:rFonts w:ascii="Arial" w:cs="Arial" w:eastAsia="Arial" w:hAnsi="Arial"/>
                <w:sz w:val="18"/>
                <w:szCs w:val="18"/>
                <w:b w:val="1"/>
                <w:bCs w:val="1"/>
                <w:color w:val="auto"/>
              </w:rPr>
              <w:t>5.</w:t>
            </w:r>
          </w:p>
        </w:tc>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342.0</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Dilutive impact of stock options, restricted stock units and performance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share units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4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183.7</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38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3"/>
              </w:rPr>
              <w:t>Anti-dilutive stock options excluded from the calculation of diluted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5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34"/>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914.6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863.7</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511.5</w:t>
            </w:r>
          </w:p>
        </w:tc>
      </w:tr>
      <w:tr>
        <w:trPr>
          <w:trHeight w:val="67"/>
        </w:trPr>
        <w:tc>
          <w:tcPr>
            <w:tcW w:w="570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6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5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57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121" w:right="2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Foreign currency</w:t>
            </w:r>
          </w:p>
        </w:tc>
        <w:tc>
          <w:tcPr>
            <w:tcW w:w="340" w:type="dxa"/>
            <w:vAlign w:val="bottom"/>
          </w:tcPr>
          <w:p>
            <w:pPr>
              <w:spacing w:after="0"/>
              <w:rPr>
                <w:sz w:val="18"/>
                <w:szCs w:val="18"/>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4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Acquisitions/divestitures</w:t>
            </w:r>
          </w:p>
        </w:tc>
        <w:tc>
          <w:tcPr>
            <w:tcW w:w="26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translation/other</w:t>
            </w:r>
          </w:p>
        </w:tc>
        <w:tc>
          <w:tcPr>
            <w:tcW w:w="34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34"/>
        </w:trPr>
        <w:tc>
          <w:tcPr>
            <w:tcW w:w="2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2,105.3</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2,222.8</w:t>
            </w:r>
          </w:p>
        </w:tc>
        <w:tc>
          <w:tcPr>
            <w:tcW w:w="9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2,238.3</w:t>
            </w:r>
          </w:p>
        </w:tc>
      </w:tr>
      <w:tr>
        <w:trPr>
          <w:trHeight w:val="27"/>
        </w:trPr>
        <w:tc>
          <w:tcPr>
            <w:tcW w:w="2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4,217.4</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4,343.6</w:t>
            </w:r>
          </w:p>
        </w:tc>
      </w:tr>
      <w:tr>
        <w:trPr>
          <w:trHeight w:val="20"/>
        </w:trPr>
        <w:tc>
          <w:tcPr>
            <w:tcW w:w="2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(415.1)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1,131.3</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1,172.7</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1,607.3</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Intangible asset amortization expense was $24.6 million and $24.1 million for the three months ended September 30, 2017 and 2016, respectively, and $73.2 million and $72.6 million for the nine months ended September 30,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2017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7"/>
        </w:trPr>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r>
      <w:tr>
        <w:trPr>
          <w:trHeight w:val="27"/>
        </w:trPr>
        <w:tc>
          <w:tcPr>
            <w:tcW w:w="38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During the first nine months of 2017, we completed acquisitions with purchase prices totaling $59.5 million in cash, net of cash acquired. Identifiable intangible assets acquired included $19.1 million of definite-lived customer relationships with an estimated useful life of 11 years.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58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58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of September 30, 2017</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3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34"/>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5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2.100%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2.732%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1.875%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2.900%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2.650%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2.450%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587.3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520.7</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3.625%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4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1"/>
              </w:rPr>
              <w:t>3.150%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70"/>
        </w:trPr>
        <w:tc>
          <w:tcPr>
            <w:tcW w:w="42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580" w:type="dxa"/>
            <w:vAlign w:val="bottom"/>
          </w:tcPr>
          <w:p>
            <w:pPr>
              <w:jc w:val="center"/>
              <w:ind w:left="130"/>
              <w:spacing w:after="0"/>
              <w:rPr>
                <w:sz w:val="20"/>
                <w:szCs w:val="20"/>
                <w:color w:val="auto"/>
              </w:rPr>
            </w:pPr>
            <w:r>
              <w:rPr>
                <w:rFonts w:ascii="Arial" w:cs="Arial" w:eastAsia="Arial" w:hAnsi="Arial"/>
                <w:sz w:val="18"/>
                <w:szCs w:val="18"/>
                <w:color w:val="auto"/>
                <w:w w:val="91"/>
              </w:rPr>
              <w:t>4.650%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3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N/A</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58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Less: Current maturities and short-term borrowings</w:t>
            </w:r>
          </w:p>
        </w:tc>
        <w:tc>
          <w:tcPr>
            <w:tcW w:w="2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5" w:lineRule="exact"/>
        <w:rPr>
          <w:sz w:val="20"/>
          <w:szCs w:val="20"/>
          <w:color w:val="auto"/>
        </w:rPr>
      </w:pPr>
    </w:p>
    <w:p>
      <w:pPr>
        <w:ind w:left="220" w:hanging="185"/>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 and PISG</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2014, Pentair plc, Pentair Investments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(as defined below) to include earnings from discontinued operations for operations subject to a sale agreement until such disposition actually occurs.</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May 2017, we repurchased aggregate principal of certain series of outstanding notes totaling $1,659.3 million. All costs associated with the repurchases were recorded as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 xml:space="preserve"> including $6.5 million of unamortized deferred financing costs.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PFSA is authorized to sell short-term commercial paper notes to the extent availability exists under the Credit Facility. PFSA uses the Credit Facility as back-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 liquidity to support 100% of commercial paper outstanding. PFSA had $116.0 million of commercial paper outstanding as of September 30, 2017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$398.7 million as of December 31, 2016, all of which was classified as long-term debt as we have the intent and the ability to refinance such obligations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long-term basis under the Credit Facility.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any period of four consecutive fiscal quarters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September 30, 2017, we were in compliance with all financial covenants in our debt agreements.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availability under the Credit Facility was $2,366.8 million as of September 30, 2017, which was limited to $1,828.4 million by the maximum Leverage Ratio in the Credit Facility's credit agreement.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$29.9 million, of which there were no outstanding borrowings at September 30, 2017. Borrowings under these credit facilities bear interest at variable rates.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$255.3 million of fixed rate senior notes maturing in September 2018. We classified this debt as long-term as of September 30, 2017 as we have the intent and ability to refinance such obligation on a long-term basis under the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2017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Q4</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r>
      <w:tr>
        <w:trPr>
          <w:trHeight w:val="27"/>
        </w:trPr>
        <w:tc>
          <w:tcPr>
            <w:tcW w:w="2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September 30, 2017 and December 31, 2016, we had outstanding foreign currency derivative contracts with gross notional U.S. dollar equivalent amounts of $410.4 million and $475.6 million, respectively. The impact of these contracts on the Condensed Consolidated Statements of Operations and Comprehensive Income (Loss) was not material for any period presented.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 in the Condensed Consolidated Statements of Operations and Comprehensive Income (Loss)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and nine months ended September 30, 2017 and 2016 were not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The gains/losses on the 2019 Euro Notes have been included as a component of the cumulative translation adjustment account within AOCI. As of September 30, 2017 and December 31, 2016, we had a deferred foreign currency loss of $22.5 million and a gain of $44.2 million, respectively, in AOCI associated with the net investment hedge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352"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76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00" w:hanging="330"/>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40" w:hanging="330"/>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460" w:right="100" w:hanging="330"/>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120" w:hanging="330"/>
        <w:spacing w:after="0" w:line="27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deferred compensation plan assets (mutual funds, common/collective trusts and cash equivalents for payment of certain non-qualified benefits for retired, terminated and active employees) — fair value of mutual funds and cash equivalents are based on quoted market prices in active markets that are classified as Level 1 in the valuation hierarchy defined by the accounting guidance; fair value of common/collective trusts are based on observable inputs that are classified as Level 2 in the valuation hierarchy defined by the accounting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ind w:left="5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spacing w:after="0"/>
              <w:rPr>
                <w:sz w:val="20"/>
                <w:szCs w:val="20"/>
                <w:color w:val="auto"/>
              </w:rPr>
            </w:pPr>
          </w:p>
        </w:tc>
      </w:tr>
      <w:tr>
        <w:trPr>
          <w:trHeight w:val="34"/>
        </w:trPr>
        <w:tc>
          <w:tcPr>
            <w:tcW w:w="34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Recorded</w:t>
            </w:r>
          </w:p>
        </w:tc>
        <w:tc>
          <w:tcPr>
            <w:tcW w:w="360" w:type="dxa"/>
            <w:vAlign w:val="bottom"/>
          </w:tcPr>
          <w:p>
            <w:pPr>
              <w:spacing w:after="0"/>
              <w:rPr>
                <w:sz w:val="19"/>
                <w:szCs w:val="19"/>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Recorded</w:t>
            </w:r>
          </w:p>
        </w:tc>
        <w:tc>
          <w:tcPr>
            <w:tcW w:w="38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34"/>
        </w:trPr>
        <w:tc>
          <w:tcPr>
            <w:tcW w:w="34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1,378.0</w:t>
            </w:r>
          </w:p>
        </w:tc>
        <w:tc>
          <w:tcPr>
            <w:tcW w:w="3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3,320.7</w:t>
            </w:r>
          </w:p>
        </w:tc>
        <w:tc>
          <w:tcPr>
            <w:tcW w:w="3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3,427.1</w:t>
            </w:r>
          </w:p>
        </w:tc>
      </w:tr>
      <w:tr>
        <w:trPr>
          <w:trHeight w:val="27"/>
        </w:trPr>
        <w:tc>
          <w:tcPr>
            <w:tcW w:w="34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4,403.4</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94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48.1</w:t>
            </w:r>
          </w:p>
        </w:tc>
      </w:tr>
      <w:tr>
        <w:trPr>
          <w:trHeight w:val="27"/>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9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47.9</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122" w:lineRule="exact"/>
        <w:rPr>
          <w:sz w:val="20"/>
          <w:szCs w:val="20"/>
          <w:color w:val="auto"/>
        </w:rPr>
      </w:pPr>
    </w:p>
    <w:p>
      <w:pPr>
        <w:ind w:left="460" w:right="100" w:hanging="330"/>
        <w:spacing w:after="0" w:line="276" w:lineRule="auto"/>
        <w:tabs>
          <w:tab w:leader="none" w:pos="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During the fourth quarter of 2016, we completed our annual intangible assets impairment review. As a result, we recorded a pre-tax non-cash impairment charge of $13.3 million for a trade name intangible in 2016. The impairment charge reduced the carrying value of the impacted trade name intangible to $0.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76"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manage our affairs so that we are centrally managed and controlled in the U.K. and therefore have our tax residency in the U.K. The provision for income taxes consists of provisions for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effective income tax rate for the nine months ended September 30, 2017 was 24.3%, compared to 21.5% for 2016.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liability for uncertain tax positions was $36.8 million and $71.1 million at September 30, 2017 and December 31, 2016, respectively. The $34.3 million reduction in uncertain tax positions between December 31, 2016 and September 30, 2017 is primarily due to the settlement of tax controversies with the Internal Revenue Service and the payment of resulting tax liabilities. We record penalties and interest related to unrecognized tax benefits in </w:t>
      </w:r>
      <w:r>
        <w:rPr>
          <w:rFonts w:ascii="Arial" w:cs="Arial" w:eastAsia="Arial" w:hAnsi="Arial"/>
          <w:sz w:val="18"/>
          <w:szCs w:val="18"/>
          <w:i w:val="1"/>
          <w:iCs w:val="1"/>
          <w:color w:val="auto"/>
        </w:rPr>
        <w:t>Provision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and</w:t>
      </w:r>
      <w:r>
        <w:rPr>
          <w:rFonts w:ascii="Arial" w:cs="Arial" w:eastAsia="Arial" w:hAnsi="Arial"/>
          <w:sz w:val="18"/>
          <w:szCs w:val="18"/>
          <w:i w:val="1"/>
          <w:iCs w:val="1"/>
          <w:color w:val="auto"/>
        </w:rPr>
        <w:t xml:space="preserve"> Net interest expense</w:t>
      </w:r>
      <w:r>
        <w:rPr>
          <w:rFonts w:ascii="Arial" w:cs="Arial" w:eastAsia="Arial" w:hAnsi="Arial"/>
          <w:sz w:val="18"/>
          <w:szCs w:val="18"/>
          <w:color w:val="auto"/>
        </w:rPr>
        <w:t>, respectively, on the Condensed Consolidated Statements of Operations and Comprehensive Income (Loss),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our past practices.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pension plans for the three and nine months ended September 30, 2017 and 2016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U.S. pension plans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1"/>
                <w:szCs w:val="21"/>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Non-U.S. pension plans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1"/>
                <w:szCs w:val="21"/>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Components of net periodic benefit cost for our other post-retirement plans for the three and nine months ended September 30, 2017 and 2016 were not material.</w:t>
      </w:r>
    </w:p>
    <w:p>
      <w:pPr>
        <w:spacing w:after="0" w:line="275" w:lineRule="exact"/>
        <w:rPr>
          <w:sz w:val="20"/>
          <w:szCs w:val="20"/>
          <w:color w:val="auto"/>
        </w:rPr>
      </w:pPr>
    </w:p>
    <w:p>
      <w:pPr>
        <w:ind w:right="9140" w:firstLine="8"/>
        <w:spacing w:after="0" w:line="261" w:lineRule="auto"/>
        <w:tabs>
          <w:tab w:leader="none" w:pos="64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ind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December 2014, the Board of Directors authorized the repurchase of our ordinary shares up to a maximum dollar limit of $1.0 billion. The authorization expires on December 31, 2019. During the nine months ended September 30, 2017, we repurchased 1.5 million of our shares for $100.0 million pursuant to this authorization. As of September 30, 2017, we had $700.0 million available for share repurchases under this authorization.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On December 6, 2016, the Board of Directors approved a plan to increase the 2017 annual cash dividend to $1.38, which is intended to be paid in four equal quarterly installments. Additionally, on September 19, 2017 the Board of Directors declared a quarterly cash dividend of $0.345 payable on November 3, 2017 to shareholders of record at the close of business on October 20, 2017.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on our Consolidated Balance Sheets was $62.7 million and $61.8 million at September 30, 2017 and December 31, 2016, respectively.</w:t>
      </w:r>
    </w:p>
    <w:p>
      <w:pPr>
        <w:spacing w:after="0" w:line="26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2017, we reorganized our business segments to reflect a new operating structure, resulting in a change to our reporting segments in 2017. The prior period information was recast to be comparable to the current year presentation.</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Electrical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540.6</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1,556.0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1,608.3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1,226.8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3,675.6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3,701.9</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Water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early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Separation costs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93" w:lineRule="auto"/>
        <w:tabs>
          <w:tab w:leader="none" w:pos="64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ind w:right="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 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condition or results of operations.</w:t>
      </w:r>
    </w:p>
    <w:p>
      <w:pPr>
        <w:spacing w:after="0" w:line="1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changes in the carrying amount of service and product warranties of continuing operations for the nine months ended September 30,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34"/>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6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
        </w:trPr>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6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3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Pentair Ltd. In situations where Flow Control and Tyco were unable to obtain a release from these guarantees in connection with the spin-off of Pentair Ltd.,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2017 and December 31, 2016, the outstanding value of bonds, letters of credit and bank guarantees totaled $193.3 million and $331.0 million, respectively.</w:t>
      </w:r>
    </w:p>
    <w:p>
      <w:pPr>
        <w:spacing w:after="0" w:line="2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771.5</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Loss from sale of discontinued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2,314.8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2,314.8</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729.3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502.8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768.2</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249.9</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547.1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4,993.2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4,880.7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6,989.7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(16,863.6)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1,607.3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1,607.3</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(1,790.8)</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4,991.6</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7,581.9</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(18,654.4)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6,375.9</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8,628.8</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383.4</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528.7</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1,503.4</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219.6</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3,620.2</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6,989.9</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(16,863.6)</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5,008.6</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8,628.8</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654.1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Proceeds from sale of businesses,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2,765.6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2,764.0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3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 of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2,661.1</w:t>
            </w:r>
          </w:p>
        </w:tc>
      </w:tr>
      <w:tr>
        <w:trPr>
          <w:trHeight w:val="229"/>
        </w:trPr>
        <w:tc>
          <w:tcPr>
            <w:tcW w:w="318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180" w:type="dxa"/>
            <w:vAlign w:val="bottom"/>
          </w:tcPr>
          <w:p>
            <w:pPr>
              <w:ind w:left="540"/>
              <w:spacing w:after="0"/>
              <w:rPr>
                <w:sz w:val="20"/>
                <w:szCs w:val="20"/>
                <w:color w:val="auto"/>
              </w:rPr>
            </w:pPr>
            <w:r>
              <w:rPr>
                <w:rFonts w:ascii="Arial" w:cs="Arial" w:eastAsia="Arial" w:hAnsi="Arial"/>
                <w:sz w:val="18"/>
                <w:szCs w:val="18"/>
                <w:color w:val="auto"/>
                <w:w w:val="96"/>
              </w:rPr>
              <w:t>investing activities of discontinued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18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2,654.6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repayments of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Net repayments of commercial paper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5"/>
              </w:rPr>
              <w:t>Premium paid on early extinguishment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change in advances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Shares issued to employees, net of shares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ordinary shares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(3,201.9)</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Effect of exchange rate changes on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and cash equivalents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5"/>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89"/>
              </w:rPr>
              <w:t>Cash and cash equivalents, beginning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238.5</w:t>
            </w:r>
          </w:p>
        </w:tc>
      </w:tr>
      <w:tr>
        <w:trPr>
          <w:trHeight w:val="27"/>
        </w:trPr>
        <w:tc>
          <w:tcPr>
            <w:tcW w:w="3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Cash and cash equivalents, end of period </w:t>
            </w:r>
            <w:r>
              <w:rPr>
                <w:rFonts w:ascii="Arial" w:cs="Arial" w:eastAsia="Arial" w:hAnsi="Arial"/>
                <w:sz w:val="18"/>
                <w:szCs w:val="18"/>
                <w:color w:val="auto"/>
                <w:w w:val="9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769.8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2"/>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3,701.9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2,347.9</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1,116.0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Equity income of unconsolidated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522.6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435.7</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3"/>
              </w:rPr>
              <w:t>Gain from sale of discontinued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4,217.4</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4,217.4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717.8</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1,568.9</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4,511.7</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4,506.6</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10,013.3</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(20,418.4)</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8,324.2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11,534.8</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w w:val="97"/>
              </w:rPr>
              <w:t>Current maturities of long-term debt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5,515.9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4,278.4</w:t>
            </w: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162.0</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505.9</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7,280.4</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4,254.4</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9,295.2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(18,276.4)</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4,254.4</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(20,409.2)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11,534.8</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Subsidiary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653.9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(1,116.0)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556.8</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intercompany loan activity</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16"/>
        </w:trPr>
        <w:tc>
          <w:tcPr>
            <w:tcW w:w="3100" w:type="dxa"/>
            <w:vAlign w:val="bottom"/>
          </w:tcPr>
          <w:p>
            <w:pPr>
              <w:ind w:left="540"/>
              <w:spacing w:after="0"/>
              <w:rPr>
                <w:sz w:val="20"/>
                <w:szCs w:val="20"/>
                <w:color w:val="auto"/>
              </w:rPr>
            </w:pPr>
            <w:r>
              <w:rPr>
                <w:rFonts w:ascii="Arial" w:cs="Arial" w:eastAsia="Arial" w:hAnsi="Arial"/>
                <w:sz w:val="18"/>
                <w:szCs w:val="18"/>
                <w:color w:val="auto"/>
              </w:rPr>
              <w:t>investing activities of continuing</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investing activities of discontinued</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62"/>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2"/>
              </w:rPr>
              <w:t>Net repayments of commercial paper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revolving long-term debt</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(280.2)</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7"/>
              </w:rPr>
              <w:t>Net change in advances to subsidiaries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1,420.0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89"/>
              </w:rPr>
              <w:t>Shares issued to employees, net of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withheld</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22"/>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provided by (used for)</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310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(837.3)</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1,420.0</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Change in cash and cash equivalents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Cash and cash equivalents, beginning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of period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r>
      <w:tr>
        <w:trPr>
          <w:trHeight w:val="218"/>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4"/>
        </w:trPr>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170.9</w:t>
            </w:r>
          </w:p>
        </w:tc>
      </w:tr>
      <w:tr>
        <w:trPr>
          <w:trHeight w:val="27"/>
        </w:trPr>
        <w:tc>
          <w:tcPr>
            <w:tcW w:w="3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satisfy the necessary conditions to consummate the Proposed Separation (as defined below) on a timely basis or at all; the ability to successfully separate the Water and Electrical businesses and realize the anticipated benefits from the Proposed Separation; adverse effects on the Water and Electrical business operations or financial results and the market price of our shares as a result of the announcement or consummation of the Proposed Separation; unanticipated transaction expenses, such as litigation or legal settlement expenses; failure to obtain tax rulings or changes in tax laws; changes in capital market conditions; the impact of the Proposed Separation on our employees, customers and suppliers; overall global economic and business conditions impacting the Water and Electrical businesses; future opportunities that our board may determine present greater potential to increase shareholder value; the ability of the Water and Electrical businesses to operate independently following the Proposed Separation;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inability to generate savings from excellence in operations initiatives consisting of lean enterprise, supply management and cash flow practices; increased risks associated with operating foreign businesses; the ability to deliver backlog and win future project work;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plc assumes no obligation, and disclaims any obligation, to update the information contained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terms "us," "we" "our" or "Pentair" refer to Pentair plc and its consolidated subsidiaries. We are a focused diversified industrial manufacturing company comprising two reporting segments: Water and Electrical. For the first nine months of 2017, the Water segment and the Electrical segment represented approximately 58% and 42% of total revenues, respectively. We classify our operations into business segments based primarily on types of products offered and markets served:</w:t>
      </w:r>
    </w:p>
    <w:p>
      <w:pPr>
        <w:spacing w:after="0" w:line="136" w:lineRule="exact"/>
        <w:rPr>
          <w:sz w:val="20"/>
          <w:szCs w:val="20"/>
          <w:color w:val="auto"/>
        </w:rPr>
      </w:pPr>
    </w:p>
    <w:p>
      <w:pPr>
        <w:ind w:left="660" w:right="2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 The Water segment designs, manufactures and services innovative products and solutions to meet filtration, separation, flow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challenges in agriculture, aquaculture, foodservice, food and beverage processing, swimming pools, water supply and disposal and a variety of industrial applications.</w:t>
      </w:r>
    </w:p>
    <w:p>
      <w:pPr>
        <w:spacing w:after="0" w:line="12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Electrical </w:t>
      </w:r>
      <w:r>
        <w:rPr>
          <w:rFonts w:ascii="Arial" w:cs="Arial" w:eastAsia="Arial" w:hAnsi="Arial"/>
          <w:sz w:val="18"/>
          <w:szCs w:val="18"/>
          <w:color w:val="auto"/>
        </w:rPr>
        <w:t>— The Electrical segment designs, manufactures, markets, installs and services high performance products and solutions that connect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 some of the world's most sensitive equipment, buildings, and critical processes.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April 28, 2017, we completed the sale of our Valves &amp; Controls business to Emerson Electric Co. for $3.15 billion, subject to customary working capital adjustments. The sale resulted in a gain, net of tax, of $198.9 million. 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to complete the Proposed Separation in the second quarter of 2018; however, there can be no assurance regarding the ultimate timing of the Proposed Separation or that the Proposed Separation will be completed.</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disclosures within this Management's Discussion and Analysis of Financial Condition and Results of Operations do not reflect the Proposed Separation of the Electrical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2016 and the first nine months of 2017 and will likely impact our results in the future:</w:t>
      </w:r>
    </w:p>
    <w:p>
      <w:pPr>
        <w:spacing w:after="0" w:line="184" w:lineRule="exact"/>
        <w:rPr>
          <w:sz w:val="20"/>
          <w:szCs w:val="20"/>
          <w:color w:val="auto"/>
        </w:rPr>
      </w:pPr>
    </w:p>
    <w:p>
      <w:pPr>
        <w:ind w:left="660" w:right="20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Despite the favorable long-term outlook for our end-markets, we experience differing levels of volatility depending on the end-market and may continue to do so over the medium and longer term. During 2016 and the first nine months of 2017, our core sales have been challenged by broad-based capital expenditure and maintenance deferrals. Although we saw early signs of recovery in the first nine months of 2017, we expect this challenge to continue throughout 2017.</w:t>
      </w:r>
    </w:p>
    <w:p>
      <w:pPr>
        <w:spacing w:after="0" w:line="13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 to experience declines in project orders, primarily in our Electrical segment. We expect these headwinds to continue throughout the remainder of 2017.</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continued execution of certain business restructuring initiatives aimed at reducing our fixed cost structure and realigning our business to offset the negative earnings impact of core revenue decline and foreign exchange. We expect these actions will contribute to margin growth in 2017.</w:t>
      </w:r>
    </w:p>
    <w:p>
      <w:pPr>
        <w:spacing w:after="0" w:line="69" w:lineRule="exact"/>
        <w:rPr>
          <w:rFonts w:ascii="Arial" w:cs="Arial" w:eastAsia="Arial" w:hAnsi="Arial"/>
          <w:sz w:val="16"/>
          <w:szCs w:val="16"/>
          <w:color w:val="auto"/>
        </w:rPr>
      </w:pPr>
    </w:p>
    <w:p>
      <w:pPr>
        <w:ind w:left="660" w:right="16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2017,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long-term debt and overall leverage through improved cash flow performance;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Driving operating excellence through lean enterprise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3"/>
              </w:rPr>
              <w:t>The consolidated results of operations for the three months ended September 30, 2017 and 2016 were as follows: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4"/>
                <w:szCs w:val="24"/>
                <w:color w:val="auto"/>
              </w:rPr>
            </w:pPr>
          </w:p>
        </w:tc>
      </w:tr>
      <w:tr>
        <w:trPr>
          <w:trHeight w:val="34"/>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5"/>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9"/>
                <w:szCs w:val="19"/>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34"/>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1,210.7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16.1</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771.5</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769.8</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0.2 %</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14.4</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37.1%</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36.4%</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88"/>
              </w:rPr>
              <w:t>0.7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234.7</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228.4</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2.8 %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19.1%</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88"/>
              </w:rPr>
              <w:t>0.3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(4.4)%</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(0.2)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192.2</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15.1%</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88"/>
              </w:rPr>
              <w:t>0.6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(59.5)%</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25.1</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15.5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48.1 %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46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27.3%</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650"/>
              <w:spacing w:after="0"/>
              <w:rPr>
                <w:sz w:val="20"/>
                <w:szCs w:val="20"/>
                <w:color w:val="auto"/>
              </w:rPr>
            </w:pPr>
            <w:r>
              <w:rPr>
                <w:rFonts w:ascii="Arial" w:cs="Arial" w:eastAsia="Arial" w:hAnsi="Arial"/>
                <w:sz w:val="18"/>
                <w:szCs w:val="18"/>
                <w:i w:val="1"/>
                <w:iCs w:val="1"/>
                <w:color w:val="auto"/>
                <w:w w:val="96"/>
              </w:rPr>
              <w:t>5.8 pts</w:t>
            </w:r>
          </w:p>
        </w:tc>
      </w:tr>
      <w:tr>
        <w:trPr>
          <w:trHeight w:val="27"/>
        </w:trPr>
        <w:tc>
          <w:tcPr>
            <w:tcW w:w="10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nine months ended September 30, 2017 and September 30, 2016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4"/>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25"/>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9"/>
                <w:szCs w:val="19"/>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 / point</w:t>
            </w:r>
          </w:p>
        </w:tc>
        <w:tc>
          <w:tcPr>
            <w:tcW w:w="300" w:type="dxa"/>
            <w:vAlign w:val="bottom"/>
          </w:tcPr>
          <w:p>
            <w:pPr>
              <w:spacing w:after="0"/>
              <w:rPr>
                <w:sz w:val="19"/>
                <w:szCs w:val="19"/>
                <w:color w:val="auto"/>
              </w:rPr>
            </w:pP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r>
      <w:tr>
        <w:trPr>
          <w:trHeight w:val="34"/>
        </w:trPr>
        <w:tc>
          <w:tcPr>
            <w:tcW w:w="5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3,675.6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3,701.9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2,314.8</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2,347.9</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1,360.8</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1,354.0</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c>
          <w:tcPr>
            <w:tcW w:w="13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0.5 %</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37.0%</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pts</w:t>
            </w: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730.3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728.2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0.3 %</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19.9%</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19.7%</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w w:val="99"/>
              </w:rPr>
              <w:t>pts</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87.1</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0.2 %</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w w:val="99"/>
              </w:rPr>
              <w:t>pts</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543.4</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538.9</w:t>
            </w:r>
          </w:p>
        </w:tc>
        <w:tc>
          <w:tcPr>
            <w:tcW w:w="26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0.8 %</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14.7%</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pts</w:t>
            </w: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101.4</w:t>
            </w: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74.2</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(31.7)</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364.9</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435.7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(70.8)</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54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24.3%</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pts</w:t>
            </w:r>
          </w:p>
        </w:tc>
      </w:tr>
      <w:tr>
        <w:trPr>
          <w:trHeight w:val="27"/>
        </w:trPr>
        <w:tc>
          <w:tcPr>
            <w:tcW w:w="5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18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Three months ended September 30,</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34"/>
        </w:trPr>
        <w:tc>
          <w:tcPr>
            <w:tcW w:w="3280" w:type="dxa"/>
            <w:vAlign w:val="bottom"/>
          </w:tcPr>
          <w:p>
            <w:pPr>
              <w:spacing w:after="0"/>
              <w:rPr>
                <w:sz w:val="20"/>
                <w:szCs w:val="20"/>
                <w:color w:val="auto"/>
              </w:rPr>
            </w:pPr>
          </w:p>
        </w:tc>
        <w:tc>
          <w:tcPr>
            <w:tcW w:w="518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2017</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0"/>
        </w:trPr>
        <w:tc>
          <w:tcPr>
            <w:tcW w:w="3280" w:type="dxa"/>
            <w:vAlign w:val="bottom"/>
          </w:tcPr>
          <w:p>
            <w:pPr>
              <w:spacing w:after="0"/>
              <w:rPr>
                <w:sz w:val="23"/>
                <w:szCs w:val="23"/>
                <w:color w:val="auto"/>
              </w:rPr>
            </w:pPr>
          </w:p>
        </w:tc>
        <w:tc>
          <w:tcPr>
            <w:tcW w:w="518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over the prior year period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34"/>
        </w:trPr>
        <w:tc>
          <w:tcPr>
            <w:tcW w:w="32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Price</w:t>
            </w:r>
          </w:p>
        </w:tc>
        <w:tc>
          <w:tcPr>
            <w:tcW w:w="518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32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5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2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18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32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5"/>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5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2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37"/>
        </w:trPr>
        <w:tc>
          <w:tcPr>
            <w:tcW w:w="3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1.3 %</w:t>
            </w: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28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1.3 percentage point increase in net sales in the third quarter of 2017 from 2016 was primarily driven by:</w:t>
      </w:r>
    </w:p>
    <w:p>
      <w:pPr>
        <w:spacing w:after="0" w:line="171"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core sales growth in our industrial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the first quarter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foreign currency effects for the three months ended September 30,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continued slowdown in capital spending, particularly in the energy and infrastructure businesses, driving lower project sales volume; and</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core sales declines in our food &amp; beverage business.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continued slowdown in capital spending, particularly in the energy and infrastructure businesses, driving lower project sales volume; and</w:t>
      </w:r>
    </w:p>
    <w:p>
      <w:pPr>
        <w:spacing w:after="0" w:line="182" w:lineRule="exact"/>
        <w:rPr>
          <w:rFonts w:ascii="Arial" w:cs="Arial" w:eastAsia="Arial" w:hAnsi="Arial"/>
          <w:sz w:val="17"/>
          <w:szCs w:val="17"/>
          <w:i w:val="1"/>
          <w:iCs w:val="1"/>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the first nine months of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core sales growth in our industrial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first quarter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foreign currency effects for the nine months ended September 30,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The 0.7 and 0.4 percentage point increases in gross profit as a percentage of sales in the third quarter and first nine months, respectively, of 2017 from 2016 were primarily driven by:</w:t>
      </w:r>
    </w:p>
    <w:p>
      <w:pPr>
        <w:spacing w:after="0" w:line="130"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right="40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mix as a result of the decline in lower margin project sales and growth in higher margin product sales in the third quarter and first nine months of 2017, compared to the third quarter and first nine months of 2016; and</w:t>
      </w:r>
    </w:p>
    <w:p>
      <w:pPr>
        <w:spacing w:after="0" w:line="116"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Pentair Integrated Management System ("PIMS") initiatives including lean and supply management practices.</w:t>
      </w:r>
    </w:p>
    <w:p>
      <w:pPr>
        <w:spacing w:after="0" w:line="200" w:lineRule="exact"/>
        <w:rPr>
          <w:sz w:val="20"/>
          <w:szCs w:val="20"/>
          <w:color w:val="auto"/>
        </w:rPr>
      </w:pPr>
    </w:p>
    <w:p>
      <w:pPr>
        <w:spacing w:after="0" w:line="295"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 job adjustments negatively impacting gross profit by $16.4 million in the first nine months of 2017.</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0.3 and 0.2 percentage point increases in SG&amp;A expense as a percentage of sales in the third quarter and first nine months, respectively, of 2017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was primarily driven by:</w:t>
      </w:r>
    </w:p>
    <w:p>
      <w:pPr>
        <w:spacing w:after="0" w:line="157"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costs of $38.6 million in the first nine months of 2017, compared to $19.9 million in the first nine months of 2016;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 and</w:t>
      </w:r>
    </w:p>
    <w:p>
      <w:pPr>
        <w:spacing w:after="0" w:line="17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benefit from the reversal of a $13.3 million indemnification liability in the first quarter of 2017 related to our 2012 transaction with Tyco (now known as Johnson Controls International plc).</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1" w:right="3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right="120"/>
        <w:spacing w:after="0" w:line="261" w:lineRule="auto"/>
        <w:rPr>
          <w:sz w:val="20"/>
          <w:szCs w:val="20"/>
          <w:color w:val="auto"/>
        </w:rPr>
      </w:pPr>
      <w:r>
        <w:rPr>
          <w:rFonts w:ascii="Arial" w:cs="Arial" w:eastAsia="Arial" w:hAnsi="Arial"/>
          <w:sz w:val="18"/>
          <w:szCs w:val="18"/>
          <w:i w:val="1"/>
          <w:iCs w:val="1"/>
          <w:color w:val="auto"/>
        </w:rPr>
        <w:t>The 59.5 and 29.9 percent decreases in net interest expense in the third quarter and first nine months, respectively, of 2017 from 2016 were primarily driven by:</w:t>
      </w:r>
    </w:p>
    <w:p>
      <w:pPr>
        <w:spacing w:after="0" w:line="130" w:lineRule="exact"/>
        <w:rPr>
          <w:sz w:val="20"/>
          <w:szCs w:val="20"/>
          <w:color w:val="auto"/>
        </w:rPr>
      </w:pPr>
    </w:p>
    <w:p>
      <w:pPr>
        <w:ind w:left="500" w:right="100" w:hanging="330"/>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lower debt levels during the third quarter and first nine months of 2017, compared to the third quarter and first nine months of 2016. In May 2017, the proceeds from the sale of the Valves &amp; Controls business were utilized to repay all commercial paper and revolving long term debt and for the early extinguishment of $1,659.3 million of certain series of fixed rate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28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overall interest rates in effect on our outstanding debt during the third quarter and first nine months of 2017, compared to the third quarter and first nine months of 2016.</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In May 2017, we repurchased aggregate principal of certain series of outstanding fixed rate debt totaling $1,659.3 million. Total costs of $101.4 million associated with the repurchases were recorded as </w:t>
      </w:r>
      <w:r>
        <w:rPr>
          <w:rFonts w:ascii="Arial" w:cs="Arial" w:eastAsia="Arial" w:hAnsi="Arial"/>
          <w:sz w:val="18"/>
          <w:szCs w:val="18"/>
          <w:i w:val="1"/>
          <w:iCs w:val="1"/>
          <w:color w:val="auto"/>
        </w:rPr>
        <w:t>Loss on early extinguishment of debt</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The 5.8 and 2.8 percentage point increases in the effective tax rate in the third quarter and first nine months, respectively, of 2017 from 2016 was primarily driven by:</w:t>
      </w:r>
    </w:p>
    <w:p>
      <w:pPr>
        <w:spacing w:after="0" w:line="130"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unfavorable tax impact of non-deductible discrete items that occurred during the first nine months of 2017 compared to 2016; and</w:t>
      </w:r>
    </w:p>
    <w:p>
      <w:pPr>
        <w:spacing w:after="0" w:line="198" w:lineRule="exact"/>
        <w:rPr>
          <w:rFonts w:ascii="Arial" w:cs="Arial" w:eastAsia="Arial" w:hAnsi="Arial"/>
          <w:sz w:val="18"/>
          <w:szCs w:val="18"/>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nine months of 2017 compared to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98" w:lineRule="exact"/>
        <w:rPr>
          <w:sz w:val="20"/>
          <w:szCs w:val="20"/>
          <w:color w:val="auto"/>
        </w:rPr>
      </w:pPr>
    </w:p>
    <w:p>
      <w:pPr>
        <w:ind w:left="560" w:hanging="390"/>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income tax effects of vesting and exercise of share-based awards.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two reportable segments (Water and Electrical). Each of these segments is comprised of various product offerings that serve multiple end users.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the performance of our two reportable segments based on net sales and segment income and use a variety of ratios to measure performance. Segment income represents equity income of unconsolidated subsidiaries and operating income exclusive of intangible amortization, certain acquisition related expenses, costs of restructuring activities, "mark-to-market" gain/loss for pension and other post-retirement plans, impairments and other unusual non-operating items.</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Water</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net sales and segment income for the Water segment for the three and nine months ended September 30, 2017 and 2016 were 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240" w:type="dxa"/>
            <w:vAlign w:val="bottom"/>
          </w:tcPr>
          <w:p>
            <w:pPr>
              <w:spacing w:after="0"/>
              <w:rPr>
                <w:sz w:val="20"/>
                <w:szCs w:val="20"/>
                <w:color w:val="auto"/>
              </w:rPr>
            </w:pPr>
          </w:p>
        </w:tc>
      </w:tr>
      <w:tr>
        <w:trPr>
          <w:trHeight w:val="34"/>
        </w:trPr>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 / point</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4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 / point</w:t>
            </w:r>
          </w:p>
        </w:tc>
      </w:tr>
      <w:tr>
        <w:trPr>
          <w:trHeight w:val="234"/>
        </w:trPr>
        <w:tc>
          <w:tcPr>
            <w:tcW w:w="23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change</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change</w:t>
            </w:r>
          </w:p>
        </w:tc>
      </w:tr>
      <w:tr>
        <w:trPr>
          <w:trHeight w:val="34"/>
        </w:trPr>
        <w:tc>
          <w:tcPr>
            <w:tcW w:w="2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668.3</w:t>
            </w:r>
          </w:p>
        </w:tc>
        <w:tc>
          <w:tcPr>
            <w:tcW w:w="15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2.8%   $</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2,095.7</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1.3%</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119.1</w:t>
            </w:r>
          </w:p>
        </w:tc>
        <w:tc>
          <w:tcPr>
            <w:tcW w:w="1360" w:type="dxa"/>
            <w:vAlign w:val="bottom"/>
          </w:tcPr>
          <w:p>
            <w:pPr>
              <w:ind w:left="74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373.9</w:t>
            </w:r>
          </w:p>
        </w:tc>
        <w:tc>
          <w:tcPr>
            <w:tcW w:w="1240" w:type="dxa"/>
            <w:vAlign w:val="bottom"/>
          </w:tcPr>
          <w:p>
            <w:pPr>
              <w:ind w:left="740"/>
              <w:spacing w:after="0"/>
              <w:rPr>
                <w:sz w:val="20"/>
                <w:szCs w:val="20"/>
                <w:color w:val="auto"/>
              </w:rPr>
            </w:pPr>
            <w:r>
              <w:rPr>
                <w:rFonts w:ascii="Arial" w:cs="Arial" w:eastAsia="Arial" w:hAnsi="Arial"/>
                <w:sz w:val="18"/>
                <w:szCs w:val="18"/>
                <w:color w:val="auto"/>
              </w:rPr>
              <w:t>9.0%</w:t>
            </w: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w:t>
            </w:r>
          </w:p>
        </w:tc>
        <w:tc>
          <w:tcPr>
            <w:tcW w:w="15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i w:val="1"/>
                <w:iCs w:val="1"/>
                <w:color w:val="auto"/>
              </w:rPr>
              <w:t>1.2 pts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19.2%</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w:t>
            </w: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i w:val="1"/>
                <w:iCs w:val="1"/>
                <w:color w:val="auto"/>
                <w:w w:val="88"/>
              </w:rPr>
              <w:t>1.4 pts</w:t>
            </w:r>
          </w:p>
        </w:tc>
      </w:tr>
      <w:tr>
        <w:trPr>
          <w:trHeight w:val="459"/>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jc w:val="right"/>
              <w:ind w:right="1050"/>
              <w:spacing w:after="0"/>
              <w:rPr>
                <w:sz w:val="20"/>
                <w:szCs w:val="20"/>
                <w:color w:val="auto"/>
              </w:rPr>
            </w:pPr>
            <w:r>
              <w:rPr>
                <w:rFonts w:ascii="Arial" w:cs="Arial" w:eastAsia="Arial" w:hAnsi="Arial"/>
                <w:sz w:val="18"/>
                <w:szCs w:val="18"/>
                <w:color w:val="auto"/>
                <w:w w:val="99"/>
              </w:rPr>
              <w:t>34</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Water net sales from the prior period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0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Three months ended September 30,</w:t>
            </w:r>
          </w:p>
        </w:tc>
        <w:tc>
          <w:tcPr>
            <w:tcW w:w="314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50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2017</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w w:val="89"/>
              </w:rPr>
              <w:t>Nine months ended September 30, 2017</w:t>
            </w:r>
          </w:p>
        </w:tc>
      </w:tr>
      <w:tr>
        <w:trPr>
          <w:trHeight w:val="270"/>
        </w:trPr>
        <w:tc>
          <w:tcPr>
            <w:tcW w:w="3200" w:type="dxa"/>
            <w:vAlign w:val="bottom"/>
          </w:tcPr>
          <w:p>
            <w:pPr>
              <w:spacing w:after="0"/>
              <w:rPr>
                <w:sz w:val="23"/>
                <w:szCs w:val="23"/>
                <w:color w:val="auto"/>
              </w:rPr>
            </w:pPr>
          </w:p>
        </w:tc>
        <w:tc>
          <w:tcPr>
            <w:tcW w:w="508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over the prior year period</w:t>
            </w:r>
          </w:p>
        </w:tc>
        <w:tc>
          <w:tcPr>
            <w:tcW w:w="3140" w:type="dxa"/>
            <w:vAlign w:val="bottom"/>
          </w:tcPr>
          <w:p>
            <w:pPr>
              <w:jc w:val="right"/>
              <w:ind w:right="49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32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Price</w:t>
            </w:r>
          </w:p>
        </w:tc>
        <w:tc>
          <w:tcPr>
            <w:tcW w:w="50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314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32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5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3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0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314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32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5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3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3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32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2.8 and 1.3 percent increases in net sales for Water in the third quarter and first nine months, respectively, of 2017 from 2016 were primarily driven by:</w:t>
      </w:r>
    </w:p>
    <w:p>
      <w:pPr>
        <w:spacing w:after="0" w:line="194"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core sales growth in our industrial and residential &amp; commercial businesses,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related to business acquisitions that occurred in the fourth quarter of 2016 and first quarter of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core sales declines in our infrastructure and food &amp; beverage verticals due to customer delays in capital spending;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 job adjustments to net sales of $9.7 million in the first nine months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Water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94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89"/>
              </w:rPr>
              <w:t>Three months ended September 30,</w:t>
            </w:r>
          </w:p>
        </w:tc>
        <w:tc>
          <w:tcPr>
            <w:tcW w:w="3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464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w w:val="89"/>
              </w:rPr>
              <w:t>Nine months ended September 30, 2017</w:t>
            </w:r>
          </w:p>
        </w:tc>
      </w:tr>
      <w:tr>
        <w:trPr>
          <w:trHeight w:val="270"/>
        </w:trPr>
        <w:tc>
          <w:tcPr>
            <w:tcW w:w="3380" w:type="dxa"/>
            <w:vAlign w:val="bottom"/>
          </w:tcPr>
          <w:p>
            <w:pPr>
              <w:spacing w:after="0"/>
              <w:rPr>
                <w:sz w:val="23"/>
                <w:szCs w:val="23"/>
                <w:color w:val="auto"/>
              </w:rPr>
            </w:pPr>
          </w:p>
        </w:tc>
        <w:tc>
          <w:tcPr>
            <w:tcW w:w="4640" w:type="dxa"/>
            <w:vAlign w:val="bottom"/>
          </w:tcPr>
          <w:p>
            <w:pPr>
              <w:jc w:val="center"/>
              <w:ind w:left="2030"/>
              <w:spacing w:after="0"/>
              <w:rPr>
                <w:sz w:val="20"/>
                <w:szCs w:val="20"/>
                <w:color w:val="auto"/>
              </w:rPr>
            </w:pPr>
            <w:r>
              <w:rPr>
                <w:rFonts w:ascii="Arial" w:cs="Arial" w:eastAsia="Arial" w:hAnsi="Arial"/>
                <w:sz w:val="18"/>
                <w:szCs w:val="18"/>
                <w:b w:val="1"/>
                <w:bCs w:val="1"/>
                <w:color w:val="auto"/>
                <w:w w:val="91"/>
              </w:rPr>
              <w:t>over the prior year period</w:t>
            </w:r>
          </w:p>
        </w:tc>
        <w:tc>
          <w:tcPr>
            <w:tcW w:w="300" w:type="dxa"/>
            <w:vAlign w:val="bottom"/>
          </w:tcPr>
          <w:p>
            <w:pPr>
              <w:spacing w:after="0"/>
              <w:rPr>
                <w:sz w:val="23"/>
                <w:szCs w:val="23"/>
                <w:color w:val="auto"/>
              </w:rPr>
            </w:pPr>
          </w:p>
        </w:tc>
        <w:tc>
          <w:tcPr>
            <w:tcW w:w="3100" w:type="dxa"/>
            <w:vAlign w:val="bottom"/>
          </w:tcPr>
          <w:p>
            <w:pPr>
              <w:jc w:val="right"/>
              <w:ind w:right="470"/>
              <w:spacing w:after="0"/>
              <w:rPr>
                <w:sz w:val="20"/>
                <w:szCs w:val="20"/>
                <w:color w:val="auto"/>
              </w:rPr>
            </w:pPr>
            <w:r>
              <w:rPr>
                <w:rFonts w:ascii="Arial" w:cs="Arial" w:eastAsia="Arial" w:hAnsi="Arial"/>
                <w:sz w:val="18"/>
                <w:szCs w:val="18"/>
                <w:b w:val="1"/>
                <w:bCs w:val="1"/>
                <w:color w:val="auto"/>
              </w:rPr>
              <w:t>over the prior year period</w:t>
            </w:r>
          </w:p>
        </w:tc>
      </w:tr>
      <w:tr>
        <w:trPr>
          <w:trHeight w:val="34"/>
        </w:trPr>
        <w:tc>
          <w:tcPr>
            <w:tcW w:w="33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4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pts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pts</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46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(0.1)</w:t>
            </w:r>
          </w:p>
        </w:tc>
      </w:tr>
      <w:tr>
        <w:trPr>
          <w:trHeight w:val="27"/>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Inflation</w:t>
            </w:r>
          </w:p>
        </w:tc>
        <w:tc>
          <w:tcPr>
            <w:tcW w:w="4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Productivity/Price</w:t>
            </w:r>
          </w:p>
        </w:tc>
        <w:tc>
          <w:tcPr>
            <w:tcW w:w="46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3100" w:type="dxa"/>
            <w:vAlign w:val="bottom"/>
          </w:tcPr>
          <w:p>
            <w:pPr>
              <w:jc w:val="right"/>
              <w:ind w:right="290"/>
              <w:spacing w:after="0"/>
              <w:rPr>
                <w:sz w:val="20"/>
                <w:szCs w:val="20"/>
                <w:color w:val="auto"/>
              </w:rPr>
            </w:pPr>
            <w:r>
              <w:rPr>
                <w:rFonts w:ascii="Arial" w:cs="Arial" w:eastAsia="Arial" w:hAnsi="Arial"/>
                <w:sz w:val="18"/>
                <w:szCs w:val="18"/>
                <w:color w:val="auto"/>
              </w:rPr>
              <w:t>3.0</w:t>
            </w:r>
          </w:p>
        </w:tc>
      </w:tr>
      <w:tr>
        <w:trPr>
          <w:trHeight w:val="27"/>
        </w:trPr>
        <w:tc>
          <w:tcPr>
            <w:tcW w:w="33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1"/>
              </w:rPr>
              <w:t>pts</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pts</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4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The 1.2 and 1.4 percentage point increases in segment income for Water as a percentage of net sales in the third quarter and first nine months, respectively, of 2017 from 2016 were primarily driven by:</w:t>
      </w:r>
    </w:p>
    <w:p>
      <w:pPr>
        <w:spacing w:after="0" w:line="116"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favorable material savings and product mix offsetting inflation;</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200" w:lineRule="exact"/>
        <w:rPr>
          <w:sz w:val="20"/>
          <w:szCs w:val="20"/>
          <w:color w:val="auto"/>
        </w:rPr>
      </w:pPr>
    </w:p>
    <w:p>
      <w:pPr>
        <w:spacing w:after="0" w:line="349" w:lineRule="exact"/>
        <w:rPr>
          <w:sz w:val="20"/>
          <w:szCs w:val="20"/>
          <w:color w:val="auto"/>
        </w:rPr>
      </w:pPr>
    </w:p>
    <w:p>
      <w:pPr>
        <w:ind w:left="5620" w:right="1060" w:hanging="5450"/>
        <w:spacing w:after="0" w:line="559" w:lineRule="auto"/>
        <w:tabs>
          <w:tab w:leader="none" w:pos="4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core sales volume in our infrastructure and food &amp; beverage verticals, which resulted in decreased leverage on operating expenses. 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Electrical</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net sales and segment income for the Electrical segment for the three and nine months ended September 30, 2017 and 2016 were 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tcPr>
          <w:p>
            <w:pPr>
              <w:spacing w:after="0"/>
              <w:rPr>
                <w:sz w:val="20"/>
                <w:szCs w:val="20"/>
                <w:color w:val="auto"/>
              </w:rPr>
            </w:pPr>
          </w:p>
        </w:tc>
      </w:tr>
      <w:tr>
        <w:trPr>
          <w:trHeight w:val="34"/>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 / point</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34"/>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543.1</w:t>
            </w: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   $</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1,608.3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119.6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1.6 %</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337.8</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344.0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22.5%</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0.5 pts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21.7%</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 pts</w:t>
            </w:r>
          </w:p>
        </w:tc>
      </w:tr>
      <w:tr>
        <w:trPr>
          <w:trHeight w:val="364"/>
        </w:trPr>
        <w:tc>
          <w:tcPr>
            <w:tcW w:w="22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8480" w:type="dxa"/>
            <w:vAlign w:val="bottom"/>
            <w:gridSpan w:val="8"/>
          </w:tcPr>
          <w:p>
            <w:pPr>
              <w:jc w:val="right"/>
              <w:ind w:right="910"/>
              <w:spacing w:after="0"/>
              <w:rPr>
                <w:sz w:val="20"/>
                <w:szCs w:val="20"/>
                <w:color w:val="auto"/>
              </w:rPr>
            </w:pPr>
            <w:r>
              <w:rPr>
                <w:rFonts w:ascii="Arial" w:cs="Arial" w:eastAsia="Arial" w:hAnsi="Arial"/>
                <w:sz w:val="18"/>
                <w:szCs w:val="18"/>
                <w:color w:val="auto"/>
                <w:w w:val="90"/>
              </w:rPr>
              <w:t>The components of the change in the Electrical segment net sales from the prior period were as follows: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0"/>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4"/>
          </w:tcPr>
          <w:p>
            <w:pPr>
              <w:jc w:val="center"/>
              <w:ind w:left="890"/>
              <w:spacing w:after="0"/>
              <w:rPr>
                <w:sz w:val="20"/>
                <w:szCs w:val="20"/>
                <w:color w:val="auto"/>
              </w:rPr>
            </w:pPr>
            <w:r>
              <w:rPr>
                <w:rFonts w:ascii="Arial" w:cs="Arial" w:eastAsia="Arial" w:hAnsi="Arial"/>
                <w:sz w:val="18"/>
                <w:szCs w:val="18"/>
                <w:b w:val="1"/>
                <w:bCs w:val="1"/>
                <w:color w:val="auto"/>
                <w:w w:val="89"/>
              </w:rPr>
              <w:t>Three months ended September 30,</w:t>
            </w:r>
          </w:p>
        </w:tc>
        <w:tc>
          <w:tcPr>
            <w:tcW w:w="28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2017</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2017</w:t>
            </w:r>
          </w:p>
        </w:tc>
        <w:tc>
          <w:tcPr>
            <w:tcW w:w="1260" w:type="dxa"/>
            <w:vAlign w:val="bottom"/>
          </w:tcPr>
          <w:p>
            <w:pPr>
              <w:spacing w:after="0"/>
              <w:rPr>
                <w:sz w:val="20"/>
                <w:szCs w:val="20"/>
                <w:color w:val="auto"/>
              </w:rPr>
            </w:pPr>
          </w:p>
        </w:tc>
      </w:tr>
      <w:tr>
        <w:trPr>
          <w:trHeight w:val="270"/>
        </w:trPr>
        <w:tc>
          <w:tcPr>
            <w:tcW w:w="2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98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1"/>
              </w:rPr>
              <w:t>over the prior year period</w:t>
            </w:r>
          </w:p>
        </w:tc>
        <w:tc>
          <w:tcPr>
            <w:tcW w:w="180" w:type="dxa"/>
            <w:vAlign w:val="bottom"/>
          </w:tcPr>
          <w:p>
            <w:pPr>
              <w:spacing w:after="0"/>
              <w:rPr>
                <w:sz w:val="23"/>
                <w:szCs w:val="23"/>
                <w:color w:val="auto"/>
              </w:rPr>
            </w:pPr>
          </w:p>
        </w:tc>
        <w:tc>
          <w:tcPr>
            <w:tcW w:w="27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34"/>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Price</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0.7</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0.5 and 3.3 percent decreases in net sales for Electrical in the third quarter and first nine months, respectively, of 2017 from 2016 were primarily driven by:</w:t>
      </w:r>
    </w:p>
    <w:p>
      <w:pPr>
        <w:spacing w:after="0" w:line="116"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project sales volume as a result of the impact of three large Canadian Oil Sands projects in 2016 that did not recur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core sales growth in our industrial business, primarily as a result of increased volumes in the U.S.;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favorable foreign currency effect during the three months ended September 30, 2017;</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related to a business acquisition that occurred in the first quarter of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line="78"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the Electrical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Three months ended September 30, 2017</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Nine months ended September 30, 2017</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5040" w:type="dxa"/>
            <w:vAlign w:val="bottom"/>
          </w:tcPr>
          <w:p>
            <w:pPr>
              <w:jc w:val="right"/>
              <w:ind w:right="530"/>
              <w:spacing w:after="0"/>
              <w:rPr>
                <w:sz w:val="20"/>
                <w:szCs w:val="20"/>
                <w:color w:val="auto"/>
              </w:rPr>
            </w:pPr>
            <w:r>
              <w:rPr>
                <w:rFonts w:ascii="Arial" w:cs="Arial" w:eastAsia="Arial" w:hAnsi="Arial"/>
                <w:sz w:val="18"/>
                <w:szCs w:val="18"/>
                <w:b w:val="1"/>
                <w:bCs w:val="1"/>
                <w:color w:val="auto"/>
              </w:rPr>
              <w:t>over the prior year period</w:t>
            </w:r>
          </w:p>
        </w:tc>
        <w:tc>
          <w:tcPr>
            <w:tcW w:w="2900" w:type="dxa"/>
            <w:vAlign w:val="bottom"/>
          </w:tcPr>
          <w:p>
            <w:pPr>
              <w:jc w:val="right"/>
              <w:ind w:right="25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5040" w:type="dxa"/>
            <w:vAlign w:val="bottom"/>
            <w:tcBorders>
              <w:bottom w:val="single" w:sz="8" w:color="CCEEFF"/>
            </w:tcBorders>
            <w:shd w:val="clear" w:color="auto" w:fill="CCEEFF"/>
          </w:tcPr>
          <w:p>
            <w:pPr>
              <w:ind w:left="4460"/>
              <w:spacing w:after="0"/>
              <w:rPr>
                <w:sz w:val="20"/>
                <w:szCs w:val="20"/>
                <w:color w:val="auto"/>
              </w:rPr>
            </w:pPr>
            <w:r>
              <w:rPr>
                <w:rFonts w:ascii="Arial" w:cs="Arial" w:eastAsia="Arial" w:hAnsi="Arial"/>
                <w:sz w:val="18"/>
                <w:szCs w:val="18"/>
                <w:color w:val="auto"/>
              </w:rPr>
              <w:t>2.7 pts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pts</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50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Inflation</w:t>
            </w:r>
          </w:p>
        </w:tc>
        <w:tc>
          <w:tcPr>
            <w:tcW w:w="5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Productivity/Price</w:t>
            </w:r>
          </w:p>
        </w:tc>
        <w:tc>
          <w:tcPr>
            <w:tcW w:w="50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40" w:type="dxa"/>
            <w:vAlign w:val="bottom"/>
            <w:vMerge w:val="restart"/>
            <w:shd w:val="clear" w:color="auto" w:fill="CCEEFF"/>
          </w:tcPr>
          <w:p>
            <w:pPr>
              <w:ind w:left="4460"/>
              <w:spacing w:after="0"/>
              <w:rPr>
                <w:sz w:val="20"/>
                <w:szCs w:val="20"/>
                <w:color w:val="auto"/>
              </w:rPr>
            </w:pPr>
            <w:r>
              <w:rPr>
                <w:rFonts w:ascii="Arial" w:cs="Arial" w:eastAsia="Arial" w:hAnsi="Arial"/>
                <w:sz w:val="18"/>
                <w:szCs w:val="18"/>
                <w:color w:val="auto"/>
              </w:rPr>
              <w:t>0.5 pts</w:t>
            </w:r>
          </w:p>
        </w:tc>
        <w:tc>
          <w:tcPr>
            <w:tcW w:w="3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0.3 pts</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vMerge w:val="continue"/>
            <w:shd w:val="clear" w:color="auto" w:fill="CCEEFF"/>
          </w:tcPr>
          <w:p>
            <w:pPr>
              <w:spacing w:after="0"/>
              <w:rPr>
                <w:sz w:val="21"/>
                <w:szCs w:val="21"/>
                <w:color w:val="auto"/>
              </w:rPr>
            </w:pPr>
          </w:p>
        </w:tc>
        <w:tc>
          <w:tcPr>
            <w:tcW w:w="3160" w:type="dxa"/>
            <w:vAlign w:val="bottom"/>
            <w:tcBorders>
              <w:bottom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The 0.5 and 0.3 percentage point increases in segment income for Electrical as a percentage of net sales in the third quarter and first nine months, respectively, of 2017 from 2016 were primarily driven by:</w:t>
      </w:r>
    </w:p>
    <w:p>
      <w:pPr>
        <w:spacing w:after="0" w:line="116"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favorable mix as a result of the decline in lower margin project sales and growth in higher margin product sales in 2017, compared to 2016;</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core sales in our industrial business, which resulted in increased leverage on operating expenses;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333"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core sales volumes in our energy and infrastructure businesses, which resulted in decreased leverage on operating expenses; and</w:t>
      </w:r>
    </w:p>
    <w:p>
      <w:pPr>
        <w:spacing w:after="0" w:line="171" w:lineRule="exact"/>
        <w:rPr>
          <w:rFonts w:ascii="Arial" w:cs="Arial" w:eastAsia="Arial" w:hAnsi="Arial"/>
          <w:sz w:val="18"/>
          <w:szCs w:val="18"/>
          <w:color w:val="auto"/>
        </w:rPr>
      </w:pPr>
    </w:p>
    <w:p>
      <w:pPr>
        <w:ind w:left="500" w:right="50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cost of sales during the nine months ended September 30, 2017 due to manufacturing footprint rationalization and a new U.S. distribution center. We expect these investments will result in increased productivity and operating leverage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generally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experience seasonal cash flows primarily due to seasonal demand in a number of markets within both our Water and Electrical segments.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 Additionally, 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Cash provided by operating activities of continuing operations was $418.5 million in the first nine months of 2017, compared to $459.7 million in the same period of 2016.</w:t>
      </w:r>
    </w:p>
    <w:p>
      <w:pPr>
        <w:spacing w:after="0" w:line="1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$418.5 million in net cash provided by operating activities of continuing operations in the first nine months of 2017 primarily reflects net income from continuing operations of $514.6 million, net of non-cash depreciation and amortization and the loss on early extinguishment of debt, offset by a negative impact by $122.6 million as a result of changes in net working capital.</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$459.7 million in net cash provided by operating activities of continuing operations in the first nine months of 2016 primarily reflects net income from continuing operations of $478.9 million, net of non-cash depreciation and amortization and a negative impact of $5.2 million as a result of changes in net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provided by investing activities of continuing operations was $2,661.1 million in the first nine months of 2017, compared to $74.2 million of cash used for investing activities in the same period of 2016. Net cash provided by investing activities of continuing operations in the first nine months of 2017 primarily reflects cash received from the sale of the Valves &amp; Controls business, offset by capital expenditures of $50.5 million and cash paid for acquisitions (net of cash acquired) of $59.5 million. Net cash used for investing activities of continuing operations in the first nine months of 2016 relates primarily relates to capital expenditures of $94.5 million, partially offset by $24.1 million of proceeds from the sale of property and equipment.</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anticipate capital expenditures for fiscal 2017 to be approximately $80 million, primarily for capacity expansions of manufacturing facilities, developing new products and general maintenance.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cash used for financing activities was $3,201.9 million in the first nine months of 2017, compared with $444.5 million in the prior year period. As described further below, we utilized the proceeds from the sale of the Valves &amp; Controls business to repay our commercial paper and revolving long term debt and for the early extinguishment of certain series of fixed rate debt. Additionally, we repurchased $100 million of shares during the first nine months of 2017.</w:t>
      </w:r>
    </w:p>
    <w:p>
      <w:pPr>
        <w:sectPr>
          <w:pgSz w:w="11900" w:h="16917" w:orient="portrait"/>
          <w:cols w:equalWidth="0" w:num="1">
            <w:col w:w="11420"/>
          </w:cols>
          <w:pgMar w:left="240" w:top="121" w:right="239" w:bottom="0" w:gutter="0" w:footer="0" w:header="0"/>
        </w:sectPr>
      </w:pPr>
    </w:p>
    <w:bookmarkStart w:id="37" w:name="page38"/>
    <w:bookmarkEnd w:id="37"/>
    <w:p>
      <w:pPr>
        <w:ind w:right="220"/>
        <w:spacing w:after="0" w:line="277" w:lineRule="auto"/>
        <w:rPr>
          <w:sz w:val="20"/>
          <w:szCs w:val="20"/>
          <w:color w:val="auto"/>
        </w:rPr>
      </w:pPr>
      <w:r>
        <w:rPr>
          <w:rFonts w:ascii="Arial" w:cs="Arial" w:eastAsia="Arial" w:hAnsi="Arial"/>
          <w:sz w:val="18"/>
          <w:szCs w:val="18"/>
          <w:color w:val="auto"/>
        </w:rPr>
        <w:t>Net cash used for financing activities in the first nine months 2016 primarily relates to payment of dividends and net repayments of commercial paper and revolving long-term debt.</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2014, Pentair plc, Pentair Investment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125" w:right="3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fee ranging from 9.0 to 25.0 basis points per annum (based upon PFSA's credit ratings) on the amount of each lender's commitment and letter of credit fee for each letter of credit issued and outstanding under the Credit Facility.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the Second Amendment, the "Amendments"), which, among other things, increased the Leverage Ratio to the amounts specified below, and amended the definition of EBITDA (as defined below) to include earnings from discontinued operations for operations subject to a sale agreement until such disposition actually occurs.</w:t>
      </w:r>
    </w:p>
    <w:p>
      <w:pPr>
        <w:spacing w:after="0" w:line="13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In May 2017, we repurchased aggregate principal of certain series of the respective outstanding notes totaling $1,659.3 million. All costs associated with the repurchases were recorded as </w:t>
      </w:r>
      <w:r>
        <w:rPr>
          <w:rFonts w:ascii="Arial" w:cs="Arial" w:eastAsia="Arial" w:hAnsi="Arial"/>
          <w:sz w:val="17"/>
          <w:szCs w:val="17"/>
          <w:i w:val="1"/>
          <w:iCs w:val="1"/>
          <w:color w:val="auto"/>
        </w:rPr>
        <w:t>Loss on early extinguishment of debt,</w:t>
      </w:r>
      <w:r>
        <w:rPr>
          <w:rFonts w:ascii="Arial" w:cs="Arial" w:eastAsia="Arial" w:hAnsi="Arial"/>
          <w:sz w:val="17"/>
          <w:szCs w:val="17"/>
          <w:color w:val="auto"/>
        </w:rPr>
        <w:t xml:space="preserve"> including $6.5 million of unamortized deferred financing costs.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Credit Facility. PFSA uses the Credit Facility as back-up liquidity to support 100% of commercial paper outstanding. PFSA had $116.0 million commercial paper outstanding as of September 30, 2017 and $398.7 million as of December 31, 2016, all of which was classified as long-term debt as we have the intent and the ability to refinance such obligations on a long-term basis under the Credit Facility.</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the period of four consecutive fiscal quarters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September 30, 2017, we were in compliance with all financial covenants in our debt agreements.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availability under the Credit Facility was $2,366.8 million as of September 30, 2017, which was limited to $1,828.4 million by the maximum Leverage Ratio in the Credit Facility's credit agreement.</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Credit Facility, we have various other credit facilities with an aggregate availability of $29.9 million, of which there were no outstanding borrowings at September 30, 2017. Borrowings under these credit facilities bear interest at variable rates.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2017, we have $60.2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In December 2014, the Board of Directors authorized the repurchase of our ordinary shares up to a maximum dollar limit of $1.0 billion. The authorization expires on December 31, 2019. During the nine months ended September 30, 2017, we repurchased 1.5 million of our shares for $100.0 million pursuant to this authorization. As of September 30, 2017, we had $700.0 million remaining available for share repurchases under this authorization.</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On December 6, 2016, the Board of Directors approved a plan to increase the 2017 annual cash dividend to $1.38, which is intended to be paid in four quarterly installments. Additionally, on September 19, 2017 the Board of Directors declared a quarterly cash dividend of $0.345 payable on November 3, 2017 to shareholders of record at the close of business on October 20, 2017.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Consolidated Balance Sheets was $62.7 million and $61.8 million at September 30, 2017 and December 31, 2016, respectively.</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paid dividends in the first nine months of 2017 of $188.9 million, or $1.035 per ordinary share, compared with $181.6 million, or $1.00 per ordinary share, in the prior year period.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redemptions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As of December 31, 2016, our distributable reserve balance was $9.4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summarizes our significant contractual debt and fixed-rate interest obligations that impact our liquidity. There have been no other material changes from the significant contractual obligations previously disclosed in Item 7 of our 2016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1,225.8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34"/>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389.3</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474.2</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64"/>
        </w:trPr>
        <w:tc>
          <w:tcPr>
            <w:tcW w:w="8460" w:type="dxa"/>
            <w:vAlign w:val="bottom"/>
          </w:tcPr>
          <w:p>
            <w:pPr>
              <w:ind w:left="56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our 2016 Annual Report on Form 10-K, we identified the critical accounting policies which affect our more significant estimates and assumptions used in preparing our consolidated financial statements. We have not changed these policies from those previously disclosed in our Annual Report.</w:t>
      </w:r>
    </w:p>
    <w:p>
      <w:pPr>
        <w:spacing w:after="0" w:line="2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September 30, 2017. For additional information, refer to Item 7A of our 2016 Annual Report on Form 10-K.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2017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2017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September 30, 2017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2" w:right="2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September 30, 2017,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2017,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risk factors amend and supersede the risk factors previously disclosed in Item 1A to our Annual Report on Form 10-K for the year ended December 31, 2016.</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Proposed Separation of Our Water Business and Electrical Business by Spin-off</w:t>
      </w:r>
    </w:p>
    <w:p>
      <w:pPr>
        <w:spacing w:after="0" w:line="216"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b w:val="1"/>
          <w:bCs w:val="1"/>
          <w:i w:val="1"/>
          <w:iCs w:val="1"/>
          <w:color w:val="auto"/>
        </w:rPr>
        <w:t>The proposed separation of our Water business and Electrical business is contingent upon the satisfaction of a number of conditions, may require significant time and attention of our management and may have an adverse effect on us whether or not it is completed.</w:t>
      </w:r>
    </w:p>
    <w:p>
      <w:pPr>
        <w:ind w:right="140"/>
        <w:spacing w:after="0" w:line="253" w:lineRule="auto"/>
        <w:rPr>
          <w:sz w:val="20"/>
          <w:szCs w:val="20"/>
          <w:color w:val="auto"/>
        </w:rPr>
      </w:pPr>
      <w:r>
        <w:rPr>
          <w:rFonts w:ascii="Arial" w:cs="Arial" w:eastAsia="Arial" w:hAnsi="Arial"/>
          <w:sz w:val="18"/>
          <w:szCs w:val="18"/>
          <w:color w:val="auto"/>
        </w:rPr>
        <w:t>On May 9, 2017, we announced that our Board of Directors approved a plan to separate our Water business and Electrical business into two independent, publicly-traded companies through a spin-off. Completion of the spin-off will be contingent upon customary conditions, including obtaining final approval from our Board of Directors, receipt of tax opinions and rulings and effectiveness of appropriate filings with the SEC. In addition, the proposed spin-off is complex in nature and may be affected by unanticipated developments or changes in market conditions. For these and other reasons, the spin-off may not be completed as expected during the second quarter of 2018, if at all.</w:t>
      </w:r>
    </w:p>
    <w:p>
      <w:pPr>
        <w:spacing w:after="0" w:line="1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Whether or not we complete the spin-off, our ongoing businesses may be adversely affected and we may be subject to certain risks and consequences as a result of pursuing the spin-off, including the following:</w:t>
      </w:r>
    </w:p>
    <w:p>
      <w:pPr>
        <w:spacing w:after="0" w:line="116" w:lineRule="exact"/>
        <w:rPr>
          <w:sz w:val="20"/>
          <w:szCs w:val="20"/>
          <w:color w:val="auto"/>
        </w:rPr>
      </w:pPr>
    </w:p>
    <w:p>
      <w:pPr>
        <w:ind w:left="660" w:right="8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execution of the proposed spin-off will require significant time and attention from management, which may distract management from the operation of our businesses and the execution of other initiatives that may have been beneficial to us;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employees may also be distracted due to uncertainty about their future roles with each of the separate companies pending the completion of the spin-off;</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some of our suppliers or customers may delay or defer decisions or may end their relationships with us or our Electrical business;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be required to pay certain costs and expenses relating to the spin-off, such as legal, accounting and other professional fees, whether or not it is completed;</w:t>
      </w: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may experience negative reactions from the financial markets if we fail to complete the spin-off or fail to complete it on a timely basis.</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of these factors could have a material adverse effect on the business, financial condition, results of operations, cash flows and trading price of us or the Electrical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separating our Electrical business from our Water business by means of the spin-off will provide financial, operational, managerial and other benefits to us and our shareholders, the spin-off may not provide the results on the scope or on the scale we anticipate, and we may not realize any or all of the intended benefits. In addition, we will incur one-time costs and ongoing costs in connection with, or as a result of, the spin-off, including costs of operating as independent, publicly-traded companies that the two businesses will no longer be able to share. Those costs may exceed our estimates or could negate some of the benefits we expect to realize. If we do not realize the intended benefits or if our costs exceed our estimates, we or the Electrical business that is spun off could suffer a material adverse effect on the business, financial condition, results of operations, cash flows and trading price of us or the Electrical business.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If the proposed spin-off of our Electrical business is completed, the trading price of our ordinary shares will decline and may experience greater volatility. </w:t>
      </w:r>
      <w:r>
        <w:rPr>
          <w:rFonts w:ascii="Arial" w:cs="Arial" w:eastAsia="Arial" w:hAnsi="Arial"/>
          <w:sz w:val="18"/>
          <w:szCs w:val="18"/>
          <w:color w:val="auto"/>
        </w:rPr>
        <w:t>We expect the trading price of our ordinary shares immediately following the spin-off to be significantly lower than immediately prior to the spin-off because the trading price for our shares will no longer reflect the value of our Electrical business. In addition, until the market has fully analyzed our value without our Electrical business, the price of our shares may experience greater volatility.</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proposed spin-off is completed, our shares may not match some holders' investment strategies or meet minimum criteria for inclusion in stock market indices or portfolios, which could cause investors to sell their shares. Excessive selling pressure could cause the market price of our shares to decrease further following the completion of the proposed spin-off.</w:t>
      </w:r>
    </w:p>
    <w:p>
      <w:pPr>
        <w:spacing w:after="0" w:line="12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b w:val="1"/>
          <w:bCs w:val="1"/>
          <w:i w:val="1"/>
          <w:iCs w:val="1"/>
          <w:color w:val="auto"/>
        </w:rPr>
        <w:t>Following the spin-off, the value of our ordinary shares and the ordinary shares of the Electrical business that is spun off may collectively trade at an aggregate price less than that at which the Company's ordinary shares might trade had the spin-off not occurred.</w:t>
      </w:r>
    </w:p>
    <w:p>
      <w:pPr>
        <w:ind w:right="100"/>
        <w:spacing w:after="0" w:line="295" w:lineRule="auto"/>
        <w:rPr>
          <w:sz w:val="20"/>
          <w:szCs w:val="20"/>
          <w:color w:val="auto"/>
        </w:rPr>
      </w:pPr>
      <w:r>
        <w:rPr>
          <w:rFonts w:ascii="Arial" w:cs="Arial" w:eastAsia="Arial" w:hAnsi="Arial"/>
          <w:sz w:val="16"/>
          <w:szCs w:val="16"/>
          <w:color w:val="auto"/>
        </w:rPr>
        <w:t>For a number of reasons, our ordinary shares and the ordinary shares of the Electrical business that is spun off that you may hold following the spin-off may collectively trade at a value less than the price at which our ordinary shares might have traded had the spin-off not occurred and we continued to own the Electrical business. These reasons include the future performance of either us or the Electrical business as separate, independent companies and the future shareholder base and market for our ordinary shares and the ordinary shares of the Electrical business and the prices at which these shares individually trade.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spin-off transaction could result in substantial tax liability to us and our shareholders.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spin-off is conditioned on our receipt of opinions of tax counsel and tax rulings from taxing authorities. However, these opinions will not be binding on taxing authorities. Accordingly, taxing authorities or the courts may reach conclusions with respect to the spin-off that are different from the conclusions reached in the opinions of counsel. Moreover, the opinions of counsel will be based on certain statements and representations made by us, which, if incomplete or inaccurate in any material respect, could invalidate the opinion of counsel. Additionally, certain internal restructuring transactions necessary to accomplish the spin-off may result in adverse tax consequences to us.</w:t>
      </w:r>
    </w:p>
    <w:p>
      <w:pPr>
        <w:spacing w:after="0" w:line="1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the spin-off and certain related transactions were determined to be taxable, we could be subject to a substantial tax liability that could have a material adverse effect on our financial condition, results of operations and cash flows. In addition, if the spin-off were taxable, each holder of our ordinary shares who</w:t>
      </w:r>
    </w:p>
    <w:p>
      <w:pPr>
        <w:sectPr>
          <w:pgSz w:w="11900" w:h="16838" w:orient="portrait"/>
          <w:cols w:equalWidth="0" w:num="1">
            <w:col w:w="11400"/>
          </w:cols>
          <w:pgMar w:left="240" w:top="122" w:right="259" w:bottom="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color w:val="auto"/>
        </w:rPr>
        <w:t>receives shares of the Electrical business in the spin-off would generally be treated as receiving a taxable distribution of property in an amount equal to the fair market value of the shares received.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We compete in various geographic regions and product markets around the world. Among these, the most significant are global industrial markets and residential markets. We have experienced, and expect to continue to experience, fluctuations in revenues and results of operations due to economic and business cycles. Important factors for our businesses and the businesses of our customers include the overall strength of the economy and our customers' confidence in the economy, industrial and governmental capital spending, the strength of the residential and commercial real estate markets,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29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markets for our products and services are geographically diverse and highly competitive. We compete against large and well-established national and global companies, as well as regional and local companies and lower cost manufacturers. We compete based on technical expertise, reputation for quality and reliability, timeliness of delivery, previous installation history, contractual terms and price. Some of our competitors, in particular smaller companies,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If we are unable to continue to differentiate our products, services and solutions, or if we are forced to cut prices or to incur additional costs to remain competitive, it could have a material adverse effect on our business, financial condition, results of operations and cash flows could be materially and adversely affected.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currency exchange rates could have a material adverse effect on our financial condition, results of operations and cash flows.</w:t>
      </w:r>
    </w:p>
    <w:p>
      <w:pPr>
        <w:spacing w:after="0" w:line="3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Sales outside of the U.S. for the year ended December 31, 2016 accounted for 41 percent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During 2016, foreign currency translations had a 0.8 percent negative impact on our net sales.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127"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b w:val="1"/>
          <w:bCs w:val="1"/>
          <w:i w:val="1"/>
          <w:iCs w:val="1"/>
          <w:color w:val="auto"/>
        </w:rPr>
        <w:t>Our future growth is dependent upon our ability to continue to adapt our products, services and organization to meet the demands of local markets in both developed and emerging economies and by developing or acquiring new technologies that achieve market acceptance with acceptable margins.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Accordingly, our future success depends upon a number of factors, including our ability to adapt our products, services, organization, workforce and sales strategies to fit localities throughout the world, particularly in high growth emerging markets; identify emerging technological and other trends in our target end-markets; and develop or acquire competitive products and services and bring them to market quickly and cost-effectively. We have chosen to focus our growth initiatives in specific end markets and geographies, but we cannot provide assurance that these growth initiatives will be sufficient to offset revenue declines in other markets. The failure to effectively adapt our products or services could have a material adverse effect on our business, financial condition, results of operations and cash flows.</w:t>
      </w:r>
    </w:p>
    <w:p>
      <w:pPr>
        <w:spacing w:after="0" w:line="12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and investments, and any completed acquisitions and investments could be unsuccessful or consume significant resources.</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and service offerings. We may not be able to identify suitable acquisition candidates, obtain financing or have sufficient cash necessary for acquisitions or successfully complete acquisitions in the future or that completed acquisitions will be successful. Acquisitions and investments may involve significant cash expenditures, debt incurrences, equity issuances, operating losses and expenses. Acquisitions involve numerous other risks, including:</w:t>
      </w:r>
    </w:p>
    <w:p>
      <w:pPr>
        <w:spacing w:after="0" w:line="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including risks relating to the U.S. Foreign Corrupt Practices Act (the "FCPA"); and</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It may be difficult for us to complete transactions quickly and to integrate acquired operations efficiently into our business operations. Any acquisitions or investments may not be successful and may ultimately result in impairment charges and have a material adverse effect on our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2016, 2015 and 2014,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and other risks that arise from operating a multinational business.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Sales outside of the U.S. for the year ended December 31, 2016 accounted for 41 percent of our net sales. Further, most of our businesses obtain some products, components and raw materials from non-U.S. suppliers. Accordingly, our business is subject to the political, regulatory, economic and other risks that are inherent in operating in numerous countries. These risks include:</w:t>
      </w:r>
    </w:p>
    <w:p>
      <w:pPr>
        <w:spacing w:after="0" w:line="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difficulty of communicating and monitoring standards and directives across our global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imposition of tariffs, exchange controls or other trade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 non-U.S. labor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 material adverse impact on our effective tax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limitations on repatriation of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you that these and other factors will not have a material adverse effect on our international operations or on our business as a whole.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material cost and other inflation.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such as pension, health care and insurance. We continue to implement operational initiatives in order to mitigate the impacts of this inflation and continuously reduce our costs. However, these actions may not be successful in managing our costs or increasing our productivity. Continued cost inflation or failure of our initiatives to generate cost savings or improve productivity could have a material adverse effect on our business, financial condition, results of operations and cash flow.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Over the past few years, we have noticed an increasing tendency for participants in our markets to use conflicts over and challenges to intellectual property as a means to compete. Patent and trademark challenges increase our costs to develop, engineer and market our products. We may need to spend significant resources monitoring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1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test goodwill and other indefinite-lived intangible assets for impairment on at least an annual basis, and more frequently if circumstances warrant, by comparing the estimated fair value of each of our reporting units to their respective carrying values on their balance sheets. As of December 31, 2016, our goodwill and intangible assets were $5,849.2 million and represented 51% of our total assets. Long-term declines in projected future cash flows could result in future goodwill and intangible asset impairment charges.</w:t>
      </w:r>
    </w:p>
    <w:p>
      <w:pPr>
        <w:spacing w:after="0" w:line="13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Work stoppages, union negotiations, labor disputes and other matters associated with our labor force could have a material adverse effect on our results of operations.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2016, approximately 9,000 of our employees were covered by collective bargaining agreements or works councils. Although we believe that our relations with the labor unions and work councils that represent our employees are generally good and we have experienced no material strikes and only minor work stoppages recently, we may experience in the future these and other types of conflicts with labor unions, works councils, other groups representing employees or our employees generally. In addition, any future negotiations with our labor unions could result in significant increases in our cost of labor.</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2" w:right="3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material disruption at any of our manufacturing facilities could cause us to be unable to meet customer demands or increase our costs.</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operations at any of our manufacturing facilities were to be disrupted as a result of significant equipment failures, natural disasters, earthquakes, power outages, fires, explosions, terrorism, adverse weather conditions, labor disputes or other reasons, we may be unable to fill customer orders and otherwise meet customer demand for our products, which could have a material adverse effect our business, financial condition, results of operations and cash flows. Interruptions in production, in particular at our manufacturing facilities, could increase our costs and reduce our sales. Any interruption in production capability could require us to make substantial capital expenditures to fill customer orders. We maintain property damage insurance that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our business, financial condition, results of operations and cash flows.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could have a material adverse effect on our financial results.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experience seasonal demand in a number of markets within both of our business segments. In our Water segment, both demand for residential water supply products, infrastructure and agricultural products and end-user demand for pool equipment in our primary markets follow warm weather trends and are at seasonal highs from April to August. The magnitude of the sales increase in our Water segment is partially mitigated by employing some advance sale or "early buy" programs (generally including extended payment terms and/or additional discounts). Seasonal effects may vary from year to year and are impacted by weather patterns, particularly by temperatures, heavy flooding and droughts. Our Electrical segment generally experiences increased demand for thermal protection products and services during the fall and winter months in the Northern Hemisphere and increased demand for electrical fastening products during the spring and summer months in the Northern Hemisphere. Seasonality and weather conditions could have a material adverse effect on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earnings estimates by us or securities analysts or our ability to meet those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or other environmental disasters that investors believe may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from any material litigation, including asbestos claims, government investigations or 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Violations of the U.S. Foreign Corrupt Practices Act and similar anti-corruption laws outside the U.S. could have a material adverse effect on us.</w:t>
      </w:r>
    </w:p>
    <w:p>
      <w:pPr>
        <w:spacing w:after="0" w:line="4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FCPA and similar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scrutiny by regulators. We cannot assure you that our internal control policies and procedures will always protect us from reckless or criminal acts committed by our employees or third-party intermediaries. In the event that we believe or have reason to believe that our employees or agents have or may have violated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applicable anti-corruption laws, including the FCPA we may be required to investigate or have outside counsel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 xml:space="preserve">Our failure to satisfy international trade compliance regulations, and changes in U.S. government sanctions, could have a material adverse effect on us. </w:t>
      </w:r>
      <w:r>
        <w:rPr>
          <w:rFonts w:ascii="Arial" w:cs="Arial" w:eastAsia="Arial" w:hAnsi="Arial"/>
          <w:sz w:val="18"/>
          <w:szCs w:val="18"/>
          <w:color w:val="auto"/>
        </w:rPr>
        <w:t>Our global operations require importing and exporting goods and technology across international borders on a regular basis. Certain of the products we manufacture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administrative policy, including changes to existing trade agreements, could have a material adverse effect on us.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result of changes to U.S. administrative policy, there may be changes to existing trade agreements, like the North American Free Trade Agreement, greater restrictions on free trade generally, significant increases in tariffs on goods imported into the U.S. particularly tariffs on products manufactured in Mexico, among other possible changes. Changes in U.S. social, political, regulatory and economic conditions or in laws and policies governing foreign trade, manufacturing, development and investment in the territories and countries where we currently manufacture and sell products, and any resulting negative sentiments towards the U.S. as a result of such changes, could have a material adverse effect on our business, financial condition, results of operations and cash flows.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environmental laws, liabilities and litigation.</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some of which are subject to renewal from time to time, for many of our businesses and we could suffer if we are unable to renew existing permits or to obtain any additional permits that we may require.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 The cost of clean-up and other environmental liabilities can be difficult to accurately predict. In addition, environmental requirements change and tend to become more stringent over time. Our eventual environmental clean-up costs and liabilities could exceed the amount of our current reserves.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Our subsidiaries are party to asbestos-related product litigation that could adversely affect our financial condition, results of operations and cash flows. </w:t>
      </w:r>
      <w:r>
        <w:rPr>
          <w:rFonts w:ascii="Arial" w:cs="Arial" w:eastAsia="Arial" w:hAnsi="Arial"/>
          <w:sz w:val="16"/>
          <w:szCs w:val="16"/>
          <w:color w:val="auto"/>
        </w:rPr>
        <w:t>Our subsidiaries, along with numerous other companies, are named as defendants in a substantial number of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between dozens to hundreds of corporate defendants. Historically, our subsidiaries have been identified as defendants in asbestos-related claims. We have experienced an increase in the number of asbestos-related lawsuits over the past several years, including lawsuits by plaintiffs with mesothelioma-related claims. A large percentage of these suits have not presented viable legal claims and, as a result, have been dismissed or withdrawn. Our strategy has been, and continues to be, to mount a vigorous defense aimed at having unsubstantiated suits dismissed, and, only where appropriate, settling claims before trial. As of September 30, 2017, there were approximately 600 claims pending against our subsidiaries.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potential regulatory, financial and reputational risks related to certain "conflict minerals."</w:t>
      </w:r>
    </w:p>
    <w:p>
      <w:pPr>
        <w:spacing w:after="0" w:line="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2012, the SEC adopted disclosure requirements related to certain minerals sourced from the Democratic Republic of Congo or adjoining countries, as required by Section 1502 of the Dodd-Frank Wall Street Reform and Consumer Protection Act. The final rules impose inquiry, diligence and disclosure obligations with respect to "conflict minerals," defined as tin, tantalum, tungsten and gold, that are necessary to the functionality of a product manufactured, or contracted to be manufactured, by an SEC reporting company. Certain of these minerals are used extensively in components manufactured by our suppliers (or in components incorporated by our suppliers into components supplied to us) for use in our products. Under the final rules, an SEC reporting company must conduct a country of origin inquiry that is reasonably designed to determine whether any of the "conflict minerals" that are necessary to the functionality of a product manufactured, or contracted to be manufactured, by the company originated in the Democratic Republic of the Congo or an adjoining country. If any such "conflict minerals" originated in the Democratic Republic of Congo or an adjoining country, the final rules require the issuer to exercise due diligence on the source of such "conflict minerals" and their chain of custody with the ultimate objective of determining whether the "conflict minerals" directly or indirectly financed or benefited armed groups in the Democratic Republic of the Congo or an adjoining country. The issuer must then prepare and file with the SEC annually a report regarding its diligence efforts, which we have done since the SEC's reporting requirements became effective. We have incurred, and expect to continue to incur, significant costs to conduct country of origin inquiries and to exercise such due diligence.</w:t>
      </w:r>
    </w:p>
    <w:p>
      <w:pPr>
        <w:spacing w:after="0" w:line="1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a very large number of suppliers and our supply chain is very complex and multifaceted. While we have no intention to use minerals sourced from the Democratic Republic of Congo or adjoining countries that are not "conflict free" (meaning that they do not contain "conflict minerals" that directly or indirectly finance or benefit armed groups in the Democratic Republic of the Congo or an adjoining country), a significant number of our suppliers are small businesses, and those small businesses have limited or no resources to track their sources of minerals. As a result, we have experienced, and expect to continue to experience, ongoing significant difficulty in determining the country of origin or the source and chain of custody for all "conflict minerals" used in our products and disclosing that our products are "conflict free." We may face reputational challenges if we are unable to verify the country of origin or the source and chain of custody for all "conflict minerals" used in our products or if we continue to be unable to disclose that our products are "conflict free." The ongoing implementation of these rules may also affect the sourcing and availability of some minerals necessary to the manufacture of our products and may affect the availability and price of "conflict minerals" capable of certification as "conflict free." Accordingly, we have incurred, and expect to continue to incur, significant costs as a consequence of these rules, which may adversely affect our business, financial condition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regulatory and financial risks related to climate change.</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adopted the Kyoto Protocol and/or the Paris Accord, and these and other existing international initiatives or those under consideration could affect our international operations. To the extent our customers, particularly our energy and industrial customers ,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These actions could also increase costs associated with our operations, including costs for raw materials and transportation. Because it is uncertain what laws will be enacted, we cannot predict the potential impact of such laws on our future financial condition, results of operations and cash flows.</w:t>
      </w:r>
    </w:p>
    <w:p>
      <w:pPr>
        <w:spacing w:after="0" w:line="13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upon information technology systems and networks in connection with a variety of business activities, some of which are managed by third parties. Additionally, we collect and store data that is sensitive to Pentair and its employees, customers, dealers and suppliers. The secure operation of these information technology systems and networks, and the processing and maintenance of this data is critical to our business operations and strategy. Information technology security threats -- from user error to attacks designed to gain unauthorized access to our systems, networks and data -- are increasing in frequency and sophistication. Attacks may range from random attempts to coordinated and targeted attacks, including sophisticated computer crime and advanced persistent threats. These threats pose a risk to the security of our systems and networks and the confidentiality, availability and integrity of the data we process and maintain. Establishing systems and processes to address these threats and changes in legal requirements relating to data collection and storage may increase our costs. We have identified attempts to gain unauthorized access to our information technology systems and networks. To our knowledge, no such attack was ultimately successful in exporting sensitive data or controlling sensitive systems or networks. Should such an attack succeed it could expose us and our employees, customers, dealers and suppliers to misuse of information or systems, the compromising of confidential information, theft of assets, manipulation and destruction of data, defective products, production downtimes and operations disruptions, and breach of privacy, which may require notification under data privacy and other applicable laws. The occurrence of any of these events could have a material adverse effect on our reputation, business, financial condition, results of operations and cash flows. In addition, such breaches in security could result in litigation, regulatory action and potential liability and the costs and operational consequences of implementing further data protection measures.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litigation, including product liability claims.</w:t>
      </w:r>
    </w:p>
    <w:p>
      <w:pPr>
        <w:spacing w:after="0" w:line="2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businesses expose us to potential litigation, such as product liability claims relating to the design, manufacture and sale of our products.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Successful claims against us for significant amounts could have a material adverse effect on our product reputation, business,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share responsibility for certain income tax liabilities for tax periods prior to and including the date of the Distribution.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Distribution, we entered into a tax sharing agreement (the "2012 Tax Sharing Agreement") with Tyco (now known as Johnson Controls International plc, "Johnson Controls") and The ADT Corporation ("ADT"), which governs the rights and obligations of ADT, Johnson Controls and us for certain pre-Distribution tax liabilities, including Johnson Controls' obligations under a separate tax sharing agreement (the "2007 Tax Sharing Agreement") entered into by Johnson Controls, Covidien Ltd. (now known as Medtronic plc, "Medtronic") and TE Connectivity Ltd. ("TE Connectivity") in connection with the 2007 distributions of Medtronic and TE Connectivity by Johnson Controls.</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2012 Tax Sharing Agreement provides that we, Johnson Controls and ADT will share (i) certain pre-Distribution income tax liabilities that arise from adjustments made by tax authorities to our, Johnson Controls' and ADT's U.S. income tax returns, including withholding tax, income tax, or other tax liabilities that could arise if the Merger, Distribution or certain internal transactions undertaken in anticipation of the Distribution are determined to be taxable for U.S. federal or Swiss tax purposes, and (ii) payments required to be made by Johnson Controls with respect to the 2007 Tax Sharing Agreement (the liabilities in clauses (i) and (ii) collectively, "Shared Tax Liabilities"). Johnson Controls is responsible for the first $500 million of Shared Tax Liabilities. As of September 30, 2017, Johnson Controls has paid $210.5 million of Shared Tax Liabilities. We and ADT will share 42% and 58%, respectively, of the next $225 million of Shared Tax Liabilities. We, ADT and Johnson Controls will share 20%, 27.5% and 52.5%, respectively, of Shared Tax Liabilities above $725 million. Costs and expenses associated with the management of Shared Tax Liabilities will generally be shared 20% by us, 27.5% by ADT and 52.5% by Johnson Controls. The ultimate resolution of these matters, and the impact of that resolution, are uncertain. To the extent we are responsible for any liability under the 2012 Tax Sharing Agreement, and indirectly the 2007 Tax Sharing Agreement, there could be a material adverse impact on our financial condition, results of operations, cash flows or our effective tax rate in future reporting periods.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addition, under the terms of the 2012 Tax Sharing Agreement, in the event the Distribution, the ADT distribution, the internal transactions or the Merger were determined to be taxable as a result of actions taken after the Distribution by us, ADT or Johnson Controls, the party responsible for such failure would be responsible for all taxes imposed as a result thereof. If such failure is not the result of actions taken after the Distribution by us, ADT or Johnson Controls, then we, ADT and Johnson Controls would be responsible for any taxes imposed as a result of such determination in the same manner and in the same proportions as we, ADT and Johnson Controls are responsible for Shared Tax Liabilities. Such tax amounts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Liquidity</w:t>
      </w:r>
    </w:p>
    <w:p>
      <w:pPr>
        <w:spacing w:after="0" w:line="17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their products or for prospective customers to commence new projects, as customers and suppliers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These disruptions may have other unknown adverse effects. One or more of these factors could adversely affect our business, financial condition,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can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increase our debt or raise additional capital in the future, which could affect our financial condition, and may decrease our profitability.</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September 30, 2017, we had $1,503.4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U.K.</w:t>
      </w:r>
    </w:p>
    <w:p>
      <w:pPr>
        <w:spacing w:after="0" w:line="17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of the U.S., the U.K., Ireland and other jurisdictions could change in the future, and such changes could cause a material change in our worldwide effective corporate tax rate. In particular, legislative action could be taken by the U.S., the U.K., Ireland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and take advantage of the tax treaties among the U.S., the U.K. and Ireland, we could be subject to increased taxation, which could materially adversely affect our financial condition, results of operations, cash flows or our effective tax rate in future reporting periods.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change in our tax residency could have a negative effect on our future profitability, and may trigger taxes on dividends or exit charges.</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current Irish legislation, a company is regarded as resident for tax purposes in Ireland if it is centrally managed and controlled in Ireland, or, in certain circumstances,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Pentair.</w:t>
      </w:r>
    </w:p>
    <w:p>
      <w:pPr>
        <w:spacing w:after="0" w:line="1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Where a company is treated as tax resident under the domestic laws of both the U.K. and Ireland, article 4(3) of the Double Tax Convention between Ireland and the U.K. (the "residence tie-breaker") currently provides that the company shall be treated as resident only in one of those two jurisdictions if its place of effective management is situated in that jurisdiction.</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Organisation for Economic Co-operation and Development has proposed a number of measures relating to the tax treatment of multinationals, some of which are to be implemented by amending double tax treaties through a multilateral instrument (the "MLI"). The MLI has been signed by a number of countries, including Ireland and the U.K. The MLI allows signatories to opt into or out of certain changes: the effect for a given double tax convention depends on the options chosen by the two contracting states. Ireland and the U.K. have indicated they intend to change the residence tie-breaker so that it will depend on a ruling by the tax authorities of the two contracting states, instead of an objective application of the place of effective management test. Accordingly, if Ireland and the U.K. maintain their position and enough other countries ratify the MLI, the residence tie-breaker would be amended to depend on a determination by Irish Revenue Commissioners and the U.K. HM Revenue and Customs. It is not certain when this will take place nor what factors will be taken into account in making the determination, but we do not expect such a determination to alter our tax residency.</w:t>
      </w:r>
    </w:p>
    <w:p>
      <w:pPr>
        <w:spacing w:after="0" w:line="1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It is possible that in the future, whether as a result of a change in law (including the entry into force of the MLI or a change to the intention of Ireland or the U.K. in relation to the MLI) or the practice of any relevant tax authority or as a result of any change in the conduct of our affairs, we could become, or be regarded as having become, resident in a jurisdiction other than the U.K. If Pentair ceases to be resident in the U.K. and becomes resident in another jurisdiction, it may be subject to U.K. exit charges, and could become liable for additional tax charges in the other jurisdiction (including dividend withholding taxes or corporate income tax charges). If Pentair were to be treated as resident in more than one jurisdiction, it could be subject to taxation in multiple jurisdictions. If, for example, Pentair were considered to be a tax resident of Ireland, we could become liable for Irish corporation tax and any dividends paid by it could be subject to Irish dividend withholding tax.</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percent of the higher of the price paid or the market value of the shares acquired). Payment of Irish stamp duty is generally a legal obligation of the transferee.</w:t>
      </w:r>
    </w:p>
    <w:p>
      <w:pPr>
        <w:spacing w:after="0" w:line="1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w:t>
      </w:r>
    </w:p>
    <w:p>
      <w:pPr>
        <w:ind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€310,000 per lifetime in respect of taxable gifts or inheritances received from their parents for periods on or after October 12, 2016.</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(b)</w:t>
            </w:r>
          </w:p>
        </w:tc>
        <w:tc>
          <w:tcPr>
            <w:tcW w:w="20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(c)</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9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Total number of shares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Dollar value of shares</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Total number</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purchased as part of</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920" w:type="dxa"/>
            <w:vAlign w:val="bottom"/>
          </w:tcPr>
          <w:p>
            <w:pPr>
              <w:spacing w:after="0"/>
              <w:rPr>
                <w:sz w:val="18"/>
                <w:szCs w:val="18"/>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Average price</w:t>
            </w: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publicly announced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2920" w:type="dxa"/>
            <w:vAlign w:val="bottom"/>
          </w:tcPr>
          <w:p>
            <w:pPr>
              <w:ind w:left="15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5"/>
              </w:rPr>
              <w:t>purchased</w:t>
            </w:r>
          </w:p>
        </w:tc>
        <w:tc>
          <w:tcPr>
            <w:tcW w:w="20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paid per share</w:t>
            </w:r>
          </w:p>
        </w:tc>
        <w:tc>
          <w:tcPr>
            <w:tcW w:w="200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plans or programs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29</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67.10</w:t>
            </w:r>
          </w:p>
        </w:tc>
        <w:tc>
          <w:tcPr>
            <w:tcW w:w="2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700,000,054</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July 30 - August 26</w:t>
            </w:r>
          </w:p>
        </w:tc>
        <w:tc>
          <w:tcPr>
            <w:tcW w:w="218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62.38</w:t>
            </w:r>
          </w:p>
        </w:tc>
        <w:tc>
          <w:tcPr>
            <w:tcW w:w="20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700,000,054</w:t>
            </w:r>
          </w:p>
        </w:tc>
      </w:tr>
      <w:tr>
        <w:trPr>
          <w:trHeight w:val="27"/>
        </w:trPr>
        <w:tc>
          <w:tcPr>
            <w:tcW w:w="29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27 - September 30</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62.71</w:t>
            </w:r>
          </w:p>
        </w:tc>
        <w:tc>
          <w:tcPr>
            <w:tcW w:w="2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700,000,054</w:t>
            </w:r>
          </w:p>
        </w:tc>
      </w:tr>
      <w:tr>
        <w:trPr>
          <w:trHeight w:val="237"/>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hanging="330"/>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purchases in this column include 1,816 shares for the period July 1 - July 29, 573 shares for the period July 30 - August 26 and 2,453 shares for the period August 27 - September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32" w:lineRule="exact"/>
        <w:rPr>
          <w:rFonts w:ascii="Arial" w:cs="Arial" w:eastAsia="Arial" w:hAnsi="Arial"/>
          <w:sz w:val="18"/>
          <w:szCs w:val="18"/>
          <w:color w:val="auto"/>
        </w:rPr>
      </w:pPr>
    </w:p>
    <w:p>
      <w:pPr>
        <w:ind w:left="500" w:right="20" w:hanging="330"/>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of $1.0 billion.</w:t>
      </w:r>
    </w:p>
    <w:p>
      <w:pPr>
        <w:spacing w:after="0" w:line="116" w:lineRule="exact"/>
        <w:rPr>
          <w:rFonts w:ascii="Arial" w:cs="Arial" w:eastAsia="Arial" w:hAnsi="Arial"/>
          <w:sz w:val="18"/>
          <w:szCs w:val="18"/>
          <w:color w:val="auto"/>
        </w:rPr>
      </w:pPr>
    </w:p>
    <w:p>
      <w:pPr>
        <w:ind w:left="500" w:right="700" w:hanging="330"/>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December 2014, our Board of Directors authorized the repurchase of our ordinary shares up to a maximum dollar limit of $1.0 billion. This authorization expires on December 31, 2019. We have $700.0 million remaining availability for repurchases under the 2014 authorization.</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2017</w:t>
      </w:r>
    </w:p>
    <w:p>
      <w:pPr>
        <w:spacing w:after="0" w:line="200" w:lineRule="exact"/>
        <w:rPr>
          <w:sz w:val="20"/>
          <w:szCs w:val="20"/>
          <w:color w:val="auto"/>
        </w:rPr>
      </w:pPr>
    </w:p>
    <w:p>
      <w:pPr>
        <w:spacing w:after="0" w:line="282"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6">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7">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8">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9">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right="100" w:hanging="790"/>
        <w:spacing w:after="0" w:line="273" w:lineRule="auto"/>
        <w:tabs>
          <w:tab w:leader="none" w:pos="96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2017 are filed herewith, formatted in XBRL (Extensible Business Reporting Language): (i) the Condensed Consolidated Statements of Operations and Comprehensive Income (Loss) for the three and nine months ended September 30, 2017 and 2016, (ii) the Condensed Consolidated Balance Sheets as of September 30, 2017 and December 31, 2016, (iii) the Condensed Consolidated Statements of Cash Flows for the nine months ended September 30, 2017 and 2016, (iv) the Condensed Consolidated Statements of Changes in Equity for the nine months ended September 30, 2017 and 2016, and (v)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24,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122" w:right="3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Randall J. Hogan, certify that:</w:t>
      </w:r>
    </w:p>
    <w:p>
      <w:pPr>
        <w:spacing w:after="0" w:line="225" w:lineRule="exact"/>
        <w:rPr>
          <w:sz w:val="20"/>
          <w:szCs w:val="20"/>
          <w:color w:val="auto"/>
        </w:rPr>
      </w:pPr>
    </w:p>
    <w:p>
      <w:pPr>
        <w:ind w:left="280" w:hanging="258"/>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2017 as filed with the Securities and Exchange Commission on the date hereof (the “Report”), I, Randall J. Hogan, Chairman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2017</w:t>
      </w:r>
      <w:r>
        <w:rPr>
          <w:sz w:val="20"/>
          <w:szCs w:val="20"/>
          <w:color w:val="auto"/>
        </w:rPr>
        <w:tab/>
      </w:r>
      <w:r>
        <w:rPr>
          <w:rFonts w:ascii="Arial" w:cs="Arial" w:eastAsia="Arial" w:hAnsi="Arial"/>
          <w:sz w:val="16"/>
          <w:szCs w:val="16"/>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Randall J. Hogan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2017 as filed with the Securities and Exchange Commission on the date hereof (the “Report”), I, John L. Stauch,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2017</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6"/>
    </w:lvl>
  </w:abstractNum>
  <w:abstractNum w:abstractNumId="8">
    <w:nsid w:val="6CEAF087"/>
    <w:multiLevelType w:val="hybridMultilevel"/>
    <w:lvl w:ilvl="0">
      <w:lvlJc w:val="left"/>
      <w:lvlText w:val="%1."/>
      <w:numFmt w:val="decimal"/>
      <w:start w:val="7"/>
    </w:lvl>
  </w:abstractNum>
  <w:abstractNum w:abstractNumId="9">
    <w:nsid w:val="22221A70"/>
    <w:multiLevelType w:val="hybridMultilevel"/>
    <w:lvl w:ilvl="0">
      <w:lvlJc w:val="left"/>
      <w:lvlText w:val="%1."/>
      <w:numFmt w:val="decimal"/>
      <w:start w:val="8"/>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9"/>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lvl w:ilvl="1">
      <w:lvlJc w:val="left"/>
      <w:lvlText w:val="(%2)"/>
      <w:numFmt w:val="decimal"/>
      <w:start w:val="1"/>
    </w:lvl>
  </w:abstractNum>
  <w:abstractNum w:abstractNumId="14">
    <w:nsid w:val="5577F8E1"/>
    <w:multiLevelType w:val="hybridMultilevel"/>
    <w:lvl w:ilvl="0">
      <w:lvlJc w:val="left"/>
      <w:lvlText w:val="%1."/>
      <w:numFmt w:val="decimal"/>
      <w:start w:val="10"/>
    </w:lvl>
    <w:lvl w:ilvl="1">
      <w:lvlJc w:val="left"/>
      <w:lvlText w:val="%2"/>
      <w:numFmt w:val="decimal"/>
      <w:start w:val="1"/>
    </w:lvl>
  </w:abstractNum>
  <w:abstractNum w:abstractNumId="15">
    <w:nsid w:val="440BADFC"/>
    <w:multiLevelType w:val="hybridMultilevel"/>
    <w:lvl w:ilvl="0">
      <w:lvlJc w:val="left"/>
      <w:lvlText w:val="%1."/>
      <w:numFmt w:val="decimal"/>
      <w:start w:val="11"/>
    </w:lvl>
  </w:abstractNum>
  <w:abstractNum w:abstractNumId="16">
    <w:nsid w:val="5072367"/>
    <w:multiLevelType w:val="hybridMultilevel"/>
    <w:lvl w:ilvl="0">
      <w:lvlJc w:val="left"/>
      <w:lvlText w:val="%1."/>
      <w:numFmt w:val="decimal"/>
      <w:start w:val="12"/>
    </w:lvl>
  </w:abstractNum>
  <w:abstractNum w:abstractNumId="17">
    <w:nsid w:val="3804823E"/>
    <w:multiLevelType w:val="hybridMultilevel"/>
    <w:lvl w:ilvl="0">
      <w:lvlJc w:val="left"/>
      <w:lvlText w:val="%1."/>
      <w:numFmt w:val="decimal"/>
      <w:start w:val="13"/>
    </w:lvl>
  </w:abstractNum>
  <w:abstractNum w:abstractNumId="18">
    <w:nsid w:val="77465F01"/>
    <w:multiLevelType w:val="hybridMultilevel"/>
    <w:lvl w:ilvl="0">
      <w:lvlJc w:val="left"/>
      <w:lvlText w:val="%1."/>
      <w:numFmt w:val="decimal"/>
      <w:start w:val="14"/>
    </w:lvl>
  </w:abstractNum>
  <w:abstractNum w:abstractNumId="19">
    <w:nsid w:val="7724C67E"/>
    <w:multiLevelType w:val="hybridMultilevel"/>
    <w:lvl w:ilvl="0">
      <w:lvlJc w:val="left"/>
      <w:lvlText w:val="%1."/>
      <w:numFmt w:val="decimal"/>
      <w:start w:val="15"/>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Roman"/>
      <w:start w:val="2"/>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0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2020-01-18T14:50:03Z</dcterms:created>
  <dcterms:modified xsi:type="dcterms:W3CDTF">2020-01-18T14:50:03Z</dcterms:modified>
</cp:coreProperties>
</file>