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4"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2019</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171" w:lineRule="exact"/>
        <w:rPr>
          <w:sz w:val="24"/>
          <w:szCs w:val="24"/>
          <w:color w:val="auto"/>
        </w:rPr>
      </w:pPr>
    </w:p>
    <w:p>
      <w:pPr>
        <w:ind w:left="4380" w:right="1540" w:hanging="4345"/>
        <w:spacing w:after="0" w:line="274" w:lineRule="auto"/>
        <w:tabs>
          <w:tab w:leader="none" w:pos="117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b w:val="1"/>
          <w:bCs w:val="1"/>
          <w:color w:val="auto"/>
        </w:rPr>
        <w:t>001-11625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7880" w:type="dxa"/>
            <w:vAlign w:val="bottom"/>
            <w:tcBorders>
              <w:top w:val="single" w:sz="8" w:color="auto"/>
            </w:tcBorders>
            <w:gridSpan w:val="3"/>
          </w:tcPr>
          <w:p>
            <w:pPr>
              <w:ind w:left="370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33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360"/>
        </w:trPr>
        <w:tc>
          <w:tcPr>
            <w:tcW w:w="408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Ireland</w:t>
            </w:r>
          </w:p>
        </w:tc>
        <w:tc>
          <w:tcPr>
            <w:tcW w:w="18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60" w:type="dxa"/>
            <w:vAlign w:val="bottom"/>
          </w:tcPr>
          <w:p>
            <w:pPr>
              <w:jc w:val="right"/>
              <w:ind w:right="2230"/>
              <w:spacing w:after="0"/>
              <w:rPr>
                <w:sz w:val="20"/>
                <w:szCs w:val="20"/>
                <w:color w:val="auto"/>
              </w:rPr>
            </w:pPr>
            <w:r>
              <w:rPr>
                <w:rFonts w:ascii="Arial" w:cs="Arial" w:eastAsia="Arial" w:hAnsi="Arial"/>
                <w:sz w:val="18"/>
                <w:szCs w:val="18"/>
                <w:b w:val="1"/>
                <w:bCs w:val="1"/>
                <w:color w:val="auto"/>
              </w:rPr>
              <w:t>98-1141328</w:t>
            </w:r>
          </w:p>
        </w:tc>
        <w:tc>
          <w:tcPr>
            <w:tcW w:w="180" w:type="dxa"/>
            <w:vAlign w:val="bottom"/>
          </w:tcPr>
          <w:p>
            <w:pPr>
              <w:spacing w:after="0"/>
              <w:rPr>
                <w:sz w:val="24"/>
                <w:szCs w:val="24"/>
                <w:color w:val="auto"/>
              </w:rPr>
            </w:pPr>
          </w:p>
        </w:tc>
      </w:tr>
      <w:tr>
        <w:trPr>
          <w:trHeight w:val="27"/>
        </w:trPr>
        <w:tc>
          <w:tcPr>
            <w:tcW w:w="5940" w:type="dxa"/>
            <w:vAlign w:val="bottom"/>
            <w:tcBorders>
              <w:bottom w:val="single" w:sz="8" w:color="auto"/>
            </w:tcBorders>
            <w:gridSpan w:val="2"/>
          </w:tcPr>
          <w:p>
            <w:pPr>
              <w:spacing w:after="0"/>
              <w:rPr>
                <w:sz w:val="2"/>
                <w:szCs w:val="2"/>
                <w:color w:val="auto"/>
              </w:rPr>
            </w:pPr>
          </w:p>
        </w:tc>
        <w:tc>
          <w:tcPr>
            <w:tcW w:w="53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94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548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80" w:type="dxa"/>
            <w:vAlign w:val="bottom"/>
          </w:tcPr>
          <w:p>
            <w:pPr>
              <w:ind w:left="1700"/>
              <w:spacing w:after="0"/>
              <w:rPr>
                <w:sz w:val="20"/>
                <w:szCs w:val="20"/>
                <w:color w:val="auto"/>
              </w:rPr>
            </w:pPr>
            <w:r>
              <w:rPr>
                <w:rFonts w:ascii="Arial" w:cs="Arial" w:eastAsia="Arial" w:hAnsi="Arial"/>
                <w:sz w:val="18"/>
                <w:szCs w:val="18"/>
                <w:b w:val="1"/>
                <w:bCs w:val="1"/>
                <w:color w:val="auto"/>
                <w:w w:val="89"/>
              </w:rPr>
              <w:t>Regal House, 70 London Road,</w:t>
            </w:r>
          </w:p>
        </w:tc>
        <w:tc>
          <w:tcPr>
            <w:tcW w:w="1860" w:type="dxa"/>
            <w:vAlign w:val="bottom"/>
          </w:tcPr>
          <w:p>
            <w:pPr>
              <w:ind w:left="660"/>
              <w:spacing w:after="0"/>
              <w:rPr>
                <w:sz w:val="20"/>
                <w:szCs w:val="20"/>
                <w:color w:val="auto"/>
              </w:rPr>
            </w:pPr>
            <w:r>
              <w:rPr>
                <w:rFonts w:ascii="Arial" w:cs="Arial" w:eastAsia="Arial" w:hAnsi="Arial"/>
                <w:sz w:val="18"/>
                <w:szCs w:val="18"/>
                <w:b w:val="1"/>
                <w:bCs w:val="1"/>
                <w:color w:val="auto"/>
              </w:rPr>
              <w:t>Twickenham,</w:t>
            </w:r>
          </w:p>
        </w:tc>
        <w:tc>
          <w:tcPr>
            <w:tcW w:w="1940" w:type="dxa"/>
            <w:vAlign w:val="bottom"/>
          </w:tcPr>
          <w:p>
            <w:pPr>
              <w:ind w:left="160"/>
              <w:spacing w:after="0"/>
              <w:rPr>
                <w:sz w:val="20"/>
                <w:szCs w:val="20"/>
                <w:color w:val="auto"/>
              </w:rPr>
            </w:pPr>
            <w:r>
              <w:rPr>
                <w:rFonts w:ascii="Arial" w:cs="Arial" w:eastAsia="Arial" w:hAnsi="Arial"/>
                <w:sz w:val="18"/>
                <w:szCs w:val="18"/>
                <w:b w:val="1"/>
                <w:bCs w:val="1"/>
                <w:color w:val="auto"/>
              </w:rPr>
              <w:t>London,  TW13QS</w:t>
            </w:r>
          </w:p>
        </w:tc>
        <w:tc>
          <w:tcPr>
            <w:tcW w:w="354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 Kingdom</w:t>
            </w:r>
          </w:p>
        </w:tc>
      </w:tr>
      <w:tr>
        <w:trPr>
          <w:trHeight w:val="27"/>
        </w:trPr>
        <w:tc>
          <w:tcPr>
            <w:tcW w:w="40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2"/>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44-74-9421-6154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78"/>
        </w:trPr>
        <w:tc>
          <w:tcPr>
            <w:tcW w:w="4860" w:type="dxa"/>
            <w:vAlign w:val="bottom"/>
          </w:tcPr>
          <w:p>
            <w:pPr>
              <w:jc w:val="center"/>
              <w:ind w:left="90"/>
              <w:spacing w:after="0"/>
              <w:rPr>
                <w:sz w:val="20"/>
                <w:szCs w:val="20"/>
                <w:color w:val="auto"/>
              </w:rPr>
            </w:pPr>
            <w:r>
              <w:rPr>
                <w:rFonts w:ascii="Arial" w:cs="Arial" w:eastAsia="Arial" w:hAnsi="Arial"/>
                <w:sz w:val="18"/>
                <w:szCs w:val="18"/>
                <w:color w:val="auto"/>
                <w:w w:val="88"/>
              </w:rPr>
              <w:t>Title of each class</w:t>
            </w:r>
          </w:p>
        </w:tc>
        <w:tc>
          <w:tcPr>
            <w:tcW w:w="2460" w:type="dxa"/>
            <w:vAlign w:val="bottom"/>
          </w:tcPr>
          <w:p>
            <w:pPr>
              <w:jc w:val="center"/>
              <w:ind w:left="90"/>
              <w:spacing w:after="0"/>
              <w:rPr>
                <w:sz w:val="20"/>
                <w:szCs w:val="20"/>
                <w:color w:val="auto"/>
              </w:rPr>
            </w:pPr>
            <w:r>
              <w:rPr>
                <w:rFonts w:ascii="Arial" w:cs="Arial" w:eastAsia="Arial" w:hAnsi="Arial"/>
                <w:sz w:val="18"/>
                <w:szCs w:val="18"/>
                <w:color w:val="auto"/>
                <w:w w:val="92"/>
              </w:rPr>
              <w:t>Trading Symbol(s)</w:t>
            </w:r>
          </w:p>
        </w:tc>
        <w:tc>
          <w:tcPr>
            <w:tcW w:w="41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8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jc w:val="center"/>
              <w:ind w:left="90"/>
              <w:spacing w:after="0"/>
              <w:rPr>
                <w:sz w:val="20"/>
                <w:szCs w:val="20"/>
                <w:color w:val="auto"/>
              </w:rPr>
            </w:pPr>
            <w:r>
              <w:rPr>
                <w:rFonts w:ascii="Arial" w:cs="Arial" w:eastAsia="Arial" w:hAnsi="Arial"/>
                <w:sz w:val="18"/>
                <w:szCs w:val="18"/>
                <w:color w:val="auto"/>
                <w:w w:val="89"/>
              </w:rPr>
              <w:t>Ordinary Shares, nominal value $0.01 per share</w:t>
            </w:r>
          </w:p>
        </w:tc>
        <w:tc>
          <w:tcPr>
            <w:tcW w:w="2460" w:type="dxa"/>
            <w:vAlign w:val="bottom"/>
          </w:tcPr>
          <w:p>
            <w:pPr>
              <w:jc w:val="center"/>
              <w:ind w:left="70"/>
              <w:spacing w:after="0"/>
              <w:rPr>
                <w:sz w:val="20"/>
                <w:szCs w:val="20"/>
                <w:color w:val="auto"/>
              </w:rPr>
            </w:pPr>
            <w:r>
              <w:rPr>
                <w:rFonts w:ascii="Arial" w:cs="Arial" w:eastAsia="Arial" w:hAnsi="Arial"/>
                <w:sz w:val="18"/>
                <w:szCs w:val="18"/>
                <w:color w:val="auto"/>
                <w:w w:val="89"/>
              </w:rPr>
              <w:t>PNR</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(§223.405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56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520" w:type="dxa"/>
            <w:vAlign w:val="bottom"/>
          </w:tcPr>
          <w:p>
            <w:pPr>
              <w:spacing w:after="0"/>
              <w:rPr>
                <w:sz w:val="18"/>
                <w:szCs w:val="18"/>
                <w:color w:val="auto"/>
              </w:rPr>
            </w:pPr>
          </w:p>
        </w:tc>
        <w:tc>
          <w:tcPr>
            <w:tcW w:w="4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880" w:type="dxa"/>
            <w:vAlign w:val="bottom"/>
          </w:tcPr>
          <w:p>
            <w:pPr>
              <w:spacing w:after="0"/>
              <w:rPr>
                <w:sz w:val="18"/>
                <w:szCs w:val="18"/>
                <w:color w:val="auto"/>
              </w:rPr>
            </w:pPr>
          </w:p>
        </w:tc>
        <w:tc>
          <w:tcPr>
            <w:tcW w:w="4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60" w:type="dxa"/>
            <w:vAlign w:val="bottom"/>
            <w:vMerge w:val="continue"/>
          </w:tcPr>
          <w:p>
            <w:pPr>
              <w:spacing w:after="0"/>
              <w:rPr>
                <w:sz w:val="21"/>
                <w:szCs w:val="21"/>
                <w:color w:val="auto"/>
              </w:rPr>
            </w:pPr>
          </w:p>
        </w:tc>
        <w:tc>
          <w:tcPr>
            <w:tcW w:w="1520" w:type="dxa"/>
            <w:vAlign w:val="bottom"/>
          </w:tcPr>
          <w:p>
            <w:pPr>
              <w:ind w:left="180"/>
              <w:spacing w:after="0"/>
              <w:rPr>
                <w:sz w:val="20"/>
                <w:szCs w:val="20"/>
                <w:color w:val="auto"/>
              </w:rPr>
            </w:pPr>
            <w:r>
              <w:rPr>
                <w:rFonts w:ascii="Arial" w:cs="Arial" w:eastAsia="Arial" w:hAnsi="Arial"/>
                <w:sz w:val="18"/>
                <w:szCs w:val="18"/>
                <w:color w:val="auto"/>
              </w:rPr>
              <w:t>Accelerated filer</w:t>
            </w:r>
          </w:p>
        </w:tc>
        <w:tc>
          <w:tcPr>
            <w:tcW w:w="480" w:type="dxa"/>
            <w:vAlign w:val="bottom"/>
            <w:vMerge w:val="continue"/>
          </w:tcPr>
          <w:p>
            <w:pPr>
              <w:spacing w:after="0"/>
              <w:rPr>
                <w:sz w:val="21"/>
                <w:szCs w:val="21"/>
                <w:color w:val="auto"/>
              </w:rPr>
            </w:pPr>
          </w:p>
        </w:tc>
        <w:tc>
          <w:tcPr>
            <w:tcW w:w="1880" w:type="dxa"/>
            <w:vAlign w:val="bottom"/>
          </w:tcPr>
          <w:p>
            <w:pPr>
              <w:ind w:left="180"/>
              <w:spacing w:after="0"/>
              <w:rPr>
                <w:sz w:val="20"/>
                <w:szCs w:val="20"/>
                <w:color w:val="auto"/>
              </w:rPr>
            </w:pPr>
            <w:r>
              <w:rPr>
                <w:rFonts w:ascii="Arial" w:cs="Arial" w:eastAsia="Arial" w:hAnsi="Arial"/>
                <w:sz w:val="18"/>
                <w:szCs w:val="18"/>
                <w:color w:val="auto"/>
              </w:rPr>
              <w:t>Non-accelerated filer</w:t>
            </w:r>
          </w:p>
        </w:tc>
        <w:tc>
          <w:tcPr>
            <w:tcW w:w="48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00" w:type="dxa"/>
            <w:vAlign w:val="bottom"/>
            <w:vMerge w:val="continue"/>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September 30, 2019, 168,092,998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2"/>
            <w:vMerge w:val="restart"/>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5"/>
            <w:vMerge w:val="continue"/>
          </w:tcPr>
          <w:p>
            <w:pPr>
              <w:spacing w:after="0"/>
              <w:rPr>
                <w:sz w:val="24"/>
                <w:szCs w:val="24"/>
                <w:color w:val="auto"/>
              </w:rPr>
            </w:pPr>
          </w:p>
        </w:tc>
        <w:tc>
          <w:tcPr>
            <w:tcW w:w="7460" w:type="dxa"/>
            <w:vAlign w:val="bottom"/>
            <w:gridSpan w:val="1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574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and Comprehensive Income</w:t>
              </w:r>
            </w:hyperlink>
          </w:p>
        </w:tc>
        <w:tc>
          <w:tcPr>
            <w:tcW w:w="25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200" w:type="dxa"/>
            <w:vAlign w:val="bottom"/>
            <w:gridSpan w:val="3"/>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200" w:type="dxa"/>
            <w:vAlign w:val="bottom"/>
            <w:gridSpan w:val="3"/>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Equity</w:t>
              </w:r>
            </w:hyperlink>
          </w:p>
        </w:tc>
        <w:tc>
          <w:tcPr>
            <w:tcW w:w="200" w:type="dxa"/>
            <w:vAlign w:val="bottom"/>
            <w:gridSpan w:val="3"/>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4200" w:type="dxa"/>
            <w:vAlign w:val="bottom"/>
            <w:tcBorders>
              <w:top w:val="single" w:sz="8" w:color="0000EE"/>
            </w:tcBorders>
            <w:gridSpan w:val="12"/>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Notes to Condensed Consolidated Financial Statements</w:t>
              </w:r>
            </w:hyperlink>
          </w:p>
        </w:tc>
        <w:tc>
          <w:tcPr>
            <w:tcW w:w="4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ind w:left="20"/>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3"/>
          </w:tcPr>
          <w:p>
            <w:pPr>
              <w:spacing w:after="0"/>
              <w:rPr>
                <w:rFonts w:ascii="Arial" w:cs="Arial" w:eastAsia="Arial" w:hAnsi="Arial"/>
                <w:sz w:val="18"/>
                <w:szCs w:val="18"/>
                <w:color w:val="0000FF"/>
                <w:w w:val="91"/>
              </w:rPr>
            </w:pPr>
            <w:hyperlink w:anchor="page43">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Controls and Procedures</w:t>
              </w:r>
            </w:hyperlink>
          </w:p>
        </w:tc>
        <w:tc>
          <w:tcPr>
            <w:tcW w:w="2540" w:type="dxa"/>
            <w:vAlign w:val="bottom"/>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900" w:type="dxa"/>
            <w:vAlign w:val="bottom"/>
            <w:gridSpan w:val="4"/>
          </w:tcPr>
          <w:p>
            <w:pPr>
              <w:ind w:left="20"/>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5"/>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3"/>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Unregistered Sales of Equity Securities and Use of Proceeds</w:t>
              </w:r>
            </w:hyperlink>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Exhibits</w:t>
              </w:r>
            </w:hyperlink>
          </w:p>
        </w:tc>
        <w:tc>
          <w:tcPr>
            <w:tcW w:w="40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900" w:type="dxa"/>
            <w:vAlign w:val="bottom"/>
            <w:gridSpan w:val="4"/>
          </w:tcPr>
          <w:p>
            <w:pPr>
              <w:ind w:left="20"/>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60" w:type="dxa"/>
            <w:vAlign w:val="bottom"/>
            <w:gridSpan w:val="7"/>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3"/>
                <w:szCs w:val="13"/>
                <w:color w:val="auto"/>
              </w:rPr>
            </w:pPr>
          </w:p>
        </w:tc>
        <w:tc>
          <w:tcPr>
            <w:tcW w:w="11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205"/>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2,224.6</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458.6</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467.6</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1,424.7</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1,444.9</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255.0</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777.3</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779.7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126.4</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405.9</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399.0</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108.8</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310.2</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323.7</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Loss (gain) on sale of business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23.6</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27.9</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101.2</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301.6</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274.0</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91.3</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258.8</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227.5</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(loss) from discontinued operations, net of tax</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254.5</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254.5</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cumulative translation adjustment</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276.9</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ordinary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0.54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0.52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r>
      <w:tr>
        <w:trPr>
          <w:trHeight w:val="30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ordinary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w:t>
            </w: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Basic</w:t>
            </w:r>
          </w:p>
        </w:tc>
        <w:tc>
          <w:tcPr>
            <w:tcW w:w="1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168.1</w:t>
            </w:r>
          </w:p>
        </w:tc>
        <w:tc>
          <w:tcPr>
            <w:tcW w:w="1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169.7</w:t>
            </w: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176.8</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September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3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40"/>
        </w:trPr>
        <w:tc>
          <w:tcPr>
            <w:tcW w:w="8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81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$13.4 and $14.0, respectively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404.0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488.2</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1,039.4</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277.9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272.6</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2,261.0</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2,072.7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Intangibles, net</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197.5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145.5</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2,799.9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2,494.5</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4,080.4</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3,806.5</w:t>
            </w:r>
          </w:p>
        </w:tc>
      </w:tr>
      <w:tr>
        <w:trPr>
          <w:trHeight w:val="73"/>
        </w:trPr>
        <w:tc>
          <w:tcPr>
            <w:tcW w:w="8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81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111.7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694.2</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1,118.7</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787.6</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111.4</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105.9</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2,211.6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1,970.4</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1"/>
              </w:rPr>
              <w:t>Ordinary shares $0.01 par value, 426.0 authorized, 168.1 and 171.4 issued at September 30, 2019 and December 31, 2018,</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3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1,893.8</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335.3</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169.2</w:t>
            </w:r>
          </w:p>
        </w:tc>
      </w:tr>
      <w:tr>
        <w:trPr>
          <w:trHeight w:val="33"/>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3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1,868.8</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1,836.1</w:t>
            </w:r>
          </w:p>
        </w:tc>
      </w:tr>
      <w:tr>
        <w:trPr>
          <w:trHeight w:val="33"/>
        </w:trPr>
        <w:tc>
          <w:tcPr>
            <w:tcW w:w="8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4,080.4</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3,806.5</w:t>
            </w:r>
          </w:p>
        </w:tc>
      </w:tr>
      <w:tr>
        <w:trPr>
          <w:trHeight w:val="20"/>
        </w:trPr>
        <w:tc>
          <w:tcPr>
            <w:tcW w:w="8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913"/>
              <w:spacing w:after="0"/>
              <w:rPr>
                <w:sz w:val="20"/>
                <w:szCs w:val="20"/>
                <w:color w:val="auto"/>
              </w:rPr>
            </w:pPr>
            <w:r>
              <w:rPr>
                <w:rFonts w:ascii="Arial" w:cs="Arial" w:eastAsia="Arial" w:hAnsi="Arial"/>
                <w:sz w:val="14"/>
                <w:szCs w:val="14"/>
                <w:b w:val="1"/>
                <w:bCs w:val="1"/>
                <w:color w:val="auto"/>
              </w:rPr>
              <w:t>Nine months ended</w:t>
            </w:r>
          </w:p>
        </w:tc>
      </w:tr>
      <w:tr>
        <w:trPr>
          <w:trHeight w:val="153"/>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2"/>
              <w:spacing w:after="0" w:line="15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3"/>
                <w:szCs w:val="13"/>
                <w:color w:val="auto"/>
              </w:rPr>
            </w:pPr>
          </w:p>
        </w:tc>
        <w:tc>
          <w:tcPr>
            <w:tcW w:w="136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205"/>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r>
      <w:tr>
        <w:trPr>
          <w:trHeight w:val="173"/>
        </w:trPr>
        <w:tc>
          <w:tcPr>
            <w:tcW w:w="8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97"/>
        </w:trPr>
        <w:tc>
          <w:tcPr>
            <w:tcW w:w="82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r>
      <w:tr>
        <w:trPr>
          <w:trHeight w:val="208"/>
        </w:trPr>
        <w:tc>
          <w:tcPr>
            <w:tcW w:w="82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257.9</w:t>
            </w:r>
          </w:p>
        </w:tc>
        <w:tc>
          <w:tcPr>
            <w:tcW w:w="2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3"/>
              <w:spacing w:after="0"/>
              <w:rPr>
                <w:sz w:val="20"/>
                <w:szCs w:val="20"/>
                <w:color w:val="auto"/>
              </w:rPr>
            </w:pPr>
            <w:r>
              <w:rPr>
                <w:rFonts w:ascii="Arial" w:cs="Arial" w:eastAsia="Arial" w:hAnsi="Arial"/>
                <w:sz w:val="13"/>
                <w:szCs w:val="13"/>
                <w:color w:val="auto"/>
              </w:rPr>
              <w:t>254.5</w:t>
            </w:r>
          </w:p>
        </w:tc>
      </w:tr>
      <w:tr>
        <w:trPr>
          <w:trHeight w:val="224"/>
        </w:trPr>
        <w:tc>
          <w:tcPr>
            <w:tcW w:w="8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(income) from discontinued operations, net of tax</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r>
      <w:tr>
        <w:trPr>
          <w:trHeight w:val="173"/>
        </w:trPr>
        <w:tc>
          <w:tcPr>
            <w:tcW w:w="8240" w:type="dxa"/>
            <w:vAlign w:val="bottom"/>
          </w:tcPr>
          <w:p>
            <w:pPr>
              <w:ind w:left="40"/>
              <w:spacing w:after="0"/>
              <w:rPr>
                <w:sz w:val="20"/>
                <w:szCs w:val="20"/>
                <w:color w:val="auto"/>
              </w:rPr>
            </w:pPr>
            <w:r>
              <w:rPr>
                <w:rFonts w:ascii="Arial" w:cs="Arial" w:eastAsia="Arial" w:hAnsi="Arial"/>
                <w:sz w:val="13"/>
                <w:szCs w:val="13"/>
                <w:b w:val="1"/>
                <w:bCs w:val="1"/>
                <w:color w:val="auto"/>
                <w:w w:val="91"/>
              </w:rPr>
              <w:t>Adjustments to reconcile net income from continuing operations to net cash provided by (used for) operating activities of continuing operations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Equity income of unconsolidated subsidiaries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(Gain) loss on sale of business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Trade name and other impairment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on early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Pension settlement (gain) loss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Pension and other post-retirement plan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Changes in assets and liabilities, net of effects of business acquisitions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Employee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liabilities</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non-current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1"/>
          <w:szCs w:val="11"/>
          <w:color w:val="auto"/>
        </w:rPr>
        <w:t>Net cash provided by operating activities of continuing operations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1"/>
          <w:szCs w:val="11"/>
          <w:color w:val="auto"/>
        </w:rPr>
        <w:t>Net cash used for operating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(3.0)</w:t>
            </w:r>
          </w:p>
        </w:tc>
        <w:tc>
          <w:tcPr>
            <w:tcW w:w="9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36.4</w:t>
            </w:r>
          </w:p>
        </w:tc>
        <w:tc>
          <w:tcPr>
            <w:tcW w:w="960" w:type="dxa"/>
            <w:vAlign w:val="bottom"/>
          </w:tcPr>
          <w:p>
            <w:pPr>
              <w:jc w:val="right"/>
              <w:spacing w:after="0"/>
              <w:rPr>
                <w:sz w:val="20"/>
                <w:szCs w:val="20"/>
                <w:color w:val="auto"/>
              </w:rPr>
            </w:pPr>
            <w:r>
              <w:rPr>
                <w:rFonts w:ascii="Arial" w:cs="Arial" w:eastAsia="Arial" w:hAnsi="Arial"/>
                <w:sz w:val="13"/>
                <w:szCs w:val="13"/>
                <w:color w:val="auto"/>
              </w:rPr>
              <w:t>36.9</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24.1</w:t>
            </w:r>
          </w:p>
        </w:tc>
        <w:tc>
          <w:tcPr>
            <w:tcW w:w="960" w:type="dxa"/>
            <w:vAlign w:val="bottom"/>
          </w:tcPr>
          <w:p>
            <w:pPr>
              <w:jc w:val="right"/>
              <w:spacing w:after="0"/>
              <w:rPr>
                <w:sz w:val="20"/>
                <w:szCs w:val="20"/>
                <w:color w:val="auto"/>
              </w:rPr>
            </w:pPr>
            <w:r>
              <w:rPr>
                <w:rFonts w:ascii="Arial" w:cs="Arial" w:eastAsia="Arial" w:hAnsi="Arial"/>
                <w:sz w:val="13"/>
                <w:szCs w:val="13"/>
                <w:color w:val="auto"/>
              </w:rPr>
              <w:t>27.0</w:t>
            </w:r>
          </w:p>
        </w:tc>
      </w:tr>
      <w:tr>
        <w:trPr>
          <w:trHeight w:val="189"/>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(17.7)</w:t>
            </w:r>
          </w:p>
        </w:tc>
        <w:tc>
          <w:tcPr>
            <w:tcW w:w="96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216"/>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(3.3)</w:t>
            </w:r>
          </w:p>
        </w:tc>
        <w:tc>
          <w:tcPr>
            <w:tcW w:w="96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15.3</w:t>
            </w:r>
          </w:p>
        </w:tc>
        <w:tc>
          <w:tcPr>
            <w:tcW w:w="96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18.2</w:t>
            </w:r>
          </w:p>
        </w:tc>
        <w:tc>
          <w:tcPr>
            <w:tcW w:w="96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17.1</w:t>
            </w:r>
          </w:p>
        </w:tc>
      </w:tr>
      <w:tr>
        <w:trPr>
          <w:trHeight w:val="216"/>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(11.8)</w:t>
            </w:r>
          </w:p>
        </w:tc>
        <w:tc>
          <w:tcPr>
            <w:tcW w:w="96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16"/>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(11.1)</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8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82.8</w:t>
            </w:r>
          </w:p>
        </w:tc>
        <w:tc>
          <w:tcPr>
            <w:tcW w:w="960" w:type="dxa"/>
            <w:vAlign w:val="bottom"/>
          </w:tcPr>
          <w:p>
            <w:pPr>
              <w:jc w:val="right"/>
              <w:spacing w:after="0"/>
              <w:rPr>
                <w:sz w:val="20"/>
                <w:szCs w:val="20"/>
                <w:color w:val="auto"/>
              </w:rPr>
            </w:pPr>
            <w:r>
              <w:rPr>
                <w:rFonts w:ascii="Arial" w:cs="Arial" w:eastAsia="Arial" w:hAnsi="Arial"/>
                <w:sz w:val="13"/>
                <w:szCs w:val="13"/>
                <w:color w:val="auto"/>
              </w:rPr>
              <w:t>73.5</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4.0</w:t>
            </w:r>
          </w:p>
        </w:tc>
        <w:tc>
          <w:tcPr>
            <w:tcW w:w="96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189"/>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(10.5)</w:t>
            </w:r>
          </w:p>
        </w:tc>
        <w:tc>
          <w:tcPr>
            <w:tcW w:w="960" w:type="dxa"/>
            <w:vAlign w:val="bottom"/>
          </w:tcPr>
          <w:p>
            <w:pPr>
              <w:jc w:val="right"/>
              <w:spacing w:after="0"/>
              <w:rPr>
                <w:sz w:val="20"/>
                <w:szCs w:val="20"/>
                <w:color w:val="auto"/>
              </w:rPr>
            </w:pPr>
            <w:r>
              <w:rPr>
                <w:rFonts w:ascii="Arial" w:cs="Arial" w:eastAsia="Arial" w:hAnsi="Arial"/>
                <w:sz w:val="13"/>
                <w:szCs w:val="13"/>
                <w:color w:val="auto"/>
              </w:rPr>
              <w:t>(11.0)</w:t>
            </w:r>
          </w:p>
        </w:tc>
      </w:tr>
      <w:tr>
        <w:trPr>
          <w:trHeight w:val="189"/>
        </w:trPr>
        <w:tc>
          <w:tcPr>
            <w:tcW w:w="1000" w:type="dxa"/>
            <w:vAlign w:val="bottom"/>
          </w:tcPr>
          <w:p>
            <w:pPr>
              <w:jc w:val="right"/>
              <w:ind w:right="557"/>
              <w:spacing w:after="0"/>
              <w:rPr>
                <w:sz w:val="20"/>
                <w:szCs w:val="20"/>
                <w:color w:val="auto"/>
              </w:rPr>
            </w:pPr>
            <w:r>
              <w:rPr>
                <w:rFonts w:ascii="Arial" w:cs="Arial" w:eastAsia="Arial" w:hAnsi="Arial"/>
                <w:sz w:val="13"/>
                <w:szCs w:val="13"/>
                <w:color w:val="auto"/>
                <w:w w:val="87"/>
              </w:rPr>
              <w:t>(128.8)</w:t>
            </w:r>
          </w:p>
        </w:tc>
        <w:tc>
          <w:tcPr>
            <w:tcW w:w="960" w:type="dxa"/>
            <w:vAlign w:val="bottom"/>
          </w:tcPr>
          <w:p>
            <w:pPr>
              <w:jc w:val="right"/>
              <w:spacing w:after="0"/>
              <w:rPr>
                <w:sz w:val="20"/>
                <w:szCs w:val="20"/>
                <w:color w:val="auto"/>
              </w:rPr>
            </w:pPr>
            <w:r>
              <w:rPr>
                <w:rFonts w:ascii="Arial" w:cs="Arial" w:eastAsia="Arial" w:hAnsi="Arial"/>
                <w:sz w:val="13"/>
                <w:szCs w:val="13"/>
                <w:color w:val="auto"/>
              </w:rPr>
              <w:t>(60.1)</w:t>
            </w:r>
          </w:p>
        </w:tc>
      </w:tr>
      <w:tr>
        <w:trPr>
          <w:trHeight w:val="189"/>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(19.1)</w:t>
            </w:r>
          </w:p>
        </w:tc>
        <w:tc>
          <w:tcPr>
            <w:tcW w:w="960" w:type="dxa"/>
            <w:vAlign w:val="bottom"/>
          </w:tcPr>
          <w:p>
            <w:pPr>
              <w:jc w:val="right"/>
              <w:spacing w:after="0"/>
              <w:rPr>
                <w:sz w:val="20"/>
                <w:szCs w:val="20"/>
                <w:color w:val="auto"/>
              </w:rPr>
            </w:pPr>
            <w:r>
              <w:rPr>
                <w:rFonts w:ascii="Arial" w:cs="Arial" w:eastAsia="Arial" w:hAnsi="Arial"/>
                <w:sz w:val="13"/>
                <w:szCs w:val="13"/>
                <w:color w:val="auto"/>
              </w:rPr>
              <w:t>(25.4)</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21.3</w:t>
            </w:r>
          </w:p>
        </w:tc>
        <w:tc>
          <w:tcPr>
            <w:tcW w:w="960" w:type="dxa"/>
            <w:vAlign w:val="bottom"/>
          </w:tcPr>
          <w:p>
            <w:pPr>
              <w:jc w:val="right"/>
              <w:spacing w:after="0"/>
              <w:rPr>
                <w:sz w:val="20"/>
                <w:szCs w:val="20"/>
                <w:color w:val="auto"/>
              </w:rPr>
            </w:pPr>
            <w:r>
              <w:rPr>
                <w:rFonts w:ascii="Arial" w:cs="Arial" w:eastAsia="Arial" w:hAnsi="Arial"/>
                <w:sz w:val="13"/>
                <w:szCs w:val="13"/>
                <w:color w:val="auto"/>
              </w:rPr>
              <w:t>27.7</w:t>
            </w:r>
          </w:p>
        </w:tc>
      </w:tr>
      <w:tr>
        <w:trPr>
          <w:trHeight w:val="216"/>
        </w:trPr>
        <w:tc>
          <w:tcPr>
            <w:tcW w:w="1000" w:type="dxa"/>
            <w:vAlign w:val="bottom"/>
          </w:tcPr>
          <w:p>
            <w:pPr>
              <w:jc w:val="right"/>
              <w:ind w:right="597"/>
              <w:spacing w:after="0"/>
              <w:rPr>
                <w:sz w:val="20"/>
                <w:szCs w:val="20"/>
                <w:color w:val="auto"/>
              </w:rPr>
            </w:pPr>
            <w:r>
              <w:rPr>
                <w:rFonts w:ascii="Arial" w:cs="Arial" w:eastAsia="Arial" w:hAnsi="Arial"/>
                <w:sz w:val="13"/>
                <w:szCs w:val="13"/>
                <w:color w:val="auto"/>
              </w:rPr>
              <w:t>10.5</w:t>
            </w:r>
          </w:p>
        </w:tc>
        <w:tc>
          <w:tcPr>
            <w:tcW w:w="96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03"/>
        </w:trPr>
        <w:tc>
          <w:tcPr>
            <w:tcW w:w="1000" w:type="dxa"/>
            <w:vAlign w:val="bottom"/>
          </w:tcPr>
          <w:p>
            <w:pPr>
              <w:jc w:val="right"/>
              <w:ind w:right="597"/>
              <w:spacing w:after="0"/>
              <w:rPr>
                <w:sz w:val="20"/>
                <w:szCs w:val="20"/>
                <w:color w:val="auto"/>
              </w:rPr>
            </w:pPr>
            <w:r>
              <w:rPr>
                <w:rFonts w:ascii="Arial" w:cs="Arial" w:eastAsia="Arial" w:hAnsi="Arial"/>
                <w:sz w:val="13"/>
                <w:szCs w:val="13"/>
                <w:color w:val="auto"/>
                <w:w w:val="98"/>
              </w:rPr>
              <w:t>266.1</w:t>
            </w:r>
          </w:p>
        </w:tc>
        <w:tc>
          <w:tcPr>
            <w:tcW w:w="960" w:type="dxa"/>
            <w:vAlign w:val="bottom"/>
          </w:tcPr>
          <w:p>
            <w:pPr>
              <w:jc w:val="right"/>
              <w:spacing w:after="0"/>
              <w:rPr>
                <w:sz w:val="20"/>
                <w:szCs w:val="20"/>
                <w:color w:val="auto"/>
              </w:rPr>
            </w:pPr>
            <w:r>
              <w:rPr>
                <w:rFonts w:ascii="Arial" w:cs="Arial" w:eastAsia="Arial" w:hAnsi="Arial"/>
                <w:sz w:val="13"/>
                <w:szCs w:val="13"/>
                <w:color w:val="auto"/>
              </w:rPr>
              <w:t>299.2</w:t>
            </w:r>
          </w:p>
        </w:tc>
      </w:tr>
      <w:tr>
        <w:trPr>
          <w:trHeight w:val="216"/>
        </w:trPr>
        <w:tc>
          <w:tcPr>
            <w:tcW w:w="1000" w:type="dxa"/>
            <w:vAlign w:val="bottom"/>
          </w:tcPr>
          <w:p>
            <w:pPr>
              <w:jc w:val="right"/>
              <w:ind w:right="557"/>
              <w:spacing w:after="0"/>
              <w:rPr>
                <w:sz w:val="20"/>
                <w:szCs w:val="20"/>
                <w:color w:val="auto"/>
              </w:rPr>
            </w:pPr>
            <w:r>
              <w:rPr>
                <w:rFonts w:ascii="Arial" w:cs="Arial" w:eastAsia="Arial" w:hAnsi="Arial"/>
                <w:sz w:val="13"/>
                <w:szCs w:val="13"/>
                <w:color w:val="auto"/>
              </w:rPr>
              <w:t>(1.4)</w:t>
            </w:r>
          </w:p>
        </w:tc>
        <w:tc>
          <w:tcPr>
            <w:tcW w:w="96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203"/>
        </w:trPr>
        <w:tc>
          <w:tcPr>
            <w:tcW w:w="1000" w:type="dxa"/>
            <w:vAlign w:val="bottom"/>
          </w:tcPr>
          <w:p>
            <w:pPr>
              <w:jc w:val="right"/>
              <w:ind w:right="597"/>
              <w:spacing w:after="0"/>
              <w:rPr>
                <w:sz w:val="20"/>
                <w:szCs w:val="20"/>
                <w:color w:val="auto"/>
              </w:rPr>
            </w:pPr>
            <w:r>
              <w:rPr>
                <w:rFonts w:ascii="Arial" w:cs="Arial" w:eastAsia="Arial" w:hAnsi="Arial"/>
                <w:sz w:val="13"/>
                <w:szCs w:val="13"/>
                <w:color w:val="auto"/>
                <w:w w:val="98"/>
              </w:rPr>
              <w:t>264.7</w:t>
            </w:r>
          </w:p>
        </w:tc>
        <w:tc>
          <w:tcPr>
            <w:tcW w:w="960" w:type="dxa"/>
            <w:vAlign w:val="bottom"/>
          </w:tcPr>
          <w:p>
            <w:pPr>
              <w:jc w:val="right"/>
              <w:spacing w:after="0"/>
              <w:rPr>
                <w:sz w:val="20"/>
                <w:szCs w:val="20"/>
                <w:color w:val="auto"/>
              </w:rPr>
            </w:pPr>
            <w:r>
              <w:rPr>
                <w:rFonts w:ascii="Arial" w:cs="Arial" w:eastAsia="Arial" w:hAnsi="Arial"/>
                <w:sz w:val="13"/>
                <w:szCs w:val="13"/>
                <w:color w:val="auto"/>
              </w:rPr>
              <w:t>284.6</w:t>
            </w:r>
          </w:p>
        </w:tc>
      </w:tr>
    </w:tbl>
    <w:p>
      <w:pPr>
        <w:spacing w:after="0" w:line="326" w:lineRule="exact"/>
        <w:rPr>
          <w:sz w:val="20"/>
          <w:szCs w:val="20"/>
          <w:color w:val="auto"/>
        </w:rPr>
      </w:pPr>
    </w:p>
    <w:p>
      <w:pPr>
        <w:sectPr>
          <w:pgSz w:w="11900" w:h="16838" w:orient="portrait"/>
          <w:cols w:equalWidth="0" w:num="2">
            <w:col w:w="8680" w:space="720"/>
            <w:col w:w="202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Capital expenditures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Proceeds from (payments due to) the sale of businesses, net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1"/>
          <w:szCs w:val="11"/>
          <w:color w:val="auto"/>
        </w:rPr>
        <w:t>Net cash used for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1"/>
          <w:szCs w:val="11"/>
          <w:color w:val="auto"/>
        </w:rPr>
        <w:t>Net cash used for investing activities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Net 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20" w:type="dxa"/>
            <w:vAlign w:val="bottom"/>
          </w:tcPr>
          <w:p>
            <w:pPr>
              <w:jc w:val="right"/>
              <w:ind w:right="577"/>
              <w:spacing w:after="0"/>
              <w:rPr>
                <w:sz w:val="20"/>
                <w:szCs w:val="20"/>
                <w:color w:val="auto"/>
              </w:rPr>
            </w:pPr>
            <w:r>
              <w:rPr>
                <w:rFonts w:ascii="Arial" w:cs="Arial" w:eastAsia="Arial" w:hAnsi="Arial"/>
                <w:sz w:val="13"/>
                <w:szCs w:val="13"/>
                <w:color w:val="auto"/>
              </w:rPr>
              <w:t>(44.6)</w:t>
            </w:r>
          </w:p>
        </w:tc>
        <w:tc>
          <w:tcPr>
            <w:tcW w:w="940" w:type="dxa"/>
            <w:vAlign w:val="bottom"/>
          </w:tcPr>
          <w:p>
            <w:pPr>
              <w:jc w:val="right"/>
              <w:spacing w:after="0"/>
              <w:rPr>
                <w:sz w:val="20"/>
                <w:szCs w:val="20"/>
                <w:color w:val="auto"/>
              </w:rPr>
            </w:pPr>
            <w:r>
              <w:rPr>
                <w:rFonts w:ascii="Arial" w:cs="Arial" w:eastAsia="Arial" w:hAnsi="Arial"/>
                <w:sz w:val="13"/>
                <w:szCs w:val="13"/>
                <w:color w:val="auto"/>
              </w:rPr>
              <w:t>(33.8)</w:t>
            </w:r>
          </w:p>
        </w:tc>
      </w:tr>
      <w:tr>
        <w:trPr>
          <w:trHeight w:val="216"/>
        </w:trPr>
        <w:tc>
          <w:tcPr>
            <w:tcW w:w="1020" w:type="dxa"/>
            <w:vAlign w:val="bottom"/>
          </w:tcPr>
          <w:p>
            <w:pPr>
              <w:jc w:val="right"/>
              <w:ind w:right="617"/>
              <w:spacing w:after="0"/>
              <w:rPr>
                <w:sz w:val="20"/>
                <w:szCs w:val="20"/>
                <w:color w:val="auto"/>
              </w:rPr>
            </w:pPr>
            <w:r>
              <w:rPr>
                <w:rFonts w:ascii="Arial" w:cs="Arial" w:eastAsia="Arial" w:hAnsi="Arial"/>
                <w:sz w:val="13"/>
                <w:szCs w:val="13"/>
                <w:color w:val="auto"/>
              </w:rPr>
              <w:t>0.4</w:t>
            </w:r>
          </w:p>
        </w:tc>
        <w:tc>
          <w:tcPr>
            <w:tcW w:w="94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216"/>
        </w:trPr>
        <w:tc>
          <w:tcPr>
            <w:tcW w:w="1020" w:type="dxa"/>
            <w:vAlign w:val="bottom"/>
          </w:tcPr>
          <w:p>
            <w:pPr>
              <w:jc w:val="right"/>
              <w:ind w:right="617"/>
              <w:spacing w:after="0"/>
              <w:rPr>
                <w:sz w:val="20"/>
                <w:szCs w:val="20"/>
                <w:color w:val="auto"/>
              </w:rPr>
            </w:pPr>
            <w:r>
              <w:rPr>
                <w:rFonts w:ascii="Arial" w:cs="Arial" w:eastAsia="Arial" w:hAnsi="Arial"/>
                <w:sz w:val="13"/>
                <w:szCs w:val="13"/>
                <w:color w:val="auto"/>
              </w:rPr>
              <w:t>0.7</w:t>
            </w:r>
          </w:p>
        </w:tc>
        <w:tc>
          <w:tcPr>
            <w:tcW w:w="940" w:type="dxa"/>
            <w:vAlign w:val="bottom"/>
          </w:tcPr>
          <w:p>
            <w:pPr>
              <w:jc w:val="right"/>
              <w:spacing w:after="0"/>
              <w:rPr>
                <w:sz w:val="20"/>
                <w:szCs w:val="20"/>
                <w:color w:val="auto"/>
              </w:rPr>
            </w:pPr>
            <w:r>
              <w:rPr>
                <w:rFonts w:ascii="Arial" w:cs="Arial" w:eastAsia="Arial" w:hAnsi="Arial"/>
                <w:sz w:val="13"/>
                <w:szCs w:val="13"/>
                <w:color w:val="auto"/>
              </w:rPr>
              <w:t>(12.8)</w:t>
            </w:r>
          </w:p>
        </w:tc>
      </w:tr>
      <w:tr>
        <w:trPr>
          <w:trHeight w:val="189"/>
        </w:trPr>
        <w:tc>
          <w:tcPr>
            <w:tcW w:w="1020" w:type="dxa"/>
            <w:vAlign w:val="bottom"/>
          </w:tcPr>
          <w:p>
            <w:pPr>
              <w:jc w:val="right"/>
              <w:ind w:right="577"/>
              <w:spacing w:after="0"/>
              <w:rPr>
                <w:sz w:val="20"/>
                <w:szCs w:val="20"/>
                <w:color w:val="auto"/>
              </w:rPr>
            </w:pPr>
            <w:r>
              <w:rPr>
                <w:rFonts w:ascii="Arial" w:cs="Arial" w:eastAsia="Arial" w:hAnsi="Arial"/>
                <w:sz w:val="13"/>
                <w:szCs w:val="13"/>
                <w:color w:val="auto"/>
                <w:w w:val="87"/>
              </w:rPr>
              <w:t>(284.5)</w:t>
            </w:r>
          </w:p>
        </w:tc>
        <w:tc>
          <w:tcPr>
            <w:tcW w:w="94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216"/>
        </w:trPr>
        <w:tc>
          <w:tcPr>
            <w:tcW w:w="1020" w:type="dxa"/>
            <w:vAlign w:val="bottom"/>
          </w:tcPr>
          <w:p>
            <w:pPr>
              <w:jc w:val="right"/>
              <w:ind w:right="577"/>
              <w:spacing w:after="0"/>
              <w:rPr>
                <w:sz w:val="20"/>
                <w:szCs w:val="20"/>
                <w:color w:val="auto"/>
              </w:rPr>
            </w:pPr>
            <w:r>
              <w:rPr>
                <w:rFonts w:ascii="Arial" w:cs="Arial" w:eastAsia="Arial" w:hAnsi="Arial"/>
                <w:sz w:val="13"/>
                <w:szCs w:val="13"/>
                <w:color w:val="auto"/>
              </w:rPr>
              <w:t>(1.5)</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1020" w:type="dxa"/>
            <w:vAlign w:val="bottom"/>
          </w:tcPr>
          <w:p>
            <w:pPr>
              <w:jc w:val="right"/>
              <w:ind w:right="577"/>
              <w:spacing w:after="0"/>
              <w:rPr>
                <w:sz w:val="20"/>
                <w:szCs w:val="20"/>
                <w:color w:val="auto"/>
              </w:rPr>
            </w:pPr>
            <w:r>
              <w:rPr>
                <w:rFonts w:ascii="Arial" w:cs="Arial" w:eastAsia="Arial" w:hAnsi="Arial"/>
                <w:sz w:val="13"/>
                <w:szCs w:val="13"/>
                <w:color w:val="auto"/>
                <w:w w:val="87"/>
              </w:rPr>
              <w:t>(329.5)</w:t>
            </w:r>
          </w:p>
        </w:tc>
        <w:tc>
          <w:tcPr>
            <w:tcW w:w="940" w:type="dxa"/>
            <w:vAlign w:val="bottom"/>
          </w:tcPr>
          <w:p>
            <w:pPr>
              <w:jc w:val="right"/>
              <w:spacing w:after="0"/>
              <w:rPr>
                <w:sz w:val="20"/>
                <w:szCs w:val="20"/>
                <w:color w:val="auto"/>
              </w:rPr>
            </w:pPr>
            <w:r>
              <w:rPr>
                <w:rFonts w:ascii="Arial" w:cs="Arial" w:eastAsia="Arial" w:hAnsi="Arial"/>
                <w:sz w:val="13"/>
                <w:szCs w:val="13"/>
                <w:color w:val="auto"/>
              </w:rPr>
              <w:t>(47.9)</w:t>
            </w:r>
          </w:p>
        </w:tc>
      </w:tr>
      <w:tr>
        <w:trPr>
          <w:trHeight w:val="216"/>
        </w:trPr>
        <w:tc>
          <w:tcPr>
            <w:tcW w:w="1020" w:type="dxa"/>
            <w:vAlign w:val="bottom"/>
          </w:tcPr>
          <w:p>
            <w:pPr>
              <w:jc w:val="right"/>
              <w:ind w:right="617"/>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03"/>
        </w:trPr>
        <w:tc>
          <w:tcPr>
            <w:tcW w:w="1020" w:type="dxa"/>
            <w:vAlign w:val="bottom"/>
          </w:tcPr>
          <w:p>
            <w:pPr>
              <w:jc w:val="right"/>
              <w:ind w:right="577"/>
              <w:spacing w:after="0"/>
              <w:rPr>
                <w:sz w:val="20"/>
                <w:szCs w:val="20"/>
                <w:color w:val="auto"/>
              </w:rPr>
            </w:pPr>
            <w:r>
              <w:rPr>
                <w:rFonts w:ascii="Arial" w:cs="Arial" w:eastAsia="Arial" w:hAnsi="Arial"/>
                <w:sz w:val="13"/>
                <w:szCs w:val="13"/>
                <w:color w:val="auto"/>
                <w:w w:val="87"/>
              </w:rPr>
              <w:t>(329.5)</w:t>
            </w:r>
          </w:p>
        </w:tc>
        <w:tc>
          <w:tcPr>
            <w:tcW w:w="940" w:type="dxa"/>
            <w:vAlign w:val="bottom"/>
          </w:tcPr>
          <w:p>
            <w:pPr>
              <w:jc w:val="right"/>
              <w:spacing w:after="0"/>
              <w:rPr>
                <w:sz w:val="20"/>
                <w:szCs w:val="20"/>
                <w:color w:val="auto"/>
              </w:rPr>
            </w:pPr>
            <w:r>
              <w:rPr>
                <w:rFonts w:ascii="Arial" w:cs="Arial" w:eastAsia="Arial" w:hAnsi="Arial"/>
                <w:sz w:val="13"/>
                <w:szCs w:val="13"/>
                <w:color w:val="auto"/>
              </w:rPr>
              <w:t>(55.0)</w:t>
            </w:r>
          </w:p>
        </w:tc>
      </w:tr>
    </w:tbl>
    <w:p>
      <w:pPr>
        <w:spacing w:after="0" w:line="299" w:lineRule="exact"/>
        <w:rPr>
          <w:sz w:val="20"/>
          <w:szCs w:val="20"/>
          <w:color w:val="auto"/>
        </w:rPr>
      </w:pPr>
    </w:p>
    <w:p>
      <w:pPr>
        <w:sectPr>
          <w:pgSz w:w="11900" w:h="16838" w:orient="portrait"/>
          <w:cols w:equalWidth="0" w:num="2">
            <w:col w:w="8680" w:space="720"/>
            <w:col w:w="202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5780" w:type="dxa"/>
            <w:vAlign w:val="bottom"/>
          </w:tcPr>
          <w:p>
            <w:pPr>
              <w:ind w:left="40"/>
              <w:spacing w:after="0"/>
              <w:rPr>
                <w:sz w:val="20"/>
                <w:szCs w:val="20"/>
                <w:color w:val="auto"/>
              </w:rPr>
            </w:pPr>
            <w:r>
              <w:rPr>
                <w:rFonts w:ascii="Arial" w:cs="Arial" w:eastAsia="Arial" w:hAnsi="Arial"/>
                <w:sz w:val="13"/>
                <w:szCs w:val="13"/>
                <w:color w:val="auto"/>
              </w:rPr>
              <w:t>Net receipts of commercial paper and revolving long-term debt</w:t>
            </w:r>
          </w:p>
        </w:tc>
        <w:tc>
          <w:tcPr>
            <w:tcW w:w="3080" w:type="dxa"/>
            <w:vAlign w:val="bottom"/>
          </w:tcPr>
          <w:p>
            <w:pPr>
              <w:spacing w:after="0"/>
              <w:rPr>
                <w:sz w:val="16"/>
                <w:szCs w:val="16"/>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91.2</w:t>
            </w:r>
          </w:p>
        </w:tc>
        <w:tc>
          <w:tcPr>
            <w:tcW w:w="640" w:type="dxa"/>
            <w:vAlign w:val="bottom"/>
          </w:tcPr>
          <w:p>
            <w:pPr>
              <w:spacing w:after="0"/>
              <w:rPr>
                <w:sz w:val="16"/>
                <w:szCs w:val="16"/>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46.0</w:t>
            </w:r>
          </w:p>
        </w:tc>
      </w:tr>
      <w:tr>
        <w:trPr>
          <w:trHeight w:val="224"/>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Proceeds from long-term debt</w:t>
            </w:r>
          </w:p>
        </w:tc>
        <w:tc>
          <w:tcPr>
            <w:tcW w:w="3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400.0</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81"/>
        </w:trPr>
        <w:tc>
          <w:tcPr>
            <w:tcW w:w="5780" w:type="dxa"/>
            <w:vAlign w:val="bottom"/>
          </w:tcPr>
          <w:p>
            <w:pPr>
              <w:ind w:left="40"/>
              <w:spacing w:after="0"/>
              <w:rPr>
                <w:sz w:val="20"/>
                <w:szCs w:val="20"/>
                <w:color w:val="auto"/>
              </w:rPr>
            </w:pPr>
            <w:r>
              <w:rPr>
                <w:rFonts w:ascii="Arial" w:cs="Arial" w:eastAsia="Arial" w:hAnsi="Arial"/>
                <w:sz w:val="13"/>
                <w:szCs w:val="13"/>
                <w:color w:val="auto"/>
              </w:rPr>
              <w:t>Repayments of long-term debt</w:t>
            </w:r>
          </w:p>
        </w:tc>
        <w:tc>
          <w:tcPr>
            <w:tcW w:w="3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(151.5)</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(675.1)</w:t>
            </w:r>
          </w:p>
        </w:tc>
      </w:tr>
      <w:tr>
        <w:trPr>
          <w:trHeight w:val="197"/>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Debt issuance costs</w:t>
            </w:r>
          </w:p>
        </w:tc>
        <w:tc>
          <w:tcPr>
            <w:tcW w:w="30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208"/>
        </w:trPr>
        <w:tc>
          <w:tcPr>
            <w:tcW w:w="5780" w:type="dxa"/>
            <w:vAlign w:val="bottom"/>
          </w:tcPr>
          <w:p>
            <w:pPr>
              <w:ind w:left="40"/>
              <w:spacing w:after="0"/>
              <w:rPr>
                <w:sz w:val="20"/>
                <w:szCs w:val="20"/>
                <w:color w:val="auto"/>
              </w:rPr>
            </w:pPr>
            <w:r>
              <w:rPr>
                <w:rFonts w:ascii="Arial" w:cs="Arial" w:eastAsia="Arial" w:hAnsi="Arial"/>
                <w:sz w:val="13"/>
                <w:szCs w:val="13"/>
                <w:color w:val="auto"/>
              </w:rPr>
              <w:t>Premium paid on early extinguishment of debt</w:t>
            </w:r>
          </w:p>
        </w:tc>
        <w:tc>
          <w:tcPr>
            <w:tcW w:w="308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(16.0)</w:t>
            </w:r>
          </w:p>
        </w:tc>
      </w:tr>
      <w:tr>
        <w:trPr>
          <w:trHeight w:val="224"/>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Transfer of cash to nVent</w:t>
            </w:r>
          </w:p>
        </w:tc>
        <w:tc>
          <w:tcPr>
            <w:tcW w:w="3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r>
      <w:tr>
        <w:trPr>
          <w:trHeight w:val="208"/>
        </w:trPr>
        <w:tc>
          <w:tcPr>
            <w:tcW w:w="5780" w:type="dxa"/>
            <w:vAlign w:val="bottom"/>
          </w:tcPr>
          <w:p>
            <w:pPr>
              <w:ind w:left="40"/>
              <w:spacing w:after="0"/>
              <w:rPr>
                <w:sz w:val="20"/>
                <w:szCs w:val="20"/>
                <w:color w:val="auto"/>
              </w:rPr>
            </w:pPr>
            <w:r>
              <w:rPr>
                <w:rFonts w:ascii="Arial" w:cs="Arial" w:eastAsia="Arial" w:hAnsi="Arial"/>
                <w:sz w:val="13"/>
                <w:szCs w:val="13"/>
                <w:color w:val="auto"/>
              </w:rPr>
              <w:t>Distribution of cash from nVent</w:t>
            </w:r>
          </w:p>
        </w:tc>
        <w:tc>
          <w:tcPr>
            <w:tcW w:w="308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8"/>
                <w:szCs w:val="18"/>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993.6</w:t>
            </w:r>
          </w:p>
        </w:tc>
      </w:tr>
      <w:tr>
        <w:trPr>
          <w:trHeight w:val="224"/>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issued to employees, net of shares withheld</w:t>
            </w:r>
          </w:p>
        </w:tc>
        <w:tc>
          <w:tcPr>
            <w:tcW w:w="3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6.8</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w:t>
            </w:r>
          </w:p>
        </w:tc>
      </w:tr>
      <w:tr>
        <w:trPr>
          <w:trHeight w:val="181"/>
        </w:trPr>
        <w:tc>
          <w:tcPr>
            <w:tcW w:w="5780" w:type="dxa"/>
            <w:vAlign w:val="bottom"/>
          </w:tcPr>
          <w:p>
            <w:pPr>
              <w:ind w:left="40"/>
              <w:spacing w:after="0"/>
              <w:rPr>
                <w:sz w:val="20"/>
                <w:szCs w:val="20"/>
                <w:color w:val="auto"/>
              </w:rPr>
            </w:pPr>
            <w:r>
              <w:rPr>
                <w:rFonts w:ascii="Arial" w:cs="Arial" w:eastAsia="Arial" w:hAnsi="Arial"/>
                <w:sz w:val="13"/>
                <w:szCs w:val="13"/>
                <w:color w:val="auto"/>
              </w:rPr>
              <w:t>Repurchases of ordinary shares</w:t>
            </w:r>
          </w:p>
        </w:tc>
        <w:tc>
          <w:tcPr>
            <w:tcW w:w="30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(150.0)</w:t>
            </w:r>
          </w:p>
        </w:tc>
        <w:tc>
          <w:tcPr>
            <w:tcW w:w="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(400.0)</w:t>
            </w:r>
          </w:p>
        </w:tc>
      </w:tr>
      <w:tr>
        <w:trPr>
          <w:trHeight w:val="191"/>
        </w:trPr>
        <w:tc>
          <w:tcPr>
            <w:tcW w:w="5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Dividends paid</w:t>
            </w:r>
          </w:p>
        </w:tc>
        <w:tc>
          <w:tcPr>
            <w:tcW w:w="30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6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w:t>
            </w:r>
          </w:p>
        </w:tc>
      </w:tr>
      <w:tr>
        <w:trPr>
          <w:trHeight w:val="208"/>
        </w:trPr>
        <w:tc>
          <w:tcPr>
            <w:tcW w:w="5780" w:type="dxa"/>
            <w:vAlign w:val="bottom"/>
          </w:tcPr>
          <w:p>
            <w:pPr>
              <w:ind w:left="380"/>
              <w:spacing w:after="0"/>
              <w:rPr>
                <w:sz w:val="20"/>
                <w:szCs w:val="20"/>
                <w:color w:val="auto"/>
              </w:rPr>
            </w:pPr>
            <w:r>
              <w:rPr>
                <w:rFonts w:ascii="Arial" w:cs="Arial" w:eastAsia="Arial" w:hAnsi="Arial"/>
                <w:sz w:val="13"/>
                <w:szCs w:val="13"/>
                <w:color w:val="auto"/>
              </w:rPr>
              <w:t>Net cash provided by (used for) financing activities</w:t>
            </w:r>
          </w:p>
        </w:tc>
        <w:tc>
          <w:tcPr>
            <w:tcW w:w="308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97.8</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(268.4)</w:t>
            </w:r>
          </w:p>
        </w:tc>
      </w:tr>
      <w:tr>
        <w:trPr>
          <w:trHeight w:val="224"/>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Change in cash held for sale</w:t>
            </w:r>
          </w:p>
        </w:tc>
        <w:tc>
          <w:tcPr>
            <w:tcW w:w="30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w:t>
            </w:r>
          </w:p>
        </w:tc>
      </w:tr>
      <w:tr>
        <w:trPr>
          <w:trHeight w:val="210"/>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Effect of exchange rate changes on cash and cash equivalents</w:t>
            </w:r>
          </w:p>
        </w:tc>
        <w:tc>
          <w:tcPr>
            <w:tcW w:w="3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5.9</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r>
      <w:tr>
        <w:trPr>
          <w:trHeight w:val="216"/>
        </w:trPr>
        <w:tc>
          <w:tcPr>
            <w:tcW w:w="5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Change in cash and cash equivalents</w:t>
            </w:r>
          </w:p>
        </w:tc>
        <w:tc>
          <w:tcPr>
            <w:tcW w:w="30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w:t>
            </w: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210"/>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Cash and cash equivalents, beginning of period</w:t>
            </w:r>
          </w:p>
        </w:tc>
        <w:tc>
          <w:tcPr>
            <w:tcW w:w="30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74.3</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86.3</w:t>
            </w:r>
          </w:p>
        </w:tc>
      </w:tr>
      <w:tr>
        <w:trPr>
          <w:trHeight w:val="210"/>
        </w:trPr>
        <w:tc>
          <w:tcPr>
            <w:tcW w:w="5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Cash and cash equivalents, end of period</w:t>
            </w:r>
          </w:p>
        </w:tc>
        <w:tc>
          <w:tcPr>
            <w:tcW w:w="30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113.2</w:t>
            </w:r>
          </w:p>
        </w:tc>
        <w:tc>
          <w:tcPr>
            <w:tcW w:w="64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64.7</w:t>
            </w: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20" w:type="dxa"/>
            <w:vAlign w:val="bottom"/>
          </w:tcPr>
          <w:p>
            <w:pPr>
              <w:spacing w:after="0"/>
              <w:rPr>
                <w:sz w:val="13"/>
                <w:szCs w:val="13"/>
                <w:color w:val="auto"/>
              </w:rPr>
            </w:pPr>
          </w:p>
        </w:tc>
        <w:tc>
          <w:tcPr>
            <w:tcW w:w="1880" w:type="dxa"/>
            <w:vAlign w:val="bottom"/>
            <w:gridSpan w:val="3"/>
          </w:tcPr>
          <w:p>
            <w:pPr>
              <w:jc w:val="right"/>
              <w:ind w:right="408"/>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89"/>
              <w:spacing w:after="0"/>
              <w:rPr>
                <w:sz w:val="20"/>
                <w:szCs w:val="20"/>
                <w:color w:val="auto"/>
              </w:rPr>
            </w:pPr>
            <w:r>
              <w:rPr>
                <w:rFonts w:ascii="Arial" w:cs="Arial" w:eastAsia="Arial" w:hAnsi="Arial"/>
                <w:sz w:val="13"/>
                <w:szCs w:val="13"/>
                <w:b w:val="1"/>
                <w:bCs w:val="1"/>
                <w:color w:val="auto"/>
                <w:w w:val="85"/>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vMerge w:val="restart"/>
          </w:tcPr>
          <w:p>
            <w:pPr>
              <w:jc w:val="right"/>
              <w:ind w:right="4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vMerge w:val="restart"/>
          </w:tcPr>
          <w:p>
            <w:pPr>
              <w:jc w:val="center"/>
              <w:ind w:right="89"/>
              <w:spacing w:after="0" w:line="117"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Retained earnings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1"/>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1,893.8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1,836.1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51.3</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5.4</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2019</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171.9</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1,905.1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189.5</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(225.9)</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1,870.4</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114.3</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2019</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168.0</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1,761.7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273.4</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(230.2)</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1,806.6</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92.3</w:t>
            </w: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$0.18 per share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4.6</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September 30, 2019</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168.1</w:t>
            </w: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1,765.9</w:t>
            </w: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335.3</w:t>
            </w:r>
          </w:p>
        </w:tc>
        <w:tc>
          <w:tcPr>
            <w:tcW w:w="20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3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1,868.8</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20" w:type="dxa"/>
            <w:vAlign w:val="bottom"/>
          </w:tcPr>
          <w:p>
            <w:pPr>
              <w:spacing w:after="0"/>
              <w:rPr>
                <w:sz w:val="13"/>
                <w:szCs w:val="13"/>
                <w:color w:val="auto"/>
              </w:rPr>
            </w:pPr>
          </w:p>
        </w:tc>
        <w:tc>
          <w:tcPr>
            <w:tcW w:w="2000" w:type="dxa"/>
            <w:vAlign w:val="bottom"/>
            <w:gridSpan w:val="4"/>
          </w:tcPr>
          <w:p>
            <w:pPr>
              <w:ind w:left="520"/>
              <w:spacing w:after="0"/>
              <w:rPr>
                <w:sz w:val="20"/>
                <w:szCs w:val="20"/>
                <w:color w:val="auto"/>
              </w:rPr>
            </w:pPr>
            <w:r>
              <w:rPr>
                <w:rFonts w:ascii="Arial" w:cs="Arial" w:eastAsia="Arial" w:hAnsi="Arial"/>
                <w:sz w:val="13"/>
                <w:szCs w:val="13"/>
                <w:b w:val="1"/>
                <w:bCs w:val="1"/>
                <w:color w:val="auto"/>
              </w:rPr>
              <w:t>Ordinary shares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89"/>
              <w:spacing w:after="0"/>
              <w:rPr>
                <w:sz w:val="20"/>
                <w:szCs w:val="20"/>
                <w:color w:val="auto"/>
              </w:rPr>
            </w:pPr>
            <w:r>
              <w:rPr>
                <w:rFonts w:ascii="Arial" w:cs="Arial" w:eastAsia="Arial" w:hAnsi="Arial"/>
                <w:sz w:val="13"/>
                <w:szCs w:val="13"/>
                <w:b w:val="1"/>
                <w:bCs w:val="1"/>
                <w:color w:val="auto"/>
                <w:w w:val="85"/>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1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restart"/>
          </w:tcPr>
          <w:p>
            <w:pPr>
              <w:jc w:val="right"/>
              <w:ind w:right="4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vMerge w:val="restart"/>
          </w:tcPr>
          <w:p>
            <w:pPr>
              <w:jc w:val="center"/>
              <w:ind w:right="89"/>
              <w:spacing w:after="0" w:line="117" w:lineRule="exact"/>
              <w:rPr>
                <w:sz w:val="20"/>
                <w:szCs w:val="20"/>
                <w:color w:val="auto"/>
              </w:rPr>
            </w:pPr>
            <w:r>
              <w:rPr>
                <w:rFonts w:ascii="Arial" w:cs="Arial" w:eastAsia="Arial" w:hAnsi="Arial"/>
                <w:sz w:val="13"/>
                <w:szCs w:val="13"/>
                <w:b w:val="1"/>
                <w:bCs w:val="1"/>
                <w:color w:val="auto"/>
                <w:w w:val="92"/>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1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5"/>
              </w:rPr>
              <w:t>Retained earnings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1"/>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180.3</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2,797.7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2,481.7</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102.9</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$0.35 per share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178.4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2,654.7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2,308.0</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(244.8)</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4,719.7</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41.5</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74.8</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Distribution to nVent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(438.2)</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(2,290.7)</w:t>
            </w:r>
          </w:p>
        </w:tc>
        <w:tc>
          <w:tcPr>
            <w:tcW w:w="20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(47.9)</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(2,776.8)</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$0.175 per share</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87"/>
        </w:trPr>
        <w:tc>
          <w:tcPr>
            <w:tcW w:w="4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June 30, 2018</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175.4</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2,077.1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(217.9)</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1,888.9</w:t>
            </w:r>
          </w:p>
        </w:tc>
        <w:tc>
          <w:tcPr>
            <w:tcW w:w="0" w:type="dxa"/>
            <w:vAlign w:val="bottom"/>
          </w:tcPr>
          <w:p>
            <w:pPr>
              <w:spacing w:after="0"/>
              <w:rPr>
                <w:sz w:val="1"/>
                <w:szCs w:val="1"/>
                <w:color w:val="auto"/>
              </w:rPr>
            </w:pPr>
          </w:p>
        </w:tc>
      </w:tr>
      <w:tr>
        <w:trPr>
          <w:trHeight w:val="74"/>
        </w:trPr>
        <w:tc>
          <w:tcPr>
            <w:tcW w:w="4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110.1</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Dividends declared, $0.175 per share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(30.5)</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0.4</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10.7</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87"/>
        </w:trPr>
        <w:tc>
          <w:tcPr>
            <w:tcW w:w="412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gridSpan w:val="2"/>
            <w:vMerge w:val="continue"/>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00" w:type="dxa"/>
            <w:vAlign w:val="bottom"/>
            <w:tcBorders>
              <w:bottom w:val="single" w:sz="8" w:color="auto"/>
            </w:tcBorders>
            <w:vMerge w:val="continue"/>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Balance - September 30, 2018</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173.6</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1,991.9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107.5</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(221.0)</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1,880.2</w:t>
            </w:r>
          </w:p>
        </w:tc>
        <w:tc>
          <w:tcPr>
            <w:tcW w:w="0" w:type="dxa"/>
            <w:vAlign w:val="bottom"/>
          </w:tcPr>
          <w:p>
            <w:pPr>
              <w:spacing w:after="0"/>
              <w:rPr>
                <w:sz w:val="1"/>
                <w:szCs w:val="1"/>
                <w:color w:val="auto"/>
              </w:rPr>
            </w:pPr>
          </w:p>
        </w:tc>
      </w:tr>
      <w:tr>
        <w:trPr>
          <w:trHeight w:val="87"/>
        </w:trPr>
        <w:tc>
          <w:tcPr>
            <w:tcW w:w="4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2018.</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1, 2019, we adopted ASU No. 2016-02, “Leases” (“the new lease standard” or “ASC 842”) using the transition method of adoption. Under the transition method of adoption, comparative information has not been restated and continues to be reported under the standards in effect for those periods. In addition, we elected the package of practical expedients permitted under the transition guidance within the new standard, which among other things, allowed us to carry forward the historical lease classification. We also elected the practical expedient to not separate non-lease components from the lease components to which they relate, and instead account for each separate lease and non-lease component associated with that lease component as a single lease component for all underlying asset classes. Accordingly, all costs associated with a lease contract are accounted for as one lease cost.</w:t>
      </w:r>
    </w:p>
    <w:p>
      <w:pPr>
        <w:spacing w:after="0" w:line="1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impact of adopting the new standard primarily relates to the recognition of a lease right-of-use (“ROU”) asset and current and non-current lease liability on the consolidated balance sheet. ROU assets represent our right to use an underlying asset for the lease term and lease liabilities represent our obligation to make lease payments arising from the lease.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as determined at commencement date in determining the present value of lease payments. The ROU asset also excludes any accrued lease payments and unamortized lease incentives.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As of September 30, 2019, $80.0 million was included in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$19.8 million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$63.0 million in </w:t>
      </w:r>
      <w:r>
        <w:rPr>
          <w:rFonts w:ascii="Arial" w:cs="Arial" w:eastAsia="Arial" w:hAnsi="Arial"/>
          <w:sz w:val="18"/>
          <w:szCs w:val="18"/>
          <w:i w:val="1"/>
          <w:iCs w:val="1"/>
          <w:color w:val="auto"/>
        </w:rPr>
        <w:t>Other non-current liabilities</w:t>
      </w:r>
      <w:r>
        <w:rPr>
          <w:rFonts w:ascii="Arial" w:cs="Arial" w:eastAsia="Arial" w:hAnsi="Arial"/>
          <w:sz w:val="18"/>
          <w:szCs w:val="18"/>
          <w:color w:val="auto"/>
        </w:rPr>
        <w:t>, on the Condensed Consolidated Balance Sheets as a result of the new lease standard. There was no impact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and Comprehensive Income or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15 for further discussion.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We disaggregate our revenue from contracts with customers by segment, geographic location and vertical, as we believe these best depict how the nature, amount, timing and uncertainty of our revenue and cash flows are affected by economic factors. Refer to Note 14 for revenue disaggregated by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4"/>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30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Western Europe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309.0</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311.2</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346.0</w:t>
            </w:r>
          </w:p>
        </w:tc>
      </w:tr>
      <w:tr>
        <w:trPr>
          <w:trHeight w:val="270"/>
        </w:trPr>
        <w:tc>
          <w:tcPr>
            <w:tcW w:w="492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172.3</w:t>
            </w: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Vertical net sales information was as follows: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7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4"/>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4"/>
                <w:szCs w:val="24"/>
                <w:color w:val="auto"/>
              </w:rPr>
            </w:pPr>
          </w:p>
        </w:tc>
        <w:tc>
          <w:tcPr>
            <w:tcW w:w="302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154.3</w:t>
            </w:r>
          </w:p>
        </w:tc>
        <w:tc>
          <w:tcPr>
            <w:tcW w:w="2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475.7</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475.4</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r>
      <w:tr>
        <w:trPr>
          <w:trHeight w:val="237"/>
        </w:trPr>
        <w:tc>
          <w:tcPr>
            <w:tcW w:w="4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711.4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2,224.6</w:t>
            </w:r>
          </w:p>
        </w:tc>
      </w:tr>
      <w:tr>
        <w:trPr>
          <w:trHeight w:val="27"/>
        </w:trPr>
        <w:tc>
          <w:tcPr>
            <w:tcW w:w="4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jc w:val="both"/>
        <w:ind w:right="100"/>
        <w:spacing w:after="0" w:line="290" w:lineRule="auto"/>
        <w:rPr>
          <w:sz w:val="20"/>
          <w:szCs w:val="20"/>
          <w:color w:val="auto"/>
        </w:rPr>
      </w:pPr>
      <w:r>
        <w:rPr>
          <w:rFonts w:ascii="Arial" w:cs="Arial" w:eastAsia="Arial" w:hAnsi="Arial"/>
          <w:sz w:val="17"/>
          <w:szCs w:val="17"/>
          <w:color w:val="auto"/>
        </w:rPr>
        <w:t>On September 30, 2019, we had $62.8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0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44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3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3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$0.8 million decrease in net contract assets from December 31, 2018 to September 30, 2019 was primarily the result of timing of milestone payments. Approximately 80% of our contract liabilities at December 31, 2018 were recognized in revenue in the first nine months of 2019. There were no impairment losses recognized on our contract assets for the three months or nine months ended September 30,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61" w:lineRule="exact"/>
        <w:rPr>
          <w:sz w:val="20"/>
          <w:szCs w:val="20"/>
          <w:color w:val="auto"/>
        </w:rPr>
      </w:pPr>
    </w:p>
    <w:p>
      <w:pPr>
        <w:ind w:right="7380" w:firstLine="8"/>
        <w:spacing w:after="0" w:line="269" w:lineRule="auto"/>
        <w:tabs>
          <w:tab w:leader="none" w:pos="783"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Discontinued Operations </w:t>
      </w:r>
      <w:r>
        <w:rPr>
          <w:rFonts w:ascii="Arial" w:cs="Arial" w:eastAsia="Arial" w:hAnsi="Arial"/>
          <w:sz w:val="18"/>
          <w:szCs w:val="18"/>
          <w:b w:val="1"/>
          <w:bCs w:val="1"/>
          <w:i w:val="1"/>
          <w:iCs w:val="1"/>
          <w:color w:val="auto"/>
        </w:rPr>
        <w:t>Acquisitions</w:t>
      </w:r>
    </w:p>
    <w:p>
      <w:pPr>
        <w:ind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In February 2019, as part of Filtration Solutions, we completed the acquisitions of Aquion, Inc. (“Aquion”) and Pelican Water Systems (“Pelican”) for $163.4 million and $121.1 million, respectively, in cash, net of cash acquired.</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Aquion, the excess of purchase price over tangible net assets and identified intangible assets acquired has been preliminarily allocated to goodwill in the amount of $94.5 million, $4.6 million of which is expected to be deductible for income tax purposes. Identifiable intangible assets acquired as part of the Aquion acquisition include $15.7 million of indefinite-lived trade name intangible assets and $78.8 million of definite-lived customer relationships with an estimated useful life of 15 years.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Pelican, the excess purchase price over tangible net assets acquired has been preliminarily allocated to goodwill in the amount of $121.0 million, $7.6 million of which is expected to be deductible for income tax purposes.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preliminary purchase price allocation for these acquisitions is subject to further refinement and may require significant adjustments to arrive at the final purchase price allocation. These changes will primarily relate to impacts associated with income taxes and other accruals.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proforma impact of these acquisitions is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Discontinued Operation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Electrical Separation</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On April 30, 2018, we completed the separation of our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The results of the Electrical business have been presented as discontinued operations. The Electrical business had been previously disclosed as a stand-alone reporting segment. Separation costs related to the Separation and Distribution were $2.5 million and $82.4 million for the three and nine months ended September 30, 2018, respectively. These costs are reported in discontinued operations as they represent a cost directly related to the Separation and Distribution and are included within </w:t>
      </w:r>
      <w:r>
        <w:rPr>
          <w:rFonts w:ascii="Arial" w:cs="Arial" w:eastAsia="Arial" w:hAnsi="Arial"/>
          <w:sz w:val="18"/>
          <w:szCs w:val="18"/>
          <w:i w:val="1"/>
          <w:iCs w:val="1"/>
          <w:color w:val="auto"/>
        </w:rPr>
        <w:t>Income (loss) from discontinued operations, net of tax</w:t>
      </w:r>
      <w:r>
        <w:rPr>
          <w:rFonts w:ascii="Arial" w:cs="Arial" w:eastAsia="Arial" w:hAnsi="Arial"/>
          <w:sz w:val="18"/>
          <w:szCs w:val="18"/>
          <w:color w:val="auto"/>
        </w:rPr>
        <w:t xml:space="preserve">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w w:val="97"/>
              </w:rPr>
              <w:t>Operating results of the discontinued operation is summarized below:</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424.0</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233.5</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67"/>
        </w:trPr>
        <w:tc>
          <w:tcPr>
            <w:tcW w:w="5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nine months ended September 30, 2019 and 2018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Of the total share-based compensation expense noted above, $3.4 million was reported as part of </w:t>
      </w:r>
      <w:r>
        <w:rPr>
          <w:rFonts w:ascii="Arial" w:cs="Arial" w:eastAsia="Arial" w:hAnsi="Arial"/>
          <w:sz w:val="18"/>
          <w:szCs w:val="18"/>
          <w:i w:val="1"/>
          <w:iCs w:val="1"/>
          <w:color w:val="auto"/>
        </w:rPr>
        <w:t>Income (loss) from discontinued operations, net of tax</w:t>
      </w:r>
      <w:r>
        <w:rPr>
          <w:rFonts w:ascii="Arial" w:cs="Arial" w:eastAsia="Arial" w:hAnsi="Arial"/>
          <w:sz w:val="18"/>
          <w:szCs w:val="18"/>
          <w:color w:val="auto"/>
        </w:rPr>
        <w:t xml:space="preserve"> for the nine months ended September 30, 2018.</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first quarter of 2019, we issued our annual share-based compensation grants under the Pentair plc 2012 Stock and Incentive Plan to eligible employees. The total number of awards issued was approximately 0.8 million, of which 0.3 million were restricted stock units (“RSUs”), 0.4 million were stock options and 0.1 million were performance share units (“PSUs”). The weighted-average grant date fair value of the RSUs, stock options and PSUs issued was $40.84, $8.84, and $38.47,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6.1</w:t>
            </w:r>
          </w:p>
        </w:tc>
      </w:tr>
    </w:tbl>
    <w:p>
      <w:pPr>
        <w:spacing w:after="0" w:line="200" w:lineRule="exact"/>
        <w:rPr>
          <w:sz w:val="20"/>
          <w:szCs w:val="20"/>
          <w:color w:val="auto"/>
        </w:rPr>
      </w:pPr>
    </w:p>
    <w:p>
      <w:pPr>
        <w:spacing w:after="0" w:line="24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During the nine months ended September 30, 2019 and the year ended December 31, 2018, we initiated and continued execution of certain business restructuring initiatives aimed at reducing our fixed cost structure and realigning our business. Initiatives during the nine months ended September 30, 2019 and the year ended December 31, 2018 included the reduction in hourly and salaried headcount of approximately 325 employees and 300 employees,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Restructuring-related costs included in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nine months ended September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7"/>
        </w:trPr>
        <w:tc>
          <w:tcPr>
            <w:tcW w:w="53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574"/>
        </w:trPr>
        <w:tc>
          <w:tcPr>
            <w:tcW w:w="620" w:type="dxa"/>
            <w:vAlign w:val="bottom"/>
          </w:tcPr>
          <w:p>
            <w:pPr>
              <w:spacing w:after="0"/>
              <w:rPr>
                <w:sz w:val="20"/>
                <w:szCs w:val="20"/>
                <w:color w:val="auto"/>
              </w:rPr>
            </w:pPr>
            <w:r>
              <w:rPr>
                <w:rFonts w:ascii="Arial" w:cs="Arial" w:eastAsia="Arial" w:hAnsi="Arial"/>
                <w:sz w:val="18"/>
                <w:szCs w:val="18"/>
                <w:b w:val="1"/>
                <w:bCs w:val="1"/>
                <w:color w:val="auto"/>
              </w:rPr>
              <w:t>6.</w:t>
            </w:r>
          </w:p>
        </w:tc>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540"/>
        </w:trPr>
        <w:tc>
          <w:tcPr>
            <w:tcW w:w="6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227.5</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Dilutive impact of stock options, restricted stock units and performance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62"/>
        </w:trPr>
        <w:tc>
          <w:tcPr>
            <w:tcW w:w="53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share units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Diluted</w:t>
            </w:r>
          </w:p>
        </w:tc>
        <w:tc>
          <w:tcPr>
            <w:tcW w:w="47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170.3</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178.5</w:t>
            </w:r>
          </w:p>
        </w:tc>
      </w:tr>
      <w:tr>
        <w:trPr>
          <w:trHeight w:val="67"/>
        </w:trPr>
        <w:tc>
          <w:tcPr>
            <w:tcW w:w="538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4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620" w:type="dxa"/>
            <w:vAlign w:val="bottom"/>
            <w:tcBorders>
              <w:top w:val="single" w:sz="8" w:color="auto"/>
              <w:bottom w:val="single" w:sz="8" w:color="auto"/>
            </w:tcBorders>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1"/>
              </w:rPr>
              <w:t>Diluted</w:t>
            </w: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5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0.15</w:t>
            </w:r>
          </w:p>
        </w:tc>
      </w:tr>
      <w:tr>
        <w:trPr>
          <w:trHeight w:val="27"/>
        </w:trPr>
        <w:tc>
          <w:tcPr>
            <w:tcW w:w="5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0"/>
        </w:trPr>
        <w:tc>
          <w:tcPr>
            <w:tcW w:w="53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538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3"/>
              </w:rPr>
              <w:t>Anti-dilutive stock options excluded from the calculation of diluted</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5380" w:type="dxa"/>
            <w:vAlign w:val="bottom"/>
            <w:gridSpan w:val="2"/>
          </w:tcPr>
          <w:p>
            <w:pPr>
              <w:ind w:left="20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September 30,</w:t>
            </w:r>
          </w:p>
        </w:tc>
        <w:tc>
          <w:tcPr>
            <w:tcW w:w="240" w:type="dxa"/>
            <w:vAlign w:val="bottom"/>
          </w:tcPr>
          <w:p>
            <w:pPr>
              <w:spacing w:after="0"/>
              <w:rPr>
                <w:sz w:val="17"/>
                <w:szCs w:val="17"/>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86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Inventories</w:t>
            </w:r>
          </w:p>
        </w:tc>
        <w:tc>
          <w:tcPr>
            <w:tcW w:w="28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Raw materials and supplies</w:t>
            </w:r>
          </w:p>
        </w:tc>
        <w:tc>
          <w:tcPr>
            <w:tcW w:w="2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198.0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191.3</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Work-in-process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128.9</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132.2</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assets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in excess of billings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42.7</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income taxes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assets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land improvements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Buildings and leasehold improvements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186.4</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178.9</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608.7</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40.1</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868.3</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841.9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Accumulated depreciation and amortization</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590.4</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569.3</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272.6</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assets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Right-of-use lease assets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26.2</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assets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71.2</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98.4</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assets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current liabilities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Accrued warranty</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33.9</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rebates and incentives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76.9</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Billings in excess of cost</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21.3</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lease liability</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restructuring</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128.0</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current liabilities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Other non-current liabilities</w:t>
            </w:r>
          </w:p>
        </w:tc>
        <w:tc>
          <w:tcPr>
            <w:tcW w:w="2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lease liability</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45.8</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Self-insurance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Deferred compensation plan liabilities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5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contract liabilities</w:t>
            </w:r>
          </w:p>
        </w:tc>
        <w:tc>
          <w:tcPr>
            <w:tcW w:w="28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24"/>
        </w:trPr>
        <w:tc>
          <w:tcPr>
            <w:tcW w:w="554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28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55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non-current liabilities</w:t>
            </w:r>
          </w:p>
        </w:tc>
        <w:tc>
          <w:tcPr>
            <w:tcW w:w="2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199.2</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60"/>
          </w:cols>
          <w:pgMar w:left="240" w:top="122" w:right="29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Foreign currency</w:t>
            </w:r>
          </w:p>
        </w:tc>
        <w:tc>
          <w:tcPr>
            <w:tcW w:w="24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September 30,</w:t>
            </w:r>
          </w:p>
        </w:tc>
      </w:tr>
      <w:tr>
        <w:trPr>
          <w:trHeight w:val="234"/>
        </w:trPr>
        <w:tc>
          <w:tcPr>
            <w:tcW w:w="2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56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Acquisitions</w:t>
            </w:r>
          </w:p>
        </w:tc>
        <w:tc>
          <w:tcPr>
            <w:tcW w:w="200" w:type="dxa"/>
            <w:vAlign w:val="bottom"/>
          </w:tcPr>
          <w:p>
            <w:pPr>
              <w:spacing w:after="0"/>
              <w:rPr>
                <w:sz w:val="20"/>
                <w:szCs w:val="20"/>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translation/other</w:t>
            </w:r>
          </w:p>
        </w:tc>
        <w:tc>
          <w:tcPr>
            <w:tcW w:w="240" w:type="dxa"/>
            <w:vAlign w:val="bottom"/>
          </w:tcPr>
          <w:p>
            <w:pPr>
              <w:spacing w:after="0"/>
              <w:rPr>
                <w:sz w:val="20"/>
                <w:szCs w:val="20"/>
                <w:color w:val="auto"/>
              </w:rPr>
            </w:pPr>
          </w:p>
        </w:tc>
        <w:tc>
          <w:tcPr>
            <w:tcW w:w="16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5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643.5</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839.2</w:t>
            </w:r>
          </w:p>
        </w:tc>
      </w:tr>
      <w:tr>
        <w:trPr>
          <w:trHeight w:val="27"/>
        </w:trPr>
        <w:tc>
          <w:tcPr>
            <w:tcW w:w="28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5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456.9</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2,261.0</w:t>
            </w:r>
          </w:p>
        </w:tc>
      </w:tr>
      <w:tr>
        <w:trPr>
          <w:trHeight w:val="27"/>
        </w:trPr>
        <w:tc>
          <w:tcPr>
            <w:tcW w:w="28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415.9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(260.8)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(247.9)</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99.2</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(68.4)</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341.4</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Identifiable intangible asset amortization expense was $7.6 million and $8.6 million for the three months ended September 30, 2019 and 2018, respectively, and $24.1 million and $27.0 million for the nine months ended September 30, 2019 and 2018,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2019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r>
      <w:tr>
        <w:trPr>
          <w:trHeight w:val="27"/>
        </w:trPr>
        <w:tc>
          <w:tcPr>
            <w:tcW w:w="3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r>
      <w:tr>
        <w:trPr>
          <w:trHeight w:val="851"/>
        </w:trPr>
        <w:tc>
          <w:tcPr>
            <w:tcW w:w="3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3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of September 30, 2019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3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2.575%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88"/>
              </w:rPr>
              <w:t>3.116%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2.650%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 Euro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2.450%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155.1</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3.625%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5.000%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103.8</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3.150%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4.650%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3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fixed rate (1)</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4.500%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2029</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and PISG.</w:t>
      </w: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June 2019, Pentair, Pentair Finance S.à r.l. (“PFSA”) and Pentair Investments Switzerland GmbH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PFSA has the option to request an increase to the Senior Credit Facility up to $1,100.0 million in the aggregate, subject to customary conditions, including the commitment of participating lenders. In May 2019, PFSA executed an increase of the Senior Credit Facility by $100.0 million for a total commitment up to $900.0 million in the aggregate. As of September 30, 2019, total availability under the Senior Credit Facility was $706.7 million.</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$189.7 million of commercial paper outstanding as of September 30,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September 30, 2019. Borrowings under these credit facilities bear interest at variable rates.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$324.0 million aggregate principal amount of fixed rate senior notes maturing in the next twelve months. We classified this debt as long-term as of September 30, 2019 as we have the intent and ability to refinance such obligation on a long-term basis under the Senior Credit Facility.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September 30, 2019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Q4</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76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3"/>
                <w:szCs w:val="23"/>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3"/>
                <w:szCs w:val="23"/>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3"/>
                <w:szCs w:val="23"/>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2024</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2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r>
      <w:tr>
        <w:trPr>
          <w:trHeight w:val="34"/>
        </w:trPr>
        <w:tc>
          <w:tcPr>
            <w:tcW w:w="3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Contractual debt obligation maturities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1,128.7</w:t>
            </w:r>
          </w:p>
        </w:tc>
      </w:tr>
      <w:tr>
        <w:trPr>
          <w:trHeight w:val="27"/>
        </w:trPr>
        <w:tc>
          <w:tcPr>
            <w:tcW w:w="3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ind w:right="7800" w:firstLine="8"/>
        <w:spacing w:after="0" w:line="276" w:lineRule="auto"/>
        <w:tabs>
          <w:tab w:leader="none" w:pos="64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1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September 30, 2019 and December 31, 2018, we had outstanding foreign currency derivative contracts with gross notional U.S. dollar equivalent amounts of $41.5 million and $47.6 million, respectively. The impact of these contracts on the Condensed Consolidated Statements of Operations and Comprehensive Income was not material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Currency Swaps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At September 30, 2019 and December 31, 2018, we had outstanding cross currency swap agreements with a combined notional amount of $601.9 million and $283.8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gains of $3.8 million at September 30, 2019 and deferred foreign currency losses of $14.5 million at December 31, 2018,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associated with our cross currency swap activity.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3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420" w:right="740" w:hanging="773"/>
        <w:spacing w:after="0" w:line="342" w:lineRule="auto"/>
        <w:tabs>
          <w:tab w:leader="none" w:pos="14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360" w:hanging="330"/>
        <w:spacing w:after="0" w:line="277" w:lineRule="auto"/>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short-term financial instruments (cash and cash equivalents, accounts and notes receivable, accounts and notes payable and variable-rate debt)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amount approximates fair value because of the short maturity period;</w:t>
      </w:r>
    </w:p>
    <w:p>
      <w:pPr>
        <w:spacing w:after="0" w:line="116" w:lineRule="exact"/>
        <w:rPr>
          <w:rFonts w:ascii="Arial" w:cs="Arial" w:eastAsia="Arial" w:hAnsi="Arial"/>
          <w:sz w:val="18"/>
          <w:szCs w:val="18"/>
          <w:i w:val="1"/>
          <w:iCs w:val="1"/>
          <w:color w:val="auto"/>
        </w:rPr>
      </w:pPr>
    </w:p>
    <w:p>
      <w:pPr>
        <w:ind w:left="500" w:right="100" w:hanging="330"/>
        <w:spacing w:after="0" w:line="277"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long-term fixed-rate debt, including current maturities </w:t>
      </w:r>
      <w:r>
        <w:rPr>
          <w:rFonts w:ascii="Arial" w:cs="Arial" w:eastAsia="Arial" w:hAnsi="Arial"/>
          <w:sz w:val="18"/>
          <w:szCs w:val="18"/>
          <w:color w:val="auto"/>
        </w:rPr>
        <w:t>— fair value is based on market quotes available for issuance of debt with similar terms,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500" w:right="60" w:hanging="330"/>
        <w:spacing w:after="0" w:line="264" w:lineRule="auto"/>
        <w:tabs>
          <w:tab w:leader="none" w:pos="5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foreign currency contract agreements </w:t>
      </w:r>
      <w:r>
        <w:rPr>
          <w:rFonts w:ascii="Arial" w:cs="Arial" w:eastAsia="Arial" w:hAnsi="Arial"/>
          <w:sz w:val="18"/>
          <w:szCs w:val="18"/>
          <w:color w:val="auto"/>
        </w:rPr>
        <w:t>— fair values are determined through the use of models that consider various assumptions, including time value,</w:t>
      </w:r>
      <w:r>
        <w:rPr>
          <w:rFonts w:ascii="Arial" w:cs="Arial" w:eastAsia="Arial" w:hAnsi="Arial"/>
          <w:sz w:val="18"/>
          <w:szCs w:val="18"/>
          <w:i w:val="1"/>
          <w:iCs w:val="1"/>
          <w:color w:val="auto"/>
        </w:rPr>
        <w:t xml:space="preserve"> </w:t>
      </w:r>
      <w:r>
        <w:rPr>
          <w:rFonts w:ascii="Arial" w:cs="Arial" w:eastAsia="Arial" w:hAnsi="Arial"/>
          <w:sz w:val="18"/>
          <w:szCs w:val="18"/>
          <w:color w:val="auto"/>
        </w:rPr>
        <w:t>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220" w:hanging="330"/>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deferred compensation plan assets (mutual funds, common/collective trusts and cash equivalents for payment of certain non-qualified benefits for retired, terminated and active employees) </w:t>
      </w:r>
      <w:r>
        <w:rPr>
          <w:rFonts w:ascii="Arial" w:cs="Arial" w:eastAsia="Arial" w:hAnsi="Arial"/>
          <w:sz w:val="16"/>
          <w:szCs w:val="16"/>
          <w:color w:val="auto"/>
        </w:rPr>
        <w:t>— fair value of mutual funds and cash equivalents are based on quoted market prices in active markets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classified as Level 1 in the valuation hierarchy defined by the accounting guidance; fair value of common/collective trusts are valued at net asset value (“NAV”), which is based on the fair value of the underlying securities owned by the fund and divided by the number of shares outstanding.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ind w:left="5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23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4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20" w:type="dxa"/>
            <w:vAlign w:val="bottom"/>
          </w:tcPr>
          <w:p>
            <w:pPr>
              <w:ind w:left="60"/>
              <w:spacing w:after="0"/>
              <w:rPr>
                <w:sz w:val="20"/>
                <w:szCs w:val="20"/>
                <w:color w:val="auto"/>
              </w:rPr>
            </w:pPr>
            <w:r>
              <w:rPr>
                <w:rFonts w:ascii="Arial" w:cs="Arial" w:eastAsia="Arial" w:hAnsi="Arial"/>
                <w:sz w:val="18"/>
                <w:szCs w:val="18"/>
                <w:b w:val="1"/>
                <w:bCs w:val="1"/>
                <w:color w:val="auto"/>
              </w:rPr>
              <w:t>Recorded</w:t>
            </w:r>
          </w:p>
        </w:tc>
        <w:tc>
          <w:tcPr>
            <w:tcW w:w="3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102.2</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935.4</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ind w:left="560"/>
              <w:spacing w:after="0"/>
              <w:rPr>
                <w:sz w:val="20"/>
                <w:szCs w:val="20"/>
                <w:color w:val="auto"/>
              </w:rPr>
            </w:pPr>
            <w:r>
              <w:rPr>
                <w:rFonts w:ascii="Arial" w:cs="Arial" w:eastAsia="Arial" w:hAnsi="Arial"/>
                <w:sz w:val="18"/>
                <w:szCs w:val="18"/>
                <w:color w:val="auto"/>
                <w:w w:val="97"/>
              </w:rPr>
              <w:t>690.5</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691.8</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7"/>
              </w:rPr>
              <w:t>792.7</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September 30, 2019</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Foreign currency contract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5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88"/>
              </w:rPr>
              <w:t>December 31, 2018</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Level 3</w:t>
            </w:r>
          </w:p>
        </w:tc>
        <w:tc>
          <w:tcPr>
            <w:tcW w:w="3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NAV</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4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1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37"/>
        </w:trPr>
        <w:tc>
          <w:tcPr>
            <w:tcW w:w="4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1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31"/>
        </w:trPr>
        <w:tc>
          <w:tcPr>
            <w:tcW w:w="4260" w:type="dxa"/>
            <w:vAlign w:val="bottom"/>
          </w:tcPr>
          <w:p>
            <w:pPr>
              <w:spacing w:after="0"/>
              <w:rPr>
                <w:sz w:val="24"/>
                <w:szCs w:val="24"/>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effective income tax rate for the nine months ended September 30, 2019 was 14.2%, compared to 17.0% for the nine months ended September 30, 2018. We continue to actively pursue initiatives to reduce our effective tax rate. The tax rate in any quarter can be affected positively or negatively by adjustments that are required to be reported in the specific quarter of resolution.</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liability for uncertain tax positions was $48.4 million and $51.4 million at September 30, 2019 and December 31, 2018, respectively. We record penalties and interest related to unrecognized tax benefits 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interest expense</w:t>
      </w:r>
      <w:r>
        <w:rPr>
          <w:rFonts w:ascii="Arial" w:cs="Arial" w:eastAsia="Arial" w:hAnsi="Arial"/>
          <w:sz w:val="18"/>
          <w:szCs w:val="18"/>
          <w:color w:val="auto"/>
        </w:rPr>
        <w:t>, respectively, on the Condensed Consolidated Statements of Operations and Comprehensive Income, which is consistent with our past practices.</w:t>
      </w:r>
    </w:p>
    <w:p>
      <w:pPr>
        <w:spacing w:after="0" w:line="13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Components of net periodic benefit cost for our pension plans for the three and nine months ended September 30, 2019 and 2018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Plan settlement loss (gain)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Components of net periodic benefit expense (income) for our other post-retirement plans for the three and nine months ended September 30, 2019 and 2018 were not material.</w:t>
      </w:r>
    </w:p>
    <w:p>
      <w:pPr>
        <w:spacing w:after="0" w:line="2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our Board of Directors approved amendments to terminate the Pentair Salaried Plan (the “Salaried Plan”), a U.S. qualified pension plan. The Salaried Plan discontinued accruing benefits on December 31, 2017 and the termination was effective December 31, 2017.</w:t>
      </w:r>
    </w:p>
    <w:p>
      <w:pPr>
        <w:spacing w:after="0" w:line="29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Salaried Plan participants whose benefits were not in pay status by July 1, 2018 were given the opportunity to elect a lump-sum (or monthly annuity) payment during a special election window. During the third quarter of 2018, lump-sum payments of $171.9 million were made and resulted in a settlement loss of $2.2 million for the three and nine months ended September 30, 2018.</w:t>
      </w:r>
    </w:p>
    <w:p>
      <w:pPr>
        <w:spacing w:after="0" w:line="30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2019, we received all required government approvals to complete the termination of the Salaried Plan. In June 2019, we entered into an agreement with an insurance company to purchase from us, through an annuity contract, our remaining obligations under the Salaried Plan. For the nine months ended September 30, 2019, we contributed $11.1 million to the Salaried Plan as part of the process to settle our obligations. As a result of these actions, a non-cash pre-tax settlement gain of $11.8 million was recorded for the nine months ended September 30, 2019 and is reflected within </w:t>
      </w:r>
      <w:r>
        <w:rPr>
          <w:rFonts w:ascii="Arial" w:cs="Arial" w:eastAsia="Arial" w:hAnsi="Arial"/>
          <w:sz w:val="18"/>
          <w:szCs w:val="18"/>
          <w:i w:val="1"/>
          <w:iCs w:val="1"/>
          <w:color w:val="auto"/>
        </w:rPr>
        <w:t>Plan settlement loss (gain)</w:t>
      </w:r>
      <w:r>
        <w:rPr>
          <w:rFonts w:ascii="Arial" w:cs="Arial" w:eastAsia="Arial" w:hAnsi="Arial"/>
          <w:sz w:val="18"/>
          <w:szCs w:val="18"/>
          <w:color w:val="auto"/>
        </w:rPr>
        <w:t xml:space="preserve"> in the table above.</w:t>
      </w:r>
    </w:p>
    <w:p>
      <w:pPr>
        <w:spacing w:after="0" w:line="144" w:lineRule="exact"/>
        <w:rPr>
          <w:sz w:val="20"/>
          <w:szCs w:val="20"/>
          <w:color w:val="auto"/>
        </w:rPr>
      </w:pPr>
    </w:p>
    <w:p>
      <w:pPr>
        <w:ind w:right="9140" w:firstLine="8"/>
        <w:spacing w:after="0" w:line="261" w:lineRule="auto"/>
        <w:tabs>
          <w:tab w:leader="none" w:pos="64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4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nine months ended September 30, 2019, we repurchased 4.0 million of our shares for $150.0 million. As of September 30, 2019, we had $250.0 million available for share repurchases under this authorization.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On September 24, 2019, the Board of Directors declared a quarterly cash dividend of $0.18, payable on November 1, 2019 to shareholders of record at the close of business on October 18, 2019.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$30.3 million at September 30, 2019, compared to $30.8 million at December 31, 2018.</w:t>
      </w:r>
    </w:p>
    <w:p>
      <w:pPr>
        <w:spacing w:after="0" w:line="146"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798.4</w:t>
            </w:r>
          </w:p>
        </w:tc>
        <w:tc>
          <w:tcPr>
            <w:tcW w:w="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754.1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r>
      <w:tr>
        <w:trPr>
          <w:trHeight w:val="27"/>
        </w:trPr>
        <w:tc>
          <w:tcPr>
            <w:tcW w:w="5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2"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5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711.4</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r>
      <w:tr>
        <w:trPr>
          <w:trHeight w:val="20"/>
        </w:trPr>
        <w:tc>
          <w:tcPr>
            <w:tcW w:w="35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19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3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59.9</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9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5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38.4</w:t>
            </w:r>
          </w:p>
        </w:tc>
        <w:tc>
          <w:tcPr>
            <w:tcW w:w="5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128.8</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124.4</w:t>
            </w:r>
          </w:p>
        </w:tc>
      </w:tr>
      <w:tr>
        <w:trPr>
          <w:trHeight w:val="27"/>
        </w:trPr>
        <w:tc>
          <w:tcPr>
            <w:tcW w:w="3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9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7"/>
        </w:trPr>
        <w:tc>
          <w:tcPr>
            <w:tcW w:w="35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56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121.8</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r>
      <w:tr>
        <w:trPr>
          <w:trHeight w:val="20"/>
        </w:trPr>
        <w:tc>
          <w:tcPr>
            <w:tcW w:w="35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20" w:type="dxa"/>
            <w:vAlign w:val="bottom"/>
          </w:tcPr>
          <w:p>
            <w:pPr>
              <w:jc w:val="right"/>
              <w:ind w:right="99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8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Deal-related costs and expenses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step-up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Pension settlement (loss) gain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impairment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(Loss) gain on sale of business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9" w:lineRule="exact"/>
        <w:rPr>
          <w:rFonts w:ascii="Arial" w:cs="Arial" w:eastAsia="Arial" w:hAnsi="Arial"/>
          <w:sz w:val="18"/>
          <w:szCs w:val="18"/>
          <w:b w:val="1"/>
          <w:bCs w:val="1"/>
          <w:color w:val="auto"/>
        </w:rPr>
      </w:pPr>
    </w:p>
    <w:p>
      <w:pPr>
        <w:ind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determine if an arrangement is a lease at inception. Our lease portfolio principally consists of operating leases related to facilities, machinery, equipment and vehicles. Our lease terms do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w w:val="98"/>
              </w:rPr>
              <w:t>The components of lease cost for the three and nine months ended September 30, 2019 were as follows: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4"/>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Three months</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ended</w:t>
            </w: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Nine months ended</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29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September 30, 2019</w:t>
            </w: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Sublease income</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r>
      <w:tr>
        <w:trPr>
          <w:trHeight w:val="27"/>
        </w:trPr>
        <w:tc>
          <w:tcPr>
            <w:tcW w:w="844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44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29"/>
        </w:trPr>
        <w:tc>
          <w:tcPr>
            <w:tcW w:w="8440" w:type="dxa"/>
            <w:vAlign w:val="bottom"/>
            <w:gridSpan w:val="2"/>
          </w:tcPr>
          <w:p>
            <w:pPr>
              <w:spacing w:after="0"/>
              <w:rPr>
                <w:sz w:val="20"/>
                <w:szCs w:val="20"/>
                <w:color w:val="auto"/>
              </w:rPr>
            </w:pPr>
            <w:r>
              <w:rPr>
                <w:rFonts w:ascii="Arial" w:cs="Arial" w:eastAsia="Arial" w:hAnsi="Arial"/>
                <w:sz w:val="18"/>
                <w:szCs w:val="18"/>
                <w:color w:val="auto"/>
                <w:w w:val="90"/>
              </w:rPr>
              <w:t>Supplemental cash flow information related to leases for the nine months ended September 30, 2019 was as follows: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4"/>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82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lease obligations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88.0</w:t>
            </w:r>
          </w:p>
        </w:tc>
      </w:tr>
      <w:tr>
        <w:trPr>
          <w:trHeight w:val="675"/>
        </w:trPr>
        <w:tc>
          <w:tcPr>
            <w:tcW w:w="824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0"/>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8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of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 years</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Weighted-average discount rate of operating leases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tcPr>
          <w:p>
            <w:pPr>
              <w:spacing w:after="0"/>
              <w:rPr>
                <w:sz w:val="20"/>
                <w:szCs w:val="20"/>
                <w:color w:val="auto"/>
              </w:rPr>
            </w:pPr>
            <w:r>
              <w:rPr>
                <w:rFonts w:ascii="Arial" w:cs="Arial" w:eastAsia="Arial" w:hAnsi="Arial"/>
                <w:sz w:val="18"/>
                <w:szCs w:val="18"/>
                <w:color w:val="auto"/>
                <w:w w:val="94"/>
              </w:rPr>
              <w:t>Future minimum lease commitments under non-cancelable operating leases as of September 30, 2019 were as follows:</w:t>
            </w:r>
          </w:p>
        </w:tc>
        <w:tc>
          <w:tcPr>
            <w:tcW w:w="6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89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64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8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 2019</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8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8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8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6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8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6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8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8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r>
      <w:tr>
        <w:trPr>
          <w:trHeight w:val="20"/>
        </w:trPr>
        <w:tc>
          <w:tcPr>
            <w:tcW w:w="8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Future minimum lease commitments under non-cancelable operating leases based on accounting standards applicable as of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500" w:type="dxa"/>
            <w:vAlign w:val="bottom"/>
          </w:tcPr>
          <w:p>
            <w:pPr>
              <w:spacing w:after="0"/>
              <w:rPr>
                <w:sz w:val="20"/>
                <w:szCs w:val="20"/>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2020</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2022</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51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5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50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51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r>
      <w:tr>
        <w:trPr>
          <w:trHeight w:val="20"/>
        </w:trPr>
        <w:tc>
          <w:tcPr>
            <w:tcW w:w="5100" w:type="dxa"/>
            <w:vAlign w:val="bottom"/>
            <w:tcBorders>
              <w:top w:val="single" w:sz="8" w:color="auto"/>
              <w:bottom w:val="single" w:sz="8" w:color="auto"/>
            </w:tcBorders>
          </w:tcPr>
          <w:p>
            <w:pPr>
              <w:spacing w:after="0" w:line="20" w:lineRule="exact"/>
              <w:rPr>
                <w:sz w:val="1"/>
                <w:szCs w:val="1"/>
                <w:color w:val="auto"/>
              </w:rPr>
            </w:pPr>
          </w:p>
        </w:tc>
        <w:tc>
          <w:tcPr>
            <w:tcW w:w="45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and guarantees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our disposition of businesses, product lines and assets, we often provide representations, warranties and indemnities to cover purchasers for various potential liabilities relating to the sold businesses, product lines and assets, such as unknown damages or liabilities relating to the assets and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the maximum obligations under such indemnifications are not explicitly stated and as a result, the overall amount of these obligations cannot be reasonably estimated due to their inchoate and unknown nature. Historically, we have not made significant payments for these indemnifications. We believe that if we were to incur a loss in any of these matters, the loss would not have a material adverse effect on our financial position, results of operations or cash flows.</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in 2017, we agreed to indemnify Emerson Electric Co. for certain pre-closing tax liabilities. We have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changes in the carrying amount of service and product warranties of continuing operations for the nine months ended September 30, 2019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64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6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6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6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36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September 30, 2019 and December 31, 2018, the outstanding value of bonds, letters of credit and bank guarantees totaled $105.0 million and $123.6 million, respectively.</w:t>
      </w:r>
    </w:p>
    <w:p>
      <w:pPr>
        <w:spacing w:after="0" w:line="126"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Statements of Operations and Comprehensive Income (Loss), Condensed Consolidating Balance Sheets and Condensed Consolidating Statements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458.6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458.6</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88.4</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1,424.7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1,424.7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389.1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405.9</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327.0</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274.4</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276.5</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280.8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(831.7)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Loss from discontinued operations, net of</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252.4</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404.0</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95.1</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277.9</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277.9</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2,071.6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2,825.6</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(6,969.4)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2,261.0</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341.4</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2,072.6</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4,097.9</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2,786.6</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(8,242.7)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2,799.9</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4,080.4</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w w:val="96"/>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253.4</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326.8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370.1</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(1,273.3)</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1,118.7</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2,033.7</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2,211.6</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1,868.8</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2,825.8</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(6,969.4)</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1,868.8</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4,080.4</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Guarantor</w:t>
            </w:r>
          </w:p>
        </w:tc>
        <w:tc>
          <w:tcPr>
            <w:tcW w:w="2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18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380"/>
              <w:spacing w:after="0"/>
              <w:rPr>
                <w:sz w:val="20"/>
                <w:szCs w:val="20"/>
                <w:color w:val="auto"/>
              </w:rPr>
            </w:pPr>
            <w:r>
              <w:rPr>
                <w:rFonts w:ascii="Arial" w:cs="Arial" w:eastAsia="Arial" w:hAnsi="Arial"/>
                <w:sz w:val="16"/>
                <w:szCs w:val="16"/>
                <w:color w:val="auto"/>
                <w:w w:val="93"/>
              </w:rPr>
              <w:t>Net cash provided by (used for) operating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248.3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272.4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282.8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(826.3)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264.7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Proceeds from the sale of businesses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(284.5)</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109.9</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472.4</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3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94"/>
              </w:rPr>
              <w:t>Net cash (used for) provided by investing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(131.8)</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(219.6)</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472.4</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(329.5)</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2"/>
              </w:rPr>
              <w:t>Net receipts (repayments) of commercial paper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200"/>
              <w:spacing w:after="0"/>
              <w:rPr>
                <w:sz w:val="20"/>
                <w:szCs w:val="20"/>
                <w:color w:val="auto"/>
              </w:rPr>
            </w:pPr>
            <w:r>
              <w:rPr>
                <w:rFonts w:ascii="Arial" w:cs="Arial" w:eastAsia="Arial" w:hAnsi="Arial"/>
                <w:sz w:val="16"/>
                <w:szCs w:val="16"/>
                <w:color w:val="auto"/>
              </w:rPr>
              <w:t>and revolving long-term debt</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(22.6)</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91.2</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issuance costs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(140.6)</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withheld</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w:t>
            </w:r>
          </w:p>
        </w:tc>
      </w:tr>
      <w:tr>
        <w:trPr>
          <w:trHeight w:val="213"/>
        </w:trPr>
        <w:tc>
          <w:tcPr>
            <w:tcW w:w="316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w w:val="94"/>
              </w:rPr>
              <w:t>Net cash (used for) provided by financing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(248.3)</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(140.6)</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171.3</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(38.5)</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353.9</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Effect of exchange rate changes on cash and</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Cash and cash equivalents, beginning of</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8"/>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period</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w:t>
            </w:r>
          </w:p>
        </w:tc>
      </w:tr>
      <w:tr>
        <w:trPr>
          <w:trHeight w:val="217"/>
        </w:trPr>
        <w:tc>
          <w:tcPr>
            <w:tcW w:w="31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8"/>
              </w:rPr>
              <w:t>Cash and cash equivalents, end of period</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113.2</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467.6</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91.2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(Loss) earnings from discontinued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1,444.9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239.4</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254.5</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Subsidiaries</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488.2</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1,903.8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2,675.7</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2,072.7</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276.3</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276.3</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3,371.8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3,078.7</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2,494.5</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378.6</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290.3</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328.4</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818.7</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787.6</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168.2</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(1,319.0)</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1,970.4</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1,836.1</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1,903.8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(6,615.6)</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1,836.1</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3,806.5</w:t>
            </w:r>
          </w:p>
        </w:tc>
      </w:tr>
      <w:tr>
        <w:trPr>
          <w:trHeight w:val="20"/>
        </w:trPr>
        <w:tc>
          <w:tcPr>
            <w:tcW w:w="3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30,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Parent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18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197.2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269.2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(920.6)</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284.6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Proceeds from sale of property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Payments due to sale of businesses, net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(62.0)</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618.7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(581.6)</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3"/>
        </w:trPr>
        <w:tc>
          <w:tcPr>
            <w:tcW w:w="3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investing activities of continuing</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570.8</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w:t>
            </w: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w w:val="97"/>
              </w:rPr>
              <w:t>Net cash used for investing activities of</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investing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563.7</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(581.6)</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receipts (repayments) of commercial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paper and revolving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(675.1)</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(675.1)</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Premium paid on early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 of cash to nVent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Distribution from nVent spin-off</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993.6</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993.6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(987.8)</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200"/>
              <w:spacing w:after="0"/>
              <w:rPr>
                <w:sz w:val="20"/>
                <w:szCs w:val="20"/>
                <w:color w:val="auto"/>
              </w:rPr>
            </w:pPr>
            <w:r>
              <w:rPr>
                <w:rFonts w:ascii="Arial" w:cs="Arial" w:eastAsia="Arial" w:hAnsi="Arial"/>
                <w:sz w:val="16"/>
                <w:szCs w:val="16"/>
                <w:color w:val="auto"/>
              </w:rPr>
              <w:t>withheld</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Repurchases of ordinary shares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(156.7)</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(156.7)</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3"/>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(used for) provided by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financing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(1,081.0)</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1,502.2</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(268.4)</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88"/>
              </w:rPr>
              <w:t>Effect of exchange rate changes on cash and</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Cash and cash equivalents, beginning of</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48"/>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1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6"/>
              </w:rPr>
              <w:t>Cash and cash equivalents, end of period</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overall global economic and business conditions impacting our business, including the strength of housing and related markets; demand, competition and pricing pressures in the markets we serve; volatility in currency exchange rates; failure of markets to accept new product introductions and enhancements; the ability to successfully identify, finance, complete and integrate acquisitions; the ability to successfully integrate the Aquion, Inc. (“Aquion”) and Pelican Water Systems (“Pelican”) acquisitions; the ability to achieve the benefits of our restructuring plans and cost reduction initiatives; risks associated with operating foreign businesses; the impact of material cost and other inflation;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the ability to realize the anticipated benefits from the Separation (as defined below);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three reporting segments: Aquatic Systems, Filtration Solutions and Flow Technologies. For the first nine months of 2019, the Aquatic Systems, Filtration Solutions and Flow Technologies segments represented approximately 32%, 36% and 31% of total revenues, respectively. We classify our operations into business segments based primarily on types of products offered and markets served:</w:t>
      </w:r>
    </w:p>
    <w:p>
      <w:pPr>
        <w:spacing w:after="0" w:line="133" w:lineRule="exact"/>
        <w:rPr>
          <w:sz w:val="20"/>
          <w:szCs w:val="20"/>
          <w:color w:val="auto"/>
        </w:rPr>
      </w:pPr>
    </w:p>
    <w:p>
      <w:pPr>
        <w:ind w:left="660" w:right="600" w:hanging="328"/>
        <w:spacing w:after="0" w:line="302"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b w:val="1"/>
          <w:bCs w:val="1"/>
          <w:i w:val="1"/>
          <w:iCs w:val="1"/>
          <w:color w:val="auto"/>
        </w:rPr>
      </w:pPr>
    </w:p>
    <w:p>
      <w:pPr>
        <w:ind w:left="660" w:right="60" w:hanging="328"/>
        <w:spacing w:after="0" w:line="30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April 30, 2018, we completed the previously announced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2019, as part of Filtration Solutions, we completed the acquisitions of Aquion and Pelican for $163.4 million and $121.1 million in cash, net of cash acquired, respectively. Aquion offers a diverse line of water conditioners, water filters, drinking-water purifiers, ozone and ultraviolet disinfection systems, reverse osmosis systems and acid neutralizers for the residential and commercial water treatment industry. Pelican provides residential whole home water treatment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trends and uncertainties affected our financial performance in the first nine months of 2019 and may impact our results in the future:</w:t>
      </w:r>
    </w:p>
    <w:p>
      <w:pPr>
        <w:spacing w:after="0" w:line="168" w:lineRule="exact"/>
        <w:rPr>
          <w:sz w:val="20"/>
          <w:szCs w:val="20"/>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Wet and cold weather delayed pool construction activity in several key markets during the first half of 2019. As a result of slower sell-through during the first half of 2019, inventory levels were not reduced to the levels we anticipated. We expect the financial results of Aquatic Systems for the remainder of 2019 to be negatively impacted as a result.</w:t>
      </w:r>
    </w:p>
    <w:p>
      <w:pPr>
        <w:spacing w:after="0" w:line="127" w:lineRule="exact"/>
        <w:rPr>
          <w:rFonts w:ascii="Arial" w:cs="Arial" w:eastAsia="Arial" w:hAnsi="Arial"/>
          <w:sz w:val="18"/>
          <w:szCs w:val="18"/>
          <w:color w:val="auto"/>
        </w:rPr>
      </w:pPr>
    </w:p>
    <w:p>
      <w:pPr>
        <w:ind w:left="660" w:right="180" w:hanging="328"/>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U.S. We are reinforcing our businesses to more effectively address these opportunities through research and development and additional sales and marketing resources. Unless we successfully penetrate these markets, our core sales growth will likely be limited or may decline.</w:t>
      </w:r>
    </w:p>
    <w:p>
      <w:pPr>
        <w:spacing w:after="0" w:line="92"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rFonts w:ascii="Arial" w:cs="Arial" w:eastAsia="Arial" w:hAnsi="Arial"/>
          <w:sz w:val="18"/>
          <w:szCs w:val="18"/>
          <w:color w:val="auto"/>
        </w:rPr>
      </w:pPr>
    </w:p>
    <w:p>
      <w:pPr>
        <w:ind w:left="660" w:right="5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Proposed regulations as part of the Tax Cuts and Jobs Act, enacted in the U.S. in December 2017, may place limitations on the deductibility of certain interest expense for U.S. tax purposes. These proposed regulations could materially adversely affect our financial condition, results of operations, cash flows or our effective tax rate in future reporting periods when enacted.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2019, our operating objectives include the following:</w:t>
      </w:r>
    </w:p>
    <w:p>
      <w:pPr>
        <w:spacing w:after="0" w:line="171" w:lineRule="exact"/>
        <w:rPr>
          <w:sz w:val="20"/>
          <w:szCs w:val="20"/>
          <w:color w:val="auto"/>
        </w:rPr>
      </w:pPr>
    </w:p>
    <w:p>
      <w:pPr>
        <w:ind w:left="660" w:right="6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Accelerating the Pentair Integrated Management System (“PIMS”), with specific focus on the area of commercial excellence and acquisition integrations;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Delivering our growth priorities through new products and global and market expansion, specifically in the areas of pool and residential and commercial water treatment especially through acquisitions and focus on China and Southeast Asia;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 advance digital transformation;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Building a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3"/>
              </w:rPr>
              <w:t>The consolidated results of operations for the three months ended September 30, 2019 and 2018 were as follows: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458.6</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467.6</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(1.9)%</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255.0</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243.8</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35.7%</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88"/>
              </w:rPr>
              <w:t>1.4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126.4</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8.7 %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17.7%</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88"/>
              </w:rPr>
              <w:t>1.4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0.7</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3.7 %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88"/>
              </w:rPr>
              <w:t>0.1 pts</w:t>
            </w:r>
          </w:p>
        </w:tc>
      </w:tr>
      <w:tr>
        <w:trPr>
          <w:trHeight w:val="324"/>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0.4 %</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Net interest expense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60.5 %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(0.6)%</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9.8%</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10.4%</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(0.6) pts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9020" w:type="dxa"/>
            <w:vAlign w:val="bottom"/>
            <w:gridSpan w:val="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6"/>
        </w:trPr>
        <w:tc>
          <w:tcPr>
            <w:tcW w:w="10040" w:type="dxa"/>
            <w:vAlign w:val="bottom"/>
            <w:gridSpan w:val="8"/>
          </w:tcPr>
          <w:p>
            <w:pPr>
              <w:spacing w:after="0"/>
              <w:rPr>
                <w:sz w:val="20"/>
                <w:szCs w:val="20"/>
                <w:color w:val="auto"/>
              </w:rPr>
            </w:pPr>
            <w:r>
              <w:rPr>
                <w:rFonts w:ascii="Arial" w:cs="Arial" w:eastAsia="Arial" w:hAnsi="Arial"/>
                <w:sz w:val="18"/>
                <w:szCs w:val="18"/>
                <w:color w:val="auto"/>
                <w:w w:val="97"/>
              </w:rPr>
              <w:t>The consolidated results of operations for the nine months ended September 30, 2019 and September 30, 2018 were as follows:</w:t>
            </w:r>
          </w:p>
        </w:tc>
        <w:tc>
          <w:tcPr>
            <w:tcW w:w="1380" w:type="dxa"/>
            <w:vAlign w:val="bottom"/>
          </w:tcPr>
          <w:p>
            <w:pPr>
              <w:spacing w:after="0"/>
              <w:rPr>
                <w:sz w:val="24"/>
                <w:szCs w:val="24"/>
                <w:color w:val="auto"/>
              </w:rPr>
            </w:pPr>
          </w:p>
        </w:tc>
      </w:tr>
      <w:tr>
        <w:trPr>
          <w:trHeight w:val="378"/>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30,</w:t>
            </w:r>
          </w:p>
        </w:tc>
        <w:tc>
          <w:tcPr>
            <w:tcW w:w="2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38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2,224.6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(22.6)</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1,424.7</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1,444.9</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(20.2)</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27"/>
        </w:trPr>
        <w:tc>
          <w:tcPr>
            <w:tcW w:w="10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777.3</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779.7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35.3%</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35.0%</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50"/>
              <w:spacing w:after="0"/>
              <w:rPr>
                <w:sz w:val="20"/>
                <w:szCs w:val="20"/>
                <w:color w:val="auto"/>
              </w:rPr>
            </w:pPr>
            <w:r>
              <w:rPr>
                <w:rFonts w:ascii="Arial" w:cs="Arial" w:eastAsia="Arial" w:hAnsi="Arial"/>
                <w:sz w:val="18"/>
                <w:szCs w:val="18"/>
                <w:i w:val="1"/>
                <w:iCs w:val="1"/>
                <w:color w:val="auto"/>
                <w:w w:val="96"/>
              </w:rPr>
              <w:t>0.3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399.0</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6.9</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i w:val="1"/>
                <w:iCs w:val="1"/>
                <w:color w:val="auto"/>
                <w:w w:val="96"/>
              </w:rPr>
              <w:t>0.5 pts</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61.2</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4.2</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7.4 %</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650"/>
              <w:spacing w:after="0"/>
              <w:rPr>
                <w:sz w:val="20"/>
                <w:szCs w:val="20"/>
                <w:color w:val="auto"/>
              </w:rPr>
            </w:pPr>
            <w:r>
              <w:rPr>
                <w:rFonts w:ascii="Arial" w:cs="Arial" w:eastAsia="Arial" w:hAnsi="Arial"/>
                <w:sz w:val="18"/>
                <w:szCs w:val="18"/>
                <w:i w:val="1"/>
                <w:iCs w:val="1"/>
                <w:color w:val="auto"/>
                <w:w w:val="96"/>
              </w:rPr>
              <w:t>0.2 pts</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310.2</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(13.5)</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r>
      <w:tr>
        <w:trPr>
          <w:trHeight w:val="243"/>
        </w:trPr>
        <w:tc>
          <w:tcPr>
            <w:tcW w:w="546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14.1%</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14.6%</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i w:val="1"/>
                <w:iCs w:val="1"/>
                <w:color w:val="auto"/>
                <w:w w:val="90"/>
              </w:rPr>
              <w:t>(0.5) pts</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(Gain) loss on sale of business</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(17.1)</w:t>
            </w:r>
          </w:p>
        </w:tc>
        <w:tc>
          <w:tcPr>
            <w:tcW w:w="13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w:t>
            </w:r>
          </w:p>
        </w:tc>
      </w:tr>
      <w:tr>
        <w:trPr>
          <w:trHeight w:val="230"/>
        </w:trPr>
        <w:tc>
          <w:tcPr>
            <w:tcW w:w="10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301.6</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274.0</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27.6</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10.1 %</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(8.0)%</w:t>
            </w:r>
          </w:p>
        </w:tc>
      </w:tr>
      <w:tr>
        <w:trPr>
          <w:trHeight w:val="27"/>
        </w:trPr>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46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14.2%</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610"/>
              <w:spacing w:after="0"/>
              <w:rPr>
                <w:sz w:val="20"/>
                <w:szCs w:val="20"/>
                <w:color w:val="auto"/>
              </w:rPr>
            </w:pPr>
            <w:r>
              <w:rPr>
                <w:rFonts w:ascii="Arial" w:cs="Arial" w:eastAsia="Arial" w:hAnsi="Arial"/>
                <w:sz w:val="18"/>
                <w:szCs w:val="18"/>
                <w:i w:val="1"/>
                <w:iCs w:val="1"/>
                <w:color w:val="auto"/>
                <w:w w:val="90"/>
              </w:rPr>
              <w:t>(2.8) pts</w:t>
            </w:r>
          </w:p>
        </w:tc>
      </w:tr>
      <w:tr>
        <w:trPr>
          <w:trHeight w:val="27"/>
        </w:trPr>
        <w:tc>
          <w:tcPr>
            <w:tcW w:w="102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consolidated net sales change from the prior period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82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2019</w:t>
            </w:r>
          </w:p>
        </w:tc>
        <w:tc>
          <w:tcPr>
            <w:tcW w:w="380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 2019</w:t>
            </w:r>
          </w:p>
        </w:tc>
      </w:tr>
      <w:tr>
        <w:trPr>
          <w:trHeight w:val="270"/>
        </w:trPr>
        <w:tc>
          <w:tcPr>
            <w:tcW w:w="2800" w:type="dxa"/>
            <w:vAlign w:val="bottom"/>
          </w:tcPr>
          <w:p>
            <w:pPr>
              <w:spacing w:after="0"/>
              <w:rPr>
                <w:sz w:val="23"/>
                <w:szCs w:val="23"/>
                <w:color w:val="auto"/>
              </w:rPr>
            </w:pPr>
          </w:p>
        </w:tc>
        <w:tc>
          <w:tcPr>
            <w:tcW w:w="482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80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90"/>
              <w:spacing w:after="0"/>
              <w:rPr>
                <w:sz w:val="20"/>
                <w:szCs w:val="20"/>
                <w:color w:val="auto"/>
              </w:rPr>
            </w:pPr>
            <w:r>
              <w:rPr>
                <w:rFonts w:ascii="Arial" w:cs="Arial" w:eastAsia="Arial" w:hAnsi="Arial"/>
                <w:sz w:val="18"/>
                <w:szCs w:val="18"/>
                <w:color w:val="auto"/>
              </w:rPr>
              <w:t>3.1</w:t>
            </w:r>
          </w:p>
        </w:tc>
        <w:tc>
          <w:tcPr>
            <w:tcW w:w="380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380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7"/>
        </w:trPr>
        <w:tc>
          <w:tcPr>
            <w:tcW w:w="2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0.3 %</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0.3 percentage point increase in net sales in the third quarter of 2019 from 2018 was primarily driven by:</w:t>
      </w:r>
    </w:p>
    <w:p>
      <w:pPr>
        <w:spacing w:after="0" w:line="171"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sales volume in the industrial filtration and food and beverage businesses of our Filtration Solutions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decreased sales volume in our Aquatic Systems segment due to higher than anticipated inventory levels in some of our key distribution channels;</w:t>
      </w:r>
    </w:p>
    <w:p>
      <w:pPr>
        <w:spacing w:after="0" w:line="263"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sales volume in the residential, agriculture and commercial businesses of our Flow Technologies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1.0 percentage point decrease in net sales in the first nine months of 2019 from 2018 was primarily driven by:</w:t>
      </w:r>
    </w:p>
    <w:p>
      <w:pPr>
        <w:spacing w:after="0" w:line="171" w:lineRule="exact"/>
        <w:rPr>
          <w:sz w:val="20"/>
          <w:szCs w:val="20"/>
          <w:color w:val="auto"/>
        </w:rPr>
      </w:pPr>
    </w:p>
    <w:p>
      <w:pPr>
        <w:ind w:left="500" w:right="380" w:hanging="330"/>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decreased sales volume in our Aquatic Systems segment and agriculture-related business in our Flow Technologies segment due to cold and wet weather in the first half of 2019 and higher than anticipated inventory levels in some of our key distribution channels; and</w:t>
      </w:r>
    </w:p>
    <w:p>
      <w:pPr>
        <w:spacing w:after="0" w:line="92" w:lineRule="exact"/>
        <w:rPr>
          <w:rFonts w:ascii="Arial" w:cs="Arial" w:eastAsia="Arial" w:hAnsi="Arial"/>
          <w:sz w:val="17"/>
          <w:szCs w:val="17"/>
          <w:color w:val="auto"/>
        </w:rPr>
      </w:pPr>
    </w:p>
    <w:p>
      <w:pPr>
        <w:ind w:left="500" w:hanging="330"/>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foreign currency effects.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The 1.4 and 0.3 percentage point increases in gross profit as a percentage of sales in the third quarter and first nine months, respectively, of 2019 from 2018 was primarily driven by:</w:t>
      </w:r>
    </w:p>
    <w:p>
      <w:pPr>
        <w:spacing w:after="0" w:line="130"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mix as a result of a core sales growth decrease in the higher margin Aquatic Systems segment;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 (“SG&amp;A”)</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The 1.4 and 0.5 percentage point increases in SG&amp;A as a percentage of sales in the third quarter and first nine months, respectively, of 2019 from 2018 was primarily driven by:</w:t>
      </w:r>
    </w:p>
    <w:p>
      <w:pPr>
        <w:spacing w:after="0" w:line="130"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asset impairment of $18.2 million in the first nine months of 2019, compared to $6.0 million in the first nine months of 2018;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restructuring and other costs of $13.7 million in the first nine months of 2019, compared to $28.1 million in the first nine months of 2018;</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decreased amortization expense from $24.1 million in the first nine months of 2019 compared to $27.0 million in the first nine months of 2018.</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60.5 percent increase in net interest expense in the third quarter of 2019 from 2018 was primarily driven by:</w:t>
      </w:r>
    </w:p>
    <w:p>
      <w:pPr>
        <w:spacing w:after="0" w:line="157" w:lineRule="exact"/>
        <w:rPr>
          <w:sz w:val="20"/>
          <w:szCs w:val="20"/>
          <w:color w:val="auto"/>
        </w:rPr>
      </w:pPr>
    </w:p>
    <w:p>
      <w:pPr>
        <w:ind w:left="500" w:right="260" w:hanging="330"/>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higher average outstanding debt levels during the third quarter of 2019, compared to the same period in 2018. In June 2019, Pentair, Pentair Finance S.à r.l. (“PFSA”) and Pentair Investments Switzerland GmbH (“PISG”) completed a public offering of $400.0 million aggregate principal amount of PFSA’s 4.500% Senior Notes due 2029.</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15.4 percent decrease in net interest expense in the first nine months of 2019 from 2018 was primarily driven by:</w:t>
      </w:r>
    </w:p>
    <w:p>
      <w:pPr>
        <w:spacing w:after="0" w:line="171" w:lineRule="exact"/>
        <w:rPr>
          <w:sz w:val="20"/>
          <w:szCs w:val="20"/>
          <w:color w:val="auto"/>
        </w:rPr>
      </w:pPr>
    </w:p>
    <w:p>
      <w:pPr>
        <w:ind w:left="500" w:right="40" w:hanging="330"/>
        <w:spacing w:after="0" w:line="286"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impact of lower average outstanding debt levels during the first nine months of 2019, compared to the same period in 2018. In June 2018, the proceeds from the Separation were utilized to repay the remaining $255.3 million aggregate principal amount of our 2.9% fixed rate senior notes due 2018 and for the early extinguishment of €363.4 million aggregate principal amount of our 2.45% senior notes due 2019; and</w:t>
      </w: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60"/>
          </w:cols>
          <w:pgMar w:left="240" w:top="122" w:right="39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favorable foreign currency impact of interest payments made in Euros.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The 0.6 and 2.8 percentage point decreases in the effective tax rate in the third quarter and first nine months, respectively, of 2019 from 2018 were primarily driven by:</w:t>
      </w:r>
    </w:p>
    <w:p>
      <w:pPr>
        <w:spacing w:after="0" w:line="157" w:lineRule="exact"/>
        <w:rPr>
          <w:sz w:val="20"/>
          <w:szCs w:val="20"/>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nine months of 2019 compared to 2018;</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mix of global earnings;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2019 compared to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segments (Aquatic Systems, Filtration Solutions and Flow Technologies). Each of these segments is comprised of various product offerings that serve multiple end users.</w:t>
      </w:r>
    </w:p>
    <w:p>
      <w:pPr>
        <w:spacing w:after="0" w:line="184"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Aquatic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280" w:type="dxa"/>
            <w:vAlign w:val="bottom"/>
          </w:tcPr>
          <w:p>
            <w:pPr>
              <w:spacing w:after="0"/>
              <w:rPr>
                <w:sz w:val="20"/>
                <w:szCs w:val="20"/>
                <w:color w:val="auto"/>
              </w:rPr>
            </w:pPr>
          </w:p>
        </w:tc>
      </w:tr>
      <w:tr>
        <w:trPr>
          <w:trHeight w:val="27"/>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18"/>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 / Point</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232.7</w:t>
            </w:r>
          </w:p>
        </w:tc>
        <w:tc>
          <w:tcPr>
            <w:tcW w:w="1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709.8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749.3</w:t>
            </w: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(5.3)%</w:t>
            </w:r>
          </w:p>
        </w:tc>
      </w:tr>
      <w:tr>
        <w:trPr>
          <w:trHeight w:val="243"/>
        </w:trPr>
        <w:tc>
          <w:tcPr>
            <w:tcW w:w="228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59.9</w:t>
            </w:r>
          </w:p>
        </w:tc>
        <w:tc>
          <w:tcPr>
            <w:tcW w:w="1380" w:type="dxa"/>
            <w:vAlign w:val="bottom"/>
          </w:tcPr>
          <w:p>
            <w:pPr>
              <w:ind w:left="64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184.0</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199.5</w:t>
            </w:r>
          </w:p>
        </w:tc>
        <w:tc>
          <w:tcPr>
            <w:tcW w:w="1280" w:type="dxa"/>
            <w:vAlign w:val="bottom"/>
          </w:tcPr>
          <w:p>
            <w:pPr>
              <w:ind w:left="640"/>
              <w:spacing w:after="0"/>
              <w:rPr>
                <w:sz w:val="20"/>
                <w:szCs w:val="20"/>
                <w:color w:val="auto"/>
              </w:rPr>
            </w:pPr>
            <w:r>
              <w:rPr>
                <w:rFonts w:ascii="Arial" w:cs="Arial" w:eastAsia="Arial" w:hAnsi="Arial"/>
                <w:sz w:val="18"/>
                <w:szCs w:val="18"/>
                <w:color w:val="auto"/>
              </w:rPr>
              <w:t>(7.8)%</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25.1%</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25.7%</w:t>
            </w:r>
          </w:p>
        </w:tc>
        <w:tc>
          <w:tcPr>
            <w:tcW w:w="1560" w:type="dxa"/>
            <w:vAlign w:val="bottom"/>
            <w:gridSpan w:val="2"/>
            <w:shd w:val="clear" w:color="auto" w:fill="CCEEFF"/>
          </w:tcPr>
          <w:p>
            <w:pPr>
              <w:ind w:left="640"/>
              <w:spacing w:after="0"/>
              <w:rPr>
                <w:sz w:val="20"/>
                <w:szCs w:val="20"/>
                <w:color w:val="auto"/>
              </w:rPr>
            </w:pPr>
            <w:r>
              <w:rPr>
                <w:rFonts w:ascii="Arial" w:cs="Arial" w:eastAsia="Arial" w:hAnsi="Arial"/>
                <w:sz w:val="18"/>
                <w:szCs w:val="18"/>
                <w:i w:val="1"/>
                <w:iCs w:val="1"/>
                <w:color w:val="auto"/>
              </w:rPr>
              <w:t>(0.6) pts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25.9%</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26.6%</w:t>
            </w:r>
          </w:p>
        </w:tc>
        <w:tc>
          <w:tcPr>
            <w:tcW w:w="1280" w:type="dxa"/>
            <w:vAlign w:val="bottom"/>
            <w:shd w:val="clear" w:color="auto" w:fill="CCEEFF"/>
          </w:tcPr>
          <w:p>
            <w:pPr>
              <w:ind w:left="640"/>
              <w:spacing w:after="0"/>
              <w:rPr>
                <w:sz w:val="20"/>
                <w:szCs w:val="20"/>
                <w:color w:val="auto"/>
              </w:rPr>
            </w:pPr>
            <w:r>
              <w:rPr>
                <w:rFonts w:ascii="Arial" w:cs="Arial" w:eastAsia="Arial" w:hAnsi="Arial"/>
                <w:sz w:val="18"/>
                <w:szCs w:val="18"/>
                <w:i w:val="1"/>
                <w:iCs w:val="1"/>
                <w:color w:val="auto"/>
                <w:w w:val="93"/>
              </w:rPr>
              <w:t>(0.7) pts</w:t>
            </w: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net sales from the prior period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482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2019</w:t>
            </w:r>
          </w:p>
        </w:tc>
        <w:tc>
          <w:tcPr>
            <w:tcW w:w="380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 2019</w:t>
            </w:r>
          </w:p>
        </w:tc>
      </w:tr>
      <w:tr>
        <w:trPr>
          <w:trHeight w:val="270"/>
        </w:trPr>
        <w:tc>
          <w:tcPr>
            <w:tcW w:w="2800" w:type="dxa"/>
            <w:vAlign w:val="bottom"/>
          </w:tcPr>
          <w:p>
            <w:pPr>
              <w:spacing w:after="0"/>
              <w:rPr>
                <w:sz w:val="23"/>
                <w:szCs w:val="23"/>
                <w:color w:val="auto"/>
              </w:rPr>
            </w:pPr>
          </w:p>
        </w:tc>
        <w:tc>
          <w:tcPr>
            <w:tcW w:w="482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80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(9.4)%</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90"/>
              <w:spacing w:after="0"/>
              <w:rPr>
                <w:sz w:val="20"/>
                <w:szCs w:val="20"/>
                <w:color w:val="auto"/>
              </w:rPr>
            </w:pPr>
            <w:r>
              <w:rPr>
                <w:rFonts w:ascii="Arial" w:cs="Arial" w:eastAsia="Arial" w:hAnsi="Arial"/>
                <w:sz w:val="18"/>
                <w:szCs w:val="18"/>
                <w:color w:val="auto"/>
              </w:rPr>
              <w:t>4.9</w:t>
            </w:r>
          </w:p>
        </w:tc>
        <w:tc>
          <w:tcPr>
            <w:tcW w:w="380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380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2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(6.0)%</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6.0 and 5.3 percent decreases in net sales for Aquatic Systems in the third quarter and first nine months,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volume declines due to cold, wet weather during the first half of 2019 in key markets;</w:t>
      </w:r>
    </w:p>
    <w:p>
      <w:pPr>
        <w:spacing w:after="0" w:line="171"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than anticipated inventory levels in some of our key distribution channels impacting our residential and commercial businesses during the three and nine months ended September 30, 2019;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504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3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Nine months ended September 30, 2019</w:t>
            </w:r>
          </w:p>
        </w:tc>
      </w:tr>
      <w:tr>
        <w:trPr>
          <w:trHeight w:val="270"/>
        </w:trPr>
        <w:tc>
          <w:tcPr>
            <w:tcW w:w="2540" w:type="dxa"/>
            <w:vAlign w:val="bottom"/>
          </w:tcPr>
          <w:p>
            <w:pPr>
              <w:spacing w:after="0"/>
              <w:rPr>
                <w:sz w:val="23"/>
                <w:szCs w:val="23"/>
                <w:color w:val="auto"/>
              </w:rPr>
            </w:pPr>
          </w:p>
        </w:tc>
        <w:tc>
          <w:tcPr>
            <w:tcW w:w="504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over the prior year period</w:t>
            </w:r>
          </w:p>
        </w:tc>
        <w:tc>
          <w:tcPr>
            <w:tcW w:w="3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over the prior year period</w:t>
            </w: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5040" w:type="dxa"/>
            <w:vAlign w:val="bottom"/>
            <w:tcBorders>
              <w:bottom w:val="single" w:sz="8" w:color="CCEEFF"/>
            </w:tcBorders>
            <w:shd w:val="clear" w:color="auto" w:fill="CCEEFF"/>
          </w:tcPr>
          <w:p>
            <w:pPr>
              <w:ind w:left="4120"/>
              <w:spacing w:after="0"/>
              <w:rPr>
                <w:sz w:val="20"/>
                <w:szCs w:val="20"/>
                <w:color w:val="auto"/>
              </w:rPr>
            </w:pPr>
            <w:r>
              <w:rPr>
                <w:rFonts w:ascii="Arial" w:cs="Arial" w:eastAsia="Arial" w:hAnsi="Arial"/>
                <w:sz w:val="18"/>
                <w:szCs w:val="18"/>
                <w:color w:val="auto"/>
              </w:rPr>
              <w:t>(2.3) pts</w:t>
            </w:r>
          </w:p>
        </w:tc>
        <w:tc>
          <w:tcPr>
            <w:tcW w:w="3840" w:type="dxa"/>
            <w:vAlign w:val="bottom"/>
            <w:tcBorders>
              <w:bottom w:val="single" w:sz="8" w:color="CCEEFF"/>
            </w:tcBorders>
            <w:shd w:val="clear" w:color="auto" w:fill="CCEEFF"/>
          </w:tcPr>
          <w:p>
            <w:pPr>
              <w:ind w:left="3160"/>
              <w:spacing w:after="0"/>
              <w:rPr>
                <w:sz w:val="20"/>
                <w:szCs w:val="20"/>
                <w:color w:val="auto"/>
              </w:rPr>
            </w:pPr>
            <w:r>
              <w:rPr>
                <w:rFonts w:ascii="Arial" w:cs="Arial" w:eastAsia="Arial" w:hAnsi="Arial"/>
                <w:sz w:val="18"/>
                <w:szCs w:val="18"/>
                <w:color w:val="auto"/>
                <w:w w:val="99"/>
              </w:rPr>
              <w:t>(2.0) pts</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Inflation</w:t>
            </w:r>
          </w:p>
        </w:tc>
        <w:tc>
          <w:tcPr>
            <w:tcW w:w="5040" w:type="dxa"/>
            <w:vAlign w:val="bottom"/>
          </w:tcPr>
          <w:p>
            <w:pPr>
              <w:jc w:val="right"/>
              <w:ind w:right="490"/>
              <w:spacing w:after="0"/>
              <w:rPr>
                <w:sz w:val="20"/>
                <w:szCs w:val="20"/>
                <w:color w:val="auto"/>
              </w:rPr>
            </w:pPr>
            <w:r>
              <w:rPr>
                <w:rFonts w:ascii="Arial" w:cs="Arial" w:eastAsia="Arial" w:hAnsi="Arial"/>
                <w:sz w:val="18"/>
                <w:szCs w:val="18"/>
                <w:color w:val="auto"/>
              </w:rPr>
              <w:t>(2.9)</w:t>
            </w:r>
          </w:p>
        </w:tc>
        <w:tc>
          <w:tcPr>
            <w:tcW w:w="3840" w:type="dxa"/>
            <w:vAlign w:val="bottom"/>
          </w:tcPr>
          <w:p>
            <w:pPr>
              <w:jc w:val="right"/>
              <w:ind w:right="250"/>
              <w:spacing w:after="0"/>
              <w:rPr>
                <w:sz w:val="20"/>
                <w:szCs w:val="20"/>
                <w:color w:val="auto"/>
              </w:rPr>
            </w:pPr>
            <w:r>
              <w:rPr>
                <w:rFonts w:ascii="Arial" w:cs="Arial" w:eastAsia="Arial" w:hAnsi="Arial"/>
                <w:sz w:val="18"/>
                <w:szCs w:val="18"/>
                <w:color w:val="auto"/>
              </w:rPr>
              <w:t>(3.0)</w:t>
            </w:r>
          </w:p>
        </w:tc>
      </w:tr>
      <w:tr>
        <w:trPr>
          <w:trHeight w:val="27"/>
        </w:trPr>
        <w:tc>
          <w:tcPr>
            <w:tcW w:w="25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75"/>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50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4.6</w:t>
            </w:r>
          </w:p>
        </w:tc>
        <w:tc>
          <w:tcPr>
            <w:tcW w:w="38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4.3</w:t>
            </w:r>
          </w:p>
        </w:tc>
      </w:tr>
      <w:tr>
        <w:trPr>
          <w:trHeight w:val="237"/>
        </w:trPr>
        <w:tc>
          <w:tcPr>
            <w:tcW w:w="2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5040" w:type="dxa"/>
            <w:vAlign w:val="bottom"/>
            <w:tcBorders>
              <w:top w:val="single" w:sz="8" w:color="auto"/>
            </w:tcBorders>
          </w:tcPr>
          <w:p>
            <w:pPr>
              <w:ind w:left="4120"/>
              <w:spacing w:after="0"/>
              <w:rPr>
                <w:sz w:val="20"/>
                <w:szCs w:val="20"/>
                <w:color w:val="auto"/>
              </w:rPr>
            </w:pPr>
            <w:r>
              <w:rPr>
                <w:rFonts w:ascii="Arial" w:cs="Arial" w:eastAsia="Arial" w:hAnsi="Arial"/>
                <w:sz w:val="18"/>
                <w:szCs w:val="18"/>
                <w:color w:val="auto"/>
              </w:rPr>
              <w:t>(0.6) pts</w:t>
            </w:r>
          </w:p>
        </w:tc>
        <w:tc>
          <w:tcPr>
            <w:tcW w:w="3840" w:type="dxa"/>
            <w:vAlign w:val="bottom"/>
            <w:tcBorders>
              <w:top w:val="single" w:sz="8" w:color="auto"/>
            </w:tcBorders>
          </w:tcPr>
          <w:p>
            <w:pPr>
              <w:ind w:left="3160"/>
              <w:spacing w:after="0"/>
              <w:rPr>
                <w:sz w:val="20"/>
                <w:szCs w:val="20"/>
                <w:color w:val="auto"/>
              </w:rPr>
            </w:pPr>
            <w:r>
              <w:rPr>
                <w:rFonts w:ascii="Arial" w:cs="Arial" w:eastAsia="Arial" w:hAnsi="Arial"/>
                <w:sz w:val="18"/>
                <w:szCs w:val="18"/>
                <w:color w:val="auto"/>
                <w:w w:val="99"/>
              </w:rPr>
              <w:t>(0.7) pts</w:t>
            </w:r>
          </w:p>
        </w:tc>
      </w:tr>
      <w:tr>
        <w:trPr>
          <w:trHeight w:val="27"/>
        </w:trPr>
        <w:tc>
          <w:tcPr>
            <w:tcW w:w="254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300"/>
        <w:spacing w:after="0" w:line="277" w:lineRule="auto"/>
        <w:rPr>
          <w:sz w:val="20"/>
          <w:szCs w:val="20"/>
          <w:color w:val="auto"/>
        </w:rPr>
      </w:pPr>
      <w:r>
        <w:rPr>
          <w:rFonts w:ascii="Arial" w:cs="Arial" w:eastAsia="Arial" w:hAnsi="Arial"/>
          <w:sz w:val="18"/>
          <w:szCs w:val="18"/>
          <w:i w:val="1"/>
          <w:iCs w:val="1"/>
          <w:color w:val="auto"/>
        </w:rPr>
        <w:t>The 0.6 and 0.7 percentage point decreases in segment income for Aquatic Systems as a percentage of net sales in the third quarter and first nine months,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declines in our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investment in both research and development and sales and marketing to drive growth.</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impacts of inflation;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gridSpan w:val="4"/>
          </w:tcPr>
          <w:p>
            <w:pPr>
              <w:ind w:left="340"/>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September 30,</w:t>
            </w:r>
          </w:p>
        </w:tc>
        <w:tc>
          <w:tcPr>
            <w:tcW w:w="3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c>
          <w:tcPr>
            <w:tcW w:w="10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3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Change</w:t>
            </w:r>
          </w:p>
        </w:tc>
      </w:tr>
      <w:tr>
        <w:trPr>
          <w:trHeight w:val="27"/>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240.4</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w:t>
            </w:r>
          </w:p>
        </w:tc>
        <w:tc>
          <w:tcPr>
            <w:tcW w:w="64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754.1</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5.9 %</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w:t>
            </w:r>
          </w:p>
        </w:tc>
        <w:tc>
          <w:tcPr>
            <w:tcW w:w="32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38.4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3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124.4</w:t>
            </w:r>
          </w:p>
        </w:tc>
        <w:tc>
          <w:tcPr>
            <w:tcW w:w="3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3.5 %</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16.5%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0.5 pts</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16.1%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16.5%</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pts</w:t>
            </w:r>
          </w:p>
        </w:tc>
      </w:tr>
      <w:tr>
        <w:trPr>
          <w:trHeight w:val="364"/>
        </w:trPr>
        <w:tc>
          <w:tcPr>
            <w:tcW w:w="23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7440" w:type="dxa"/>
            <w:vAlign w:val="bottom"/>
            <w:gridSpan w:val="8"/>
          </w:tcPr>
          <w:p>
            <w:pPr>
              <w:spacing w:after="0"/>
              <w:rPr>
                <w:sz w:val="20"/>
                <w:szCs w:val="20"/>
                <w:color w:val="auto"/>
              </w:rPr>
            </w:pPr>
            <w:r>
              <w:rPr>
                <w:rFonts w:ascii="Arial" w:cs="Arial" w:eastAsia="Arial" w:hAnsi="Arial"/>
                <w:sz w:val="18"/>
                <w:szCs w:val="18"/>
                <w:color w:val="auto"/>
                <w:w w:val="93"/>
              </w:rPr>
              <w:t>The components of the change in Filtration Solutions net sales from the prior period were as follows:</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6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39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Nine months ended September 30, 2019</w:t>
            </w:r>
          </w:p>
        </w:tc>
      </w:tr>
      <w:tr>
        <w:trPr>
          <w:trHeight w:val="270"/>
        </w:trPr>
        <w:tc>
          <w:tcPr>
            <w:tcW w:w="2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over the prior year period</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over the prior year period</w:t>
            </w:r>
          </w:p>
        </w:tc>
        <w:tc>
          <w:tcPr>
            <w:tcW w:w="980" w:type="dxa"/>
            <w:vAlign w:val="bottom"/>
          </w:tcPr>
          <w:p>
            <w:pPr>
              <w:spacing w:after="0"/>
              <w:rPr>
                <w:sz w:val="23"/>
                <w:szCs w:val="23"/>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2.5 %</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Price</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3.6</w:t>
            </w: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w w:val="96"/>
              </w:rPr>
              <w:t>12.0</w:t>
            </w: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9.0</w:t>
            </w: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r>
      <w:tr>
        <w:trPr>
          <w:trHeight w:val="23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2"/>
              </w:rPr>
              <w:t>13.8 %</w:t>
            </w:r>
          </w:p>
        </w:tc>
        <w:tc>
          <w:tcPr>
            <w:tcW w:w="9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2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The 13.8 and 5.9 percent increases in net sales for Filtration Solutions in the third quarter and first nine months,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sales due to the acquisitions of Aquion and Pelican in the first quarter of 2019;</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volume in our industrial filtration and food and beverage businesses in the third quarter of 2019;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right="480" w:hanging="330"/>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partially due to lower component sales as Aquion sales are now considered intercompany; and</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periods of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Filtration Solutions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540" w:type="dxa"/>
            <w:vAlign w:val="bottom"/>
          </w:tcPr>
          <w:p>
            <w:pPr>
              <w:jc w:val="right"/>
              <w:ind w:right="110"/>
              <w:spacing w:after="0"/>
              <w:rPr>
                <w:sz w:val="20"/>
                <w:szCs w:val="20"/>
                <w:color w:val="auto"/>
              </w:rPr>
            </w:pPr>
            <w:r>
              <w:rPr>
                <w:rFonts w:ascii="Arial" w:cs="Arial" w:eastAsia="Arial" w:hAnsi="Arial"/>
                <w:sz w:val="18"/>
                <w:szCs w:val="18"/>
                <w:b w:val="1"/>
                <w:bCs w:val="1"/>
                <w:color w:val="auto"/>
              </w:rPr>
              <w:t>Three months ended September 30, 2019</w:t>
            </w:r>
          </w:p>
        </w:tc>
        <w:tc>
          <w:tcPr>
            <w:tcW w:w="500" w:type="dxa"/>
            <w:vAlign w:val="bottom"/>
          </w:tcPr>
          <w:p>
            <w:pPr>
              <w:spacing w:after="0"/>
              <w:rPr>
                <w:sz w:val="20"/>
                <w:szCs w:val="20"/>
                <w:color w:val="auto"/>
              </w:rPr>
            </w:pPr>
          </w:p>
        </w:tc>
        <w:tc>
          <w:tcPr>
            <w:tcW w:w="352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Nine months ended September 30, 2019</w:t>
            </w:r>
          </w:p>
        </w:tc>
        <w:tc>
          <w:tcPr>
            <w:tcW w:w="300" w:type="dxa"/>
            <w:vAlign w:val="bottom"/>
          </w:tcPr>
          <w:p>
            <w:pPr>
              <w:spacing w:after="0"/>
              <w:rPr>
                <w:sz w:val="20"/>
                <w:szCs w:val="20"/>
                <w:color w:val="auto"/>
              </w:rPr>
            </w:pPr>
          </w:p>
        </w:tc>
      </w:tr>
      <w:tr>
        <w:trPr>
          <w:trHeight w:val="270"/>
        </w:trPr>
        <w:tc>
          <w:tcPr>
            <w:tcW w:w="2560" w:type="dxa"/>
            <w:vAlign w:val="bottom"/>
          </w:tcPr>
          <w:p>
            <w:pPr>
              <w:spacing w:after="0"/>
              <w:rPr>
                <w:sz w:val="23"/>
                <w:szCs w:val="23"/>
                <w:color w:val="auto"/>
              </w:rPr>
            </w:pPr>
          </w:p>
        </w:tc>
        <w:tc>
          <w:tcPr>
            <w:tcW w:w="4540" w:type="dxa"/>
            <w:vAlign w:val="bottom"/>
          </w:tcPr>
          <w:p>
            <w:pPr>
              <w:jc w:val="right"/>
              <w:ind w:right="690"/>
              <w:spacing w:after="0"/>
              <w:rPr>
                <w:sz w:val="20"/>
                <w:szCs w:val="20"/>
                <w:color w:val="auto"/>
              </w:rPr>
            </w:pPr>
            <w:r>
              <w:rPr>
                <w:rFonts w:ascii="Arial" w:cs="Arial" w:eastAsia="Arial" w:hAnsi="Arial"/>
                <w:sz w:val="18"/>
                <w:szCs w:val="18"/>
                <w:b w:val="1"/>
                <w:bCs w:val="1"/>
                <w:color w:val="auto"/>
              </w:rPr>
              <w:t>over the prior year period</w:t>
            </w:r>
          </w:p>
        </w:tc>
        <w:tc>
          <w:tcPr>
            <w:tcW w:w="500" w:type="dxa"/>
            <w:vAlign w:val="bottom"/>
          </w:tcPr>
          <w:p>
            <w:pPr>
              <w:spacing w:after="0"/>
              <w:rPr>
                <w:sz w:val="23"/>
                <w:szCs w:val="23"/>
                <w:color w:val="auto"/>
              </w:rPr>
            </w:pPr>
          </w:p>
        </w:tc>
        <w:tc>
          <w:tcPr>
            <w:tcW w:w="3520" w:type="dxa"/>
            <w:vAlign w:val="bottom"/>
          </w:tcPr>
          <w:p>
            <w:pPr>
              <w:jc w:val="right"/>
              <w:ind w:right="650"/>
              <w:spacing w:after="0"/>
              <w:rPr>
                <w:sz w:val="20"/>
                <w:szCs w:val="20"/>
                <w:color w:val="auto"/>
              </w:rPr>
            </w:pPr>
            <w:r>
              <w:rPr>
                <w:rFonts w:ascii="Arial" w:cs="Arial" w:eastAsia="Arial" w:hAnsi="Arial"/>
                <w:sz w:val="18"/>
                <w:szCs w:val="18"/>
                <w:b w:val="1"/>
                <w:bCs w:val="1"/>
                <w:color w:val="auto"/>
              </w:rPr>
              <w:t>over the prior year period</w:t>
            </w:r>
          </w:p>
        </w:tc>
        <w:tc>
          <w:tcPr>
            <w:tcW w:w="300" w:type="dxa"/>
            <w:vAlign w:val="bottom"/>
          </w:tcPr>
          <w:p>
            <w:pPr>
              <w:spacing w:after="0"/>
              <w:rPr>
                <w:sz w:val="23"/>
                <w:szCs w:val="23"/>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pts</w:t>
            </w: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pts</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454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1"/>
                <w:szCs w:val="21"/>
                <w:color w:val="auto"/>
              </w:rPr>
            </w:pPr>
          </w:p>
        </w:tc>
        <w:tc>
          <w:tcPr>
            <w:tcW w:w="3820" w:type="dxa"/>
            <w:vAlign w:val="bottom"/>
            <w:gridSpan w:val="2"/>
          </w:tcPr>
          <w:p>
            <w:pPr>
              <w:jc w:val="right"/>
              <w:ind w:right="210"/>
              <w:spacing w:after="0"/>
              <w:rPr>
                <w:sz w:val="20"/>
                <w:szCs w:val="20"/>
                <w:color w:val="auto"/>
              </w:rPr>
            </w:pPr>
            <w:r>
              <w:rPr>
                <w:rFonts w:ascii="Arial" w:cs="Arial" w:eastAsia="Arial" w:hAnsi="Arial"/>
                <w:sz w:val="18"/>
                <w:szCs w:val="18"/>
                <w:color w:val="auto"/>
              </w:rPr>
              <w:t>(2.8)</w:t>
            </w:r>
          </w:p>
        </w:tc>
      </w:tr>
      <w:tr>
        <w:trPr>
          <w:trHeight w:val="27"/>
        </w:trPr>
        <w:tc>
          <w:tcPr>
            <w:tcW w:w="25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5"/>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4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0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37"/>
        </w:trPr>
        <w:tc>
          <w:tcPr>
            <w:tcW w:w="2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pts</w:t>
            </w:r>
          </w:p>
        </w:tc>
        <w:tc>
          <w:tcPr>
            <w:tcW w:w="3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(0.4) pts</w:t>
            </w:r>
          </w:p>
        </w:tc>
      </w:tr>
      <w:tr>
        <w:trPr>
          <w:trHeight w:val="27"/>
        </w:trPr>
        <w:tc>
          <w:tcPr>
            <w:tcW w:w="256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660"/>
        <w:spacing w:after="0" w:line="277" w:lineRule="auto"/>
        <w:rPr>
          <w:sz w:val="20"/>
          <w:szCs w:val="20"/>
          <w:color w:val="auto"/>
        </w:rPr>
      </w:pPr>
      <w:r>
        <w:rPr>
          <w:rFonts w:ascii="Arial" w:cs="Arial" w:eastAsia="Arial" w:hAnsi="Arial"/>
          <w:sz w:val="18"/>
          <w:szCs w:val="18"/>
          <w:i w:val="1"/>
          <w:iCs w:val="1"/>
          <w:color w:val="auto"/>
        </w:rPr>
        <w:t>The 0.5 percentage point increase in segment income for Filtration Solutions as a percentage of net sales in the third quarter of 2019 from 2018 was primarily driven by:</w:t>
      </w:r>
    </w:p>
    <w:p>
      <w:pPr>
        <w:spacing w:after="0" w:line="116" w:lineRule="exact"/>
        <w:rPr>
          <w:sz w:val="20"/>
          <w:szCs w:val="20"/>
          <w:color w:val="auto"/>
        </w:rPr>
      </w:pPr>
    </w:p>
    <w:p>
      <w:pPr>
        <w:ind w:left="500" w:right="540" w:hanging="330"/>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industrial filtration and food and beverage businesses, which resulted in increased leverage on operating expenses;</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right="360"/>
        <w:spacing w:after="0" w:line="277" w:lineRule="auto"/>
        <w:rPr>
          <w:sz w:val="20"/>
          <w:szCs w:val="20"/>
          <w:color w:val="auto"/>
        </w:rPr>
      </w:pPr>
      <w:r>
        <w:rPr>
          <w:rFonts w:ascii="Arial" w:cs="Arial" w:eastAsia="Arial" w:hAnsi="Arial"/>
          <w:sz w:val="18"/>
          <w:szCs w:val="18"/>
          <w:i w:val="1"/>
          <w:iCs w:val="1"/>
          <w:color w:val="auto"/>
        </w:rPr>
        <w:t>The 0.4 percentage point decrease in segment income for Filtration Solutions as a percentage of net sales in the first nine months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the Aquion and Pelican acquisitions.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1280" w:type="dxa"/>
            <w:vAlign w:val="bottom"/>
          </w:tcPr>
          <w:p>
            <w:pPr>
              <w:spacing w:after="0"/>
              <w:rPr>
                <w:sz w:val="20"/>
                <w:szCs w:val="20"/>
                <w:color w:val="auto"/>
              </w:rPr>
            </w:pPr>
          </w:p>
        </w:tc>
      </w:tr>
      <w:tr>
        <w:trPr>
          <w:trHeight w:val="27"/>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r>
      <w:tr>
        <w:trPr>
          <w:trHeight w:val="218"/>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 / Point</w:t>
            </w:r>
          </w:p>
        </w:tc>
        <w:tc>
          <w:tcPr>
            <w:tcW w:w="142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2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5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Change</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Change</w:t>
            </w:r>
          </w:p>
        </w:tc>
      </w:tr>
      <w:tr>
        <w:trPr>
          <w:trHeight w:val="27"/>
        </w:trPr>
        <w:tc>
          <w:tcPr>
            <w:tcW w:w="2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238.0</w:t>
            </w: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   $</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720.2</w:t>
            </w: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(3.8)%</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36.6</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3.6 %</w:t>
            </w:r>
          </w:p>
        </w:tc>
        <w:tc>
          <w:tcPr>
            <w:tcW w:w="18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109.9</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119.7</w:t>
            </w:r>
          </w:p>
        </w:tc>
        <w:tc>
          <w:tcPr>
            <w:tcW w:w="1280" w:type="dxa"/>
            <w:vAlign w:val="bottom"/>
          </w:tcPr>
          <w:p>
            <w:pPr>
              <w:ind w:left="640"/>
              <w:spacing w:after="0"/>
              <w:rPr>
                <w:sz w:val="20"/>
                <w:szCs w:val="20"/>
                <w:color w:val="auto"/>
              </w:rPr>
            </w:pPr>
            <w:r>
              <w:rPr>
                <w:rFonts w:ascii="Arial" w:cs="Arial" w:eastAsia="Arial" w:hAnsi="Arial"/>
                <w:sz w:val="18"/>
                <w:szCs w:val="18"/>
                <w:color w:val="auto"/>
              </w:rPr>
              <w:t>(8.2)%</w:t>
            </w:r>
          </w:p>
        </w:tc>
      </w:tr>
      <w:tr>
        <w:trPr>
          <w:trHeight w:val="27"/>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15.4%</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1.7 pts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15.9%</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w:t>
            </w:r>
          </w:p>
        </w:tc>
        <w:tc>
          <w:tcPr>
            <w:tcW w:w="1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i w:val="1"/>
                <w:iCs w:val="1"/>
                <w:color w:val="auto"/>
                <w:w w:val="93"/>
              </w:rPr>
              <w:t>(0.7) pts</w:t>
            </w:r>
          </w:p>
        </w:tc>
      </w:tr>
      <w:tr>
        <w:trPr>
          <w:trHeight w:val="459"/>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jc w:val="right"/>
              <w:ind w:right="10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2"/>
          </w:tcPr>
          <w:p>
            <w:pPr>
              <w:jc w:val="right"/>
              <w:ind w:right="270"/>
              <w:spacing w:after="0"/>
              <w:rPr>
                <w:sz w:val="20"/>
                <w:szCs w:val="20"/>
                <w:color w:val="auto"/>
              </w:rPr>
            </w:pPr>
            <w:r>
              <w:rPr>
                <w:rFonts w:ascii="Arial" w:cs="Arial" w:eastAsia="Arial" w:hAnsi="Arial"/>
                <w:sz w:val="18"/>
                <w:szCs w:val="18"/>
                <w:color w:val="auto"/>
                <w:w w:val="90"/>
              </w:rPr>
              <w:t>The components of the change in Flow Technologies net sales from the prior period were as follows:</w:t>
            </w:r>
          </w:p>
        </w:tc>
        <w:tc>
          <w:tcPr>
            <w:tcW w:w="3800" w:type="dxa"/>
            <w:vAlign w:val="bottom"/>
          </w:tcPr>
          <w:p>
            <w:pPr>
              <w:spacing w:after="0"/>
              <w:rPr>
                <w:sz w:val="20"/>
                <w:szCs w:val="20"/>
                <w:color w:val="auto"/>
              </w:rPr>
            </w:pPr>
          </w:p>
        </w:tc>
      </w:tr>
      <w:tr>
        <w:trPr>
          <w:trHeight w:val="364"/>
        </w:trPr>
        <w:tc>
          <w:tcPr>
            <w:tcW w:w="2800" w:type="dxa"/>
            <w:vAlign w:val="bottom"/>
          </w:tcPr>
          <w:p>
            <w:pPr>
              <w:spacing w:after="0"/>
              <w:rPr>
                <w:sz w:val="24"/>
                <w:szCs w:val="24"/>
                <w:color w:val="auto"/>
              </w:rPr>
            </w:pPr>
          </w:p>
        </w:tc>
        <w:tc>
          <w:tcPr>
            <w:tcW w:w="4820" w:type="dxa"/>
            <w:vAlign w:val="bottom"/>
          </w:tcPr>
          <w:p>
            <w:pPr>
              <w:jc w:val="right"/>
              <w:ind w:right="610"/>
              <w:spacing w:after="0"/>
              <w:rPr>
                <w:sz w:val="20"/>
                <w:szCs w:val="20"/>
                <w:color w:val="auto"/>
              </w:rPr>
            </w:pPr>
            <w:r>
              <w:rPr>
                <w:rFonts w:ascii="Arial" w:cs="Arial" w:eastAsia="Arial" w:hAnsi="Arial"/>
                <w:sz w:val="18"/>
                <w:szCs w:val="18"/>
                <w:b w:val="1"/>
                <w:bCs w:val="1"/>
                <w:color w:val="auto"/>
              </w:rPr>
              <w:t>Three months ended September 30, 2019</w:t>
            </w:r>
          </w:p>
        </w:tc>
        <w:tc>
          <w:tcPr>
            <w:tcW w:w="3800" w:type="dxa"/>
            <w:vAlign w:val="bottom"/>
          </w:tcPr>
          <w:p>
            <w:pPr>
              <w:jc w:val="right"/>
              <w:ind w:right="410"/>
              <w:spacing w:after="0"/>
              <w:rPr>
                <w:sz w:val="20"/>
                <w:szCs w:val="20"/>
                <w:color w:val="auto"/>
              </w:rPr>
            </w:pPr>
            <w:r>
              <w:rPr>
                <w:rFonts w:ascii="Arial" w:cs="Arial" w:eastAsia="Arial" w:hAnsi="Arial"/>
                <w:sz w:val="18"/>
                <w:szCs w:val="18"/>
                <w:b w:val="1"/>
                <w:bCs w:val="1"/>
                <w:color w:val="auto"/>
                <w:w w:val="96"/>
              </w:rPr>
              <w:t>Nine months ended September 30, 2019</w:t>
            </w:r>
          </w:p>
        </w:tc>
      </w:tr>
      <w:tr>
        <w:trPr>
          <w:trHeight w:val="270"/>
        </w:trPr>
        <w:tc>
          <w:tcPr>
            <w:tcW w:w="2800" w:type="dxa"/>
            <w:vAlign w:val="bottom"/>
          </w:tcPr>
          <w:p>
            <w:pPr>
              <w:spacing w:after="0"/>
              <w:rPr>
                <w:sz w:val="23"/>
                <w:szCs w:val="23"/>
                <w:color w:val="auto"/>
              </w:rPr>
            </w:pPr>
          </w:p>
        </w:tc>
        <w:tc>
          <w:tcPr>
            <w:tcW w:w="4820" w:type="dxa"/>
            <w:vAlign w:val="bottom"/>
          </w:tcPr>
          <w:p>
            <w:pPr>
              <w:jc w:val="right"/>
              <w:ind w:right="1170"/>
              <w:spacing w:after="0"/>
              <w:rPr>
                <w:sz w:val="20"/>
                <w:szCs w:val="20"/>
                <w:color w:val="auto"/>
              </w:rPr>
            </w:pPr>
            <w:r>
              <w:rPr>
                <w:rFonts w:ascii="Arial" w:cs="Arial" w:eastAsia="Arial" w:hAnsi="Arial"/>
                <w:sz w:val="18"/>
                <w:szCs w:val="18"/>
                <w:b w:val="1"/>
                <w:bCs w:val="1"/>
                <w:color w:val="auto"/>
              </w:rPr>
              <w:t>over the prior year period</w:t>
            </w:r>
          </w:p>
        </w:tc>
        <w:tc>
          <w:tcPr>
            <w:tcW w:w="380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(8.3)%</w:t>
            </w:r>
          </w:p>
        </w:tc>
        <w:tc>
          <w:tcPr>
            <w:tcW w:w="3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Price</w:t>
            </w:r>
          </w:p>
        </w:tc>
        <w:tc>
          <w:tcPr>
            <w:tcW w:w="482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380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44"/>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(5.1)</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280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20" w:type="dxa"/>
            <w:vAlign w:val="bottom"/>
          </w:tcPr>
          <w:p>
            <w:pPr>
              <w:jc w:val="right"/>
              <w:ind w:right="330"/>
              <w:spacing w:after="0"/>
              <w:rPr>
                <w:sz w:val="20"/>
                <w:szCs w:val="20"/>
                <w:color w:val="auto"/>
              </w:rPr>
            </w:pPr>
            <w:r>
              <w:rPr>
                <w:rFonts w:ascii="Arial" w:cs="Arial" w:eastAsia="Arial" w:hAnsi="Arial"/>
                <w:sz w:val="18"/>
                <w:szCs w:val="18"/>
                <w:color w:val="auto"/>
              </w:rPr>
              <w:t>(0.9)</w:t>
            </w:r>
          </w:p>
        </w:tc>
        <w:tc>
          <w:tcPr>
            <w:tcW w:w="380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2800" w:type="dxa"/>
            <w:vAlign w:val="bottom"/>
          </w:tcPr>
          <w:p>
            <w:pPr>
              <w:spacing w:after="0"/>
              <w:rPr>
                <w:sz w:val="2"/>
                <w:szCs w:val="2"/>
                <w:color w:val="auto"/>
              </w:rPr>
            </w:pPr>
          </w:p>
        </w:tc>
        <w:tc>
          <w:tcPr>
            <w:tcW w:w="4820" w:type="dxa"/>
            <w:vAlign w:val="bottom"/>
          </w:tcPr>
          <w:p>
            <w:pPr>
              <w:spacing w:after="0"/>
              <w:rPr>
                <w:sz w:val="2"/>
                <w:szCs w:val="2"/>
                <w:color w:val="auto"/>
              </w:rPr>
            </w:pPr>
          </w:p>
        </w:tc>
        <w:tc>
          <w:tcPr>
            <w:tcW w:w="3800" w:type="dxa"/>
            <w:vAlign w:val="bottom"/>
          </w:tcPr>
          <w:p>
            <w:pPr>
              <w:spacing w:after="0"/>
              <w:rPr>
                <w:sz w:val="2"/>
                <w:szCs w:val="2"/>
                <w:color w:val="auto"/>
              </w:rPr>
            </w:pPr>
          </w:p>
        </w:tc>
      </w:tr>
      <w:tr>
        <w:trPr>
          <w:trHeight w:val="275"/>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3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r>
      <w:tr>
        <w:trPr>
          <w:trHeight w:val="237"/>
        </w:trPr>
        <w:tc>
          <w:tcPr>
            <w:tcW w:w="2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(7.1)%</w:t>
            </w:r>
          </w:p>
        </w:tc>
        <w:tc>
          <w:tcPr>
            <w:tcW w:w="3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80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The 7.1 and 3.8 percent decreases in net sales for Flow Technologies in the third quarter and first nine months, respectively, of 2019 from 2018 were primarily driven by:</w:t>
      </w:r>
    </w:p>
    <w:p>
      <w:pPr>
        <w:spacing w:after="0" w:line="116"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sales volume in our agriculture-related business due to cold, wet weather in the first half of 2019;</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unfavorable foreign currency effects compared to the same period of the prior year;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impact of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segment income as a percentage of net sales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480" w:type="dxa"/>
            <w:vAlign w:val="bottom"/>
          </w:tcPr>
          <w:p>
            <w:pPr>
              <w:jc w:val="right"/>
              <w:ind w:right="50"/>
              <w:spacing w:after="0"/>
              <w:rPr>
                <w:sz w:val="20"/>
                <w:szCs w:val="20"/>
                <w:color w:val="auto"/>
              </w:rPr>
            </w:pPr>
            <w:r>
              <w:rPr>
                <w:rFonts w:ascii="Arial" w:cs="Arial" w:eastAsia="Arial" w:hAnsi="Arial"/>
                <w:sz w:val="18"/>
                <w:szCs w:val="18"/>
                <w:b w:val="1"/>
                <w:bCs w:val="1"/>
                <w:color w:val="auto"/>
              </w:rPr>
              <w:t>Three months ended September 30, 2019</w:t>
            </w:r>
          </w:p>
        </w:tc>
        <w:tc>
          <w:tcPr>
            <w:tcW w:w="560" w:type="dxa"/>
            <w:vAlign w:val="bottom"/>
          </w:tcPr>
          <w:p>
            <w:pPr>
              <w:spacing w:after="0"/>
              <w:rPr>
                <w:sz w:val="20"/>
                <w:szCs w:val="20"/>
                <w:color w:val="auto"/>
              </w:rPr>
            </w:pPr>
          </w:p>
        </w:tc>
        <w:tc>
          <w:tcPr>
            <w:tcW w:w="3820" w:type="dxa"/>
            <w:vAlign w:val="bottom"/>
          </w:tcPr>
          <w:p>
            <w:pPr>
              <w:jc w:val="right"/>
              <w:ind w:right="430"/>
              <w:spacing w:after="0"/>
              <w:rPr>
                <w:sz w:val="20"/>
                <w:szCs w:val="20"/>
                <w:color w:val="auto"/>
              </w:rPr>
            </w:pPr>
            <w:r>
              <w:rPr>
                <w:rFonts w:ascii="Arial" w:cs="Arial" w:eastAsia="Arial" w:hAnsi="Arial"/>
                <w:sz w:val="18"/>
                <w:szCs w:val="18"/>
                <w:b w:val="1"/>
                <w:bCs w:val="1"/>
                <w:color w:val="auto"/>
                <w:w w:val="96"/>
              </w:rPr>
              <w:t>Nine months ended September 30, 2019</w:t>
            </w:r>
          </w:p>
        </w:tc>
      </w:tr>
      <w:tr>
        <w:trPr>
          <w:trHeight w:val="270"/>
        </w:trPr>
        <w:tc>
          <w:tcPr>
            <w:tcW w:w="2560" w:type="dxa"/>
            <w:vAlign w:val="bottom"/>
          </w:tcPr>
          <w:p>
            <w:pPr>
              <w:spacing w:after="0"/>
              <w:rPr>
                <w:sz w:val="23"/>
                <w:szCs w:val="23"/>
                <w:color w:val="auto"/>
              </w:rPr>
            </w:pPr>
          </w:p>
        </w:tc>
        <w:tc>
          <w:tcPr>
            <w:tcW w:w="4480" w:type="dxa"/>
            <w:vAlign w:val="bottom"/>
          </w:tcPr>
          <w:p>
            <w:pPr>
              <w:jc w:val="right"/>
              <w:ind w:right="630"/>
              <w:spacing w:after="0"/>
              <w:rPr>
                <w:sz w:val="20"/>
                <w:szCs w:val="20"/>
                <w:color w:val="auto"/>
              </w:rPr>
            </w:pPr>
            <w:r>
              <w:rPr>
                <w:rFonts w:ascii="Arial" w:cs="Arial" w:eastAsia="Arial" w:hAnsi="Arial"/>
                <w:sz w:val="18"/>
                <w:szCs w:val="18"/>
                <w:b w:val="1"/>
                <w:bCs w:val="1"/>
                <w:color w:val="auto"/>
              </w:rPr>
              <w:t>over the prior year period</w:t>
            </w:r>
          </w:p>
        </w:tc>
        <w:tc>
          <w:tcPr>
            <w:tcW w:w="560" w:type="dxa"/>
            <w:vAlign w:val="bottom"/>
          </w:tcPr>
          <w:p>
            <w:pPr>
              <w:spacing w:after="0"/>
              <w:rPr>
                <w:sz w:val="23"/>
                <w:szCs w:val="23"/>
                <w:color w:val="auto"/>
              </w:rPr>
            </w:pPr>
          </w:p>
        </w:tc>
        <w:tc>
          <w:tcPr>
            <w:tcW w:w="3820" w:type="dxa"/>
            <w:vAlign w:val="bottom"/>
          </w:tcPr>
          <w:p>
            <w:pPr>
              <w:jc w:val="right"/>
              <w:ind w:right="95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56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gridSpan w:val="2"/>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50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 pts</w:t>
            </w:r>
          </w:p>
        </w:tc>
        <w:tc>
          <w:tcPr>
            <w:tcW w:w="3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pts</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5040" w:type="dxa"/>
            <w:vAlign w:val="bottom"/>
            <w:gridSpan w:val="2"/>
          </w:tcPr>
          <w:p>
            <w:pPr>
              <w:jc w:val="right"/>
              <w:ind w:right="450"/>
              <w:spacing w:after="0"/>
              <w:rPr>
                <w:sz w:val="20"/>
                <w:szCs w:val="20"/>
                <w:color w:val="auto"/>
              </w:rPr>
            </w:pPr>
            <w:r>
              <w:rPr>
                <w:rFonts w:ascii="Arial" w:cs="Arial" w:eastAsia="Arial" w:hAnsi="Arial"/>
                <w:sz w:val="18"/>
                <w:szCs w:val="18"/>
                <w:color w:val="auto"/>
              </w:rPr>
              <w:t>(2.2)</w:t>
            </w:r>
          </w:p>
        </w:tc>
        <w:tc>
          <w:tcPr>
            <w:tcW w:w="3820" w:type="dxa"/>
            <w:vAlign w:val="bottom"/>
          </w:tcPr>
          <w:p>
            <w:pPr>
              <w:jc w:val="right"/>
              <w:ind w:right="210"/>
              <w:spacing w:after="0"/>
              <w:rPr>
                <w:sz w:val="20"/>
                <w:szCs w:val="20"/>
                <w:color w:val="auto"/>
              </w:rPr>
            </w:pPr>
            <w:r>
              <w:rPr>
                <w:rFonts w:ascii="Arial" w:cs="Arial" w:eastAsia="Arial" w:hAnsi="Arial"/>
                <w:sz w:val="18"/>
                <w:szCs w:val="18"/>
                <w:color w:val="auto"/>
              </w:rPr>
              <w:t>(3.0)</w:t>
            </w:r>
          </w:p>
        </w:tc>
      </w:tr>
      <w:tr>
        <w:trPr>
          <w:trHeight w:val="27"/>
        </w:trPr>
        <w:tc>
          <w:tcPr>
            <w:tcW w:w="25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75"/>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2.8</w:t>
            </w:r>
          </w:p>
        </w:tc>
      </w:tr>
      <w:tr>
        <w:trPr>
          <w:trHeight w:val="237"/>
        </w:trPr>
        <w:tc>
          <w:tcPr>
            <w:tcW w:w="2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pts</w:t>
            </w:r>
          </w:p>
        </w:tc>
        <w:tc>
          <w:tcPr>
            <w:tcW w:w="3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 pts</w:t>
            </w:r>
          </w:p>
        </w:tc>
      </w:tr>
      <w:tr>
        <w:trPr>
          <w:trHeight w:val="27"/>
        </w:trPr>
        <w:tc>
          <w:tcPr>
            <w:tcW w:w="25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0"/>
        </w:trPr>
        <w:tc>
          <w:tcPr>
            <w:tcW w:w="256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0" w:right="720"/>
        <w:spacing w:after="0" w:line="277" w:lineRule="auto"/>
        <w:rPr>
          <w:sz w:val="20"/>
          <w:szCs w:val="20"/>
          <w:color w:val="auto"/>
        </w:rPr>
      </w:pPr>
      <w:r>
        <w:rPr>
          <w:rFonts w:ascii="Arial" w:cs="Arial" w:eastAsia="Arial" w:hAnsi="Arial"/>
          <w:sz w:val="18"/>
          <w:szCs w:val="18"/>
          <w:i w:val="1"/>
          <w:iCs w:val="1"/>
          <w:color w:val="auto"/>
        </w:rPr>
        <w:t>The 1.7 percentage point increase in segment income for Flow Technologies as a percentage of net sales in the third quarter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decreased sales volumes in our residential, commercial and industrial businesses, which resulted in decreased leverage on operating expenses;</w:t>
      </w:r>
    </w:p>
    <w:p>
      <w:pPr>
        <w:spacing w:after="0" w:line="182" w:lineRule="exact"/>
        <w:rPr>
          <w:rFonts w:ascii="Arial" w:cs="Arial" w:eastAsia="Arial" w:hAnsi="Arial"/>
          <w:sz w:val="17"/>
          <w:szCs w:val="17"/>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divestitures.</w:t>
      </w:r>
    </w:p>
    <w:p>
      <w:pPr>
        <w:spacing w:after="0" w:line="171" w:lineRule="exact"/>
        <w:rPr>
          <w:sz w:val="20"/>
          <w:szCs w:val="20"/>
          <w:color w:val="auto"/>
        </w:rPr>
      </w:pPr>
    </w:p>
    <w:p>
      <w:pPr>
        <w:ind w:left="60" w:right="400"/>
        <w:spacing w:after="0" w:line="277" w:lineRule="auto"/>
        <w:rPr>
          <w:sz w:val="20"/>
          <w:szCs w:val="20"/>
          <w:color w:val="auto"/>
        </w:rPr>
      </w:pPr>
      <w:r>
        <w:rPr>
          <w:rFonts w:ascii="Arial" w:cs="Arial" w:eastAsia="Arial" w:hAnsi="Arial"/>
          <w:sz w:val="18"/>
          <w:szCs w:val="18"/>
          <w:i w:val="1"/>
          <w:iCs w:val="1"/>
          <w:color w:val="auto"/>
        </w:rPr>
        <w:t>The 0.7 percentage point decrease in segment income for Flow Technologies as a percentage of net sales in the first nine months of 2019 from 2018 was primarily driven by:</w:t>
      </w:r>
    </w:p>
    <w:p>
      <w:pPr>
        <w:spacing w:after="0" w:line="116"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sales volumes in our residential and industrial businesses, which resulted in decreased leverage on operating expenses;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 to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1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Cash provided by operating activities of continuing operations was $266.1 million in the first nine months of 2019, compared to $299.2 million in the same period of 2018.</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$266.1 million in net cash provided by operating activities of continuing operations in the first nine months of 2019 primarily reflects net income from continuing operations of $337.5 million, net of non-cash depreciation, amortization and asset impairments, partially offset by an increase in net working capital of $50.3 million, $11.1 million of pension plan contributions and a $11.8 million pension settlement gain in conjunction with the termination of the Pentair Salaried Plan during the first nine months of 2019.</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$299.2 million in net cash provided by operating activities of continuing operations in the first nine months of 2018 primarily reflects net income from continuing operations of $314.5 million, net of non-cash depreciation, amortization, asset impairment and the loss on early extinguishment of debt, partially offset by an increase in net working capital of $31.6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used for investing activities of continuing operations was $329.5 million in the first nine months of 2019, compared to $47.9 million in the same period of 2018. Net cash used for investing activities of continuing operations in the first nine months of 2019 primarily reflects capital expenditures of $44.6 million and cash paid for the Aquion and Pelican acquisitions of $284.5 million, net of cash acquired.</w:t>
      </w:r>
    </w:p>
    <w:p>
      <w:pPr>
        <w:spacing w:after="0" w:line="13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Net cash used for investing activities of continuing operations in the first nine months of 2018 primarily reflects capital expenditures of $33.8 million, cash paid for the settlement of a working capital adjustment related to the sale of the Valves &amp; Controls business and cash paid for acquisitions of $0.9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Net cash provided by financing activities was $97.8 million in the first nine months of 2019, compared with net cash used for financing activities of $268.4 million in the prior year period. Net cash provided by financing activities in the first nine months of 2019 primarily relates to the proceeds from long-term debt of $400.0 million, net receipts of commercial paper and revolving long-term debt of $91.2 million, partially offset by $150.0 million of share repurchases, the payment of dividends of $92.4 million and the repayment of the 2.450% Senior Notes due in 2019 of $151.5 million.</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used for financing activities in the first nine months of 2018 primarily relates to $400.0 million of share repurchases and $156.7 million of dividend payments during the first nine months of 2018. Additionally, in the first nine months of 2018, $993.6 million of cash was distributed as a result of the Separation and Distribution of nVent. We used this cash to fund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repayment of commercial paper and revolving long term debt and for the early extinguishment of certain series of fixed rate debt.</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June 2019, PFSA and PISG completed a public offering of $400.0 million aggregate principal amount of PFSA’s 4.500% Senior Notes due 2029 (the “2029 Notes”). The 2029 Notes are fully and unconditionally guaranteed as to payment of principal and interest by Pentair and PISG. We used the net proceeds of the 2029 Notes to partially repay outstanding commercial paper.</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April 2018, Pentair, PISG, PFSA and Pentair, Inc. entered into a credit agreement, providing for an $800.0 million senior unsecured revolving credit facility with a term of five years (the “Senior Credit Facility”), with Pentair and PISG as guarantors and PFSA and Pentair, Inc. as borrowers. The Senior Credit Facility replaced PFSA’s existing credit facility under that certain Amended and Restated Credit Agreement, dated as of October 3, 2014.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3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PFSA has the option to request an increase to the Senior Credit Facility up to $1,100.0 million in the aggregate, subject to customary conditions, including the commitment of participating lenders. In May 2019, PFSA executed an increase of the Senior Credit Facility by $100.0 million for a total commitment up to $900.0 million in the aggregate. As of September 30, 2019, total availability under the Senior Credit Facility was $706.7 million.</w:t>
      </w:r>
    </w:p>
    <w:p>
      <w:pPr>
        <w:spacing w:after="0" w:line="1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$189.7 million of commercial paper outstanding as of September 30, 2019 and $76.0 million as of December 31, 2018,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debt agreements contain various financial covenants, but the most restrictive covenants are contained in the Senior Credit Facility. The Senior Credit Facility contains covenants requiring us not to permit (i) the ratio of our consolidated debt (net of our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September 30, 2019, we were in compliance with all financial covenants in our debt agreements.</w:t>
      </w:r>
    </w:p>
    <w:p>
      <w:pPr>
        <w:spacing w:after="0" w:line="1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$20.9 million, of which there were no outstanding borrowings at September 30, 2019. Borrowings under these credit facilities bear interest at variable rates.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have $324.0 million aggregate principal amount of fixed rate senior notes maturing in the next twelve months. We classified this debt as long-term as of September 30, 2019 as we have the intent and ability to refinance such obligation on a long-term basis under the Senior Credit Facility.</w:t>
      </w:r>
    </w:p>
    <w:p>
      <w:pPr>
        <w:spacing w:after="0" w:line="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2019, we have $57.5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In May 2018, the Board of Directors authorized the repurchase of our ordinary shares up to a maximum dollar limit of $750.0 million. The authorization expires on May 31, 2021. During the nine months ended September 30, 2019, we repurchased 4.0 million of our shares for $150.0 million. As of September 30, 2019, we had $250.0 million available for share repurchases under this authorization.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On September 24, 2019, the Board of Directors declared a quarterly cash dividend of $0.18, payable on November 1, 2019 to shareholders of record at the close of business on October 18, 2019. As a result, the balance of dividends payable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 was $30.3 million at September 30, 2019, compared to $30.8 million at December 31, 2018.</w:t>
      </w:r>
    </w:p>
    <w:p>
      <w:pPr>
        <w:spacing w:after="0" w:line="15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paid dividends in the first nine months of 2019 of $92.4 million, or $0.540 per ordinary share compared with $156.7 million, or $0.875 per ordinary share, in the prior year period.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$6.5 billion as of December 31, 2018.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approximates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34"/>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34"/>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265.0</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245.3</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2018 Annual Report on Form 10-K, we identified the critical accounting policies that affect our more significant estimates and assumptions used in preparing our consolidated financial statements. There have been no material changes to our critical accounting policies and estimates from those disclosed in our 2018 Annual Report on Form 10-K for the year ended December 31, 2018.</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September 30, 2019. For additional information, refer to Item 7A of our 2018 Annual Report on Form 10-K.</w:t>
      </w:r>
    </w:p>
    <w:p>
      <w:pPr>
        <w:spacing w:after="0" w:line="12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2019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2019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21" w:lineRule="exact"/>
        <w:rPr>
          <w:rFonts w:ascii="Arial" w:cs="Arial" w:eastAsia="Arial" w:hAnsi="Arial"/>
          <w:sz w:val="18"/>
          <w:szCs w:val="18"/>
          <w:b w:val="1"/>
          <w:bCs w:val="1"/>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2" w:right="29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been, and in the future may be, made parties to a number of actions filed or have been, and in the future may be, given notice of potential claims relating to the conduct of our business, including those relating to commercial or contractual disputes with suppliers, customers or parties to acquisitions and divestitures, intellectual property matters, environmental, safety and health matters, product liability, the use or installation of our products, consumer matters, and employment and labor matters.</w:t>
      </w:r>
    </w:p>
    <w:p>
      <w:pPr>
        <w:spacing w:after="0" w:line="10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subsidiaries and numerous other unaffiliated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several dozen to more than a hundred corporate defendants.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 of September 30, 2019, there were approximately 700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September 30, 2019, our recorded reserves for environmental matters were not material. We do not anticipate these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of our 2018 Annual Report on Form 10-K.</w:t>
      </w:r>
    </w:p>
    <w:p>
      <w:pPr>
        <w:spacing w:after="0" w:line="1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third quarter of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66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(a)</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(b)</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26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Dollar value of shares that</w:t>
            </w:r>
          </w:p>
        </w:tc>
      </w:tr>
      <w:tr>
        <w:trPr>
          <w:trHeight w:val="216"/>
        </w:trPr>
        <w:tc>
          <w:tcPr>
            <w:tcW w:w="2620" w:type="dxa"/>
            <w:vAlign w:val="bottom"/>
          </w:tcPr>
          <w:p>
            <w:pPr>
              <w:spacing w:after="0"/>
              <w:rPr>
                <w:sz w:val="18"/>
                <w:szCs w:val="18"/>
                <w:color w:val="auto"/>
              </w:rPr>
            </w:pPr>
          </w:p>
        </w:tc>
        <w:tc>
          <w:tcPr>
            <w:tcW w:w="226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may yet be purchased</w:t>
            </w:r>
          </w:p>
        </w:tc>
      </w:tr>
      <w:tr>
        <w:trPr>
          <w:trHeight w:val="216"/>
        </w:trPr>
        <w:tc>
          <w:tcPr>
            <w:tcW w:w="2620" w:type="dxa"/>
            <w:vAlign w:val="bottom"/>
          </w:tcPr>
          <w:p>
            <w:pPr>
              <w:spacing w:after="0"/>
              <w:rPr>
                <w:sz w:val="18"/>
                <w:szCs w:val="18"/>
                <w:color w:val="auto"/>
              </w:rPr>
            </w:pPr>
          </w:p>
        </w:tc>
        <w:tc>
          <w:tcPr>
            <w:tcW w:w="1660" w:type="dxa"/>
            <w:vAlign w:val="bottom"/>
          </w:tcPr>
          <w:p>
            <w:pPr>
              <w:jc w:val="center"/>
              <w:ind w:left="690"/>
              <w:spacing w:after="0"/>
              <w:rPr>
                <w:sz w:val="20"/>
                <w:szCs w:val="20"/>
                <w:color w:val="auto"/>
              </w:rPr>
            </w:pPr>
            <w:r>
              <w:rPr>
                <w:rFonts w:ascii="Arial" w:cs="Arial" w:eastAsia="Arial" w:hAnsi="Arial"/>
                <w:sz w:val="18"/>
                <w:szCs w:val="18"/>
                <w:b w:val="1"/>
                <w:bCs w:val="1"/>
                <w:color w:val="auto"/>
                <w:w w:val="84"/>
              </w:rPr>
              <w:t>of shares</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Average price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 w:type="dxa"/>
            <w:vAlign w:val="bottom"/>
          </w:tcPr>
          <w:p>
            <w:pPr>
              <w:spacing w:after="0"/>
              <w:rPr>
                <w:sz w:val="18"/>
                <w:szCs w:val="18"/>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under the plans or</w:t>
            </w:r>
          </w:p>
        </w:tc>
      </w:tr>
      <w:tr>
        <w:trPr>
          <w:trHeight w:val="234"/>
        </w:trPr>
        <w:tc>
          <w:tcPr>
            <w:tcW w:w="2620" w:type="dxa"/>
            <w:vAlign w:val="bottom"/>
          </w:tcPr>
          <w:p>
            <w:pPr>
              <w:ind w:left="1120"/>
              <w:spacing w:after="0"/>
              <w:rPr>
                <w:sz w:val="20"/>
                <w:szCs w:val="20"/>
                <w:color w:val="auto"/>
              </w:rPr>
            </w:pPr>
            <w:r>
              <w:rPr>
                <w:rFonts w:ascii="Arial" w:cs="Arial" w:eastAsia="Arial" w:hAnsi="Arial"/>
                <w:sz w:val="18"/>
                <w:szCs w:val="18"/>
                <w:b w:val="1"/>
                <w:bCs w:val="1"/>
                <w:color w:val="auto"/>
              </w:rPr>
              <w:t>Period</w:t>
            </w:r>
          </w:p>
        </w:tc>
        <w:tc>
          <w:tcPr>
            <w:tcW w:w="1660" w:type="dxa"/>
            <w:vAlign w:val="bottom"/>
          </w:tcPr>
          <w:p>
            <w:pPr>
              <w:jc w:val="center"/>
              <w:ind w:left="690"/>
              <w:spacing w:after="0"/>
              <w:rPr>
                <w:sz w:val="20"/>
                <w:szCs w:val="20"/>
                <w:color w:val="auto"/>
              </w:rPr>
            </w:pPr>
            <w:r>
              <w:rPr>
                <w:rFonts w:ascii="Arial" w:cs="Arial" w:eastAsia="Arial" w:hAnsi="Arial"/>
                <w:sz w:val="18"/>
                <w:szCs w:val="18"/>
                <w:b w:val="1"/>
                <w:bCs w:val="1"/>
                <w:color w:val="auto"/>
                <w:w w:val="87"/>
              </w:rPr>
              <w:t>purchased</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paid per share</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220" w:type="dxa"/>
            <w:vAlign w:val="bottom"/>
          </w:tcPr>
          <w:p>
            <w:pPr>
              <w:spacing w:after="0"/>
              <w:rPr>
                <w:sz w:val="20"/>
                <w:szCs w:val="20"/>
                <w:color w:val="auto"/>
              </w:rPr>
            </w:pPr>
          </w:p>
        </w:tc>
        <w:tc>
          <w:tcPr>
            <w:tcW w:w="19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programs</w:t>
            </w:r>
          </w:p>
        </w:tc>
      </w:tr>
      <w:tr>
        <w:trPr>
          <w:trHeight w:val="34"/>
        </w:trPr>
        <w:tc>
          <w:tcPr>
            <w:tcW w:w="2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 July 27</w:t>
            </w:r>
          </w:p>
        </w:tc>
        <w:tc>
          <w:tcPr>
            <w:tcW w:w="1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37.80</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250,000,187</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July 28 - August 24</w:t>
            </w:r>
          </w:p>
        </w:tc>
        <w:tc>
          <w:tcPr>
            <w:tcW w:w="1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12,542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39.02</w:t>
            </w:r>
          </w:p>
        </w:tc>
        <w:tc>
          <w:tcPr>
            <w:tcW w:w="2120" w:type="dxa"/>
            <w:vAlign w:val="bottom"/>
          </w:tcPr>
          <w:p>
            <w:pPr>
              <w:ind w:left="186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250,000,187</w:t>
            </w:r>
          </w:p>
        </w:tc>
      </w:tr>
      <w:tr>
        <w:trPr>
          <w:trHeight w:val="27"/>
        </w:trPr>
        <w:tc>
          <w:tcPr>
            <w:tcW w:w="2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25 - September 30</w:t>
            </w:r>
          </w:p>
        </w:tc>
        <w:tc>
          <w:tcPr>
            <w:tcW w:w="1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w:t>
            </w:r>
          </w:p>
        </w:tc>
        <w:tc>
          <w:tcPr>
            <w:tcW w:w="212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250,000,187</w:t>
            </w:r>
          </w:p>
        </w:tc>
      </w:tr>
      <w:tr>
        <w:trPr>
          <w:trHeight w:val="237"/>
        </w:trPr>
        <w:tc>
          <w:tcPr>
            <w:tcW w:w="2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22,116</w:t>
            </w:r>
          </w:p>
        </w:tc>
        <w:tc>
          <w:tcPr>
            <w:tcW w:w="3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ind w:left="18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hanging="330"/>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purchases in this column include 933 shares for the period July 1 - July 27, 12,542 shares for the period July 28 - August 24 and 8,641 shares for the period August 25 - September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32" w:lineRule="exact"/>
        <w:rPr>
          <w:rFonts w:ascii="Arial" w:cs="Arial" w:eastAsia="Arial" w:hAnsi="Arial"/>
          <w:sz w:val="18"/>
          <w:szCs w:val="18"/>
          <w:color w:val="auto"/>
        </w:rPr>
      </w:pPr>
    </w:p>
    <w:p>
      <w:pPr>
        <w:ind w:left="500" w:right="20" w:hanging="330"/>
        <w:spacing w:after="0" w:line="342"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500" w:right="380" w:hanging="330"/>
        <w:spacing w:after="0" w:line="312"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May 2018, the Board of Directors authorized the repurchase of our ordinary shares up to a maximum dollar limit of $750.0 million. The 2018 authorization expires on May 31, 2021. As of September 30, 2019, we had $250.0 million available for share repurchases under this authorization. From time to time, we may enter into a Rule 10b5-1 trading plan for the purpose of repurchasing shares under this authorization.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2019</w:t>
      </w:r>
    </w:p>
    <w:p>
      <w:pPr>
        <w:spacing w:after="0" w:line="360"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31.1</w:t>
      </w:r>
      <w:r>
        <w:rPr>
          <w:sz w:val="20"/>
          <w:szCs w:val="20"/>
          <w:color w:val="auto"/>
        </w:rPr>
        <w:tab/>
      </w:r>
      <w:r>
        <w:rPr>
          <w:rFonts w:ascii="Arial" w:cs="Arial" w:eastAsia="Arial" w:hAnsi="Arial"/>
          <w:sz w:val="16"/>
          <w:szCs w:val="16"/>
          <w:color w:val="auto"/>
        </w:rPr>
        <w:t>Certification of Chief Executive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31.2</w:t>
      </w:r>
      <w:r>
        <w:rPr>
          <w:sz w:val="20"/>
          <w:szCs w:val="20"/>
          <w:color w:val="auto"/>
        </w:rPr>
        <w:tab/>
      </w:r>
      <w:r>
        <w:rPr>
          <w:rFonts w:ascii="Arial" w:cs="Arial" w:eastAsia="Arial" w:hAnsi="Arial"/>
          <w:sz w:val="17"/>
          <w:szCs w:val="17"/>
          <w:color w:val="auto"/>
        </w:rPr>
        <w:t>Certification of Chief Financial Officer.</w:t>
      </w:r>
    </w:p>
    <w:p>
      <w:pPr>
        <w:spacing w:after="0" w:line="185"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sz w:val="20"/>
          <w:szCs w:val="20"/>
          <w:color w:val="auto"/>
        </w:rPr>
      </w:pPr>
      <w:r>
        <w:rPr>
          <w:rFonts w:ascii="Arial" w:cs="Arial" w:eastAsia="Arial" w:hAnsi="Arial"/>
          <w:sz w:val="18"/>
          <w:szCs w:val="18"/>
          <w:b w:val="1"/>
          <w:bCs w:val="1"/>
          <w:u w:val="single" w:color="auto"/>
          <w:color w:val="0000FF"/>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right="40" w:hanging="790"/>
        <w:spacing w:after="0" w:line="272" w:lineRule="auto"/>
        <w:tabs>
          <w:tab w:leader="none" w:pos="96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The following materials from Pentair plc’s Quarterly Report on Form 10-Q for the quarter ended September 30, 2019 are filed herewith, formatted in iXBRL (Inline Extensible Business Reporting Language): (i) the Condensed Consolidated Statements of Operations and Comprehensive Income for the three and nine months ended September 30, 2019 and 2018, (ii) the Condensed Consolidated Balance Sheets as of September 30, 2019 and December 31, 2018, (iii) the Condensed Consolidated Statements of Cash Flows for the nine months ended September 30, 2019 and 2018, (iv) the Condensed Consolidated Statements of Changes in Equity for the three and nine months ended September 30, 2019 and 2018, and (v) Notes to Condensed Consolidated Financial Statements. The instance document does not appear in the interactive data file because its XBRL tags are embedded within the Inline XBRL document.</w:t>
      </w:r>
    </w:p>
    <w:p>
      <w:pPr>
        <w:spacing w:after="0" w:line="16" w:lineRule="exact"/>
        <w:rPr>
          <w:sz w:val="20"/>
          <w:szCs w:val="20"/>
          <w:color w:val="auto"/>
        </w:rPr>
      </w:pPr>
    </w:p>
    <w:p>
      <w:pPr>
        <w:ind w:left="960" w:hanging="790"/>
        <w:spacing w:after="0"/>
        <w:tabs>
          <w:tab w:leader="none" w:pos="9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3"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color w:val="auto"/>
        </w:rPr>
        <w:t>45</w:t>
      </w:r>
    </w:p>
    <w:p>
      <w:pPr>
        <w:sectPr>
          <w:pgSz w:w="11900" w:h="16838" w:orient="portrait"/>
          <w:cols w:equalWidth="0" w:num="1">
            <w:col w:w="11300"/>
          </w:cols>
          <w:pgMar w:left="240" w:top="122" w:right="3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23,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Executive Vice President, Chief Financial Officer and Chief</w:t>
      </w:r>
    </w:p>
    <w:p>
      <w:pPr>
        <w:spacing w:after="0" w:line="4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122" w:right="3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September 30, 2019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2019</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Pentair plc (the “Company”) on Form 10-Q for the period ended September 30, 2019 as filed with the Securities and Exchange Commission on the date hereof (the “Report”), I, Mark C. Borin, Executive Vice President, Chief Financial Officer and Chief Accounting Officer of the Company, certify, pursuant to 18 U.S.C. § 1350, as adopted pursuant to Section 906 of the Sarbanes-Oxley Act of 2002, that based on my knowledge:</w:t>
      </w:r>
    </w:p>
    <w:p>
      <w:pPr>
        <w:spacing w:after="0" w:line="18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23, 2019</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Chief Accounting</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decimal"/>
      <w:start w:val="4"/>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decimal"/>
      <w:start w:val="8"/>
    </w:lvl>
  </w:abstractNum>
  <w:abstractNum w:abstractNumId="8">
    <w:nsid w:val="3006C83E"/>
    <w:multiLevelType w:val="hybridMultilevel"/>
    <w:lvl w:ilvl="0">
      <w:lvlJc w:val="left"/>
      <w:lvlText w:val="%1."/>
      <w:numFmt w:val="decimal"/>
      <w:start w:val="9"/>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0"/>
    </w:lvl>
  </w:abstractNum>
  <w:abstractNum w:abstractNumId="11">
    <w:nsid w:val="5577F8E1"/>
    <w:multiLevelType w:val="hybridMultilevel"/>
    <w:lvl w:ilvl="0">
      <w:lvlJc w:val="left"/>
      <w:lvlText w:val="•"/>
      <w:numFmt w:val="bullet"/>
      <w:start w:val="1"/>
    </w:lvl>
    <w:lvl w:ilvl="1">
      <w:lvlJc w:val="left"/>
      <w:lvlText w:val="•"/>
      <w:numFmt w:val="bullet"/>
      <w:start w:val="1"/>
    </w:lvl>
  </w:abstractNum>
  <w:abstractNum w:abstractNumId="12">
    <w:nsid w:val="440BADFC"/>
    <w:multiLevelType w:val="hybridMultilevel"/>
    <w:lvl w:ilvl="0">
      <w:lvlJc w:val="left"/>
      <w:lvlText w:val="%1."/>
      <w:numFmt w:val="decimal"/>
      <w:start w:val="11"/>
    </w:lvl>
  </w:abstractNum>
  <w:abstractNum w:abstractNumId="13">
    <w:nsid w:val="5072367"/>
    <w:multiLevelType w:val="hybridMultilevel"/>
    <w:lvl w:ilvl="0">
      <w:lvlJc w:val="left"/>
      <w:lvlText w:val="%1."/>
      <w:numFmt w:val="decimal"/>
      <w:start w:val="12"/>
    </w:lvl>
  </w:abstractNum>
  <w:abstractNum w:abstractNumId="14">
    <w:nsid w:val="3804823E"/>
    <w:multiLevelType w:val="hybridMultilevel"/>
    <w:lvl w:ilvl="0">
      <w:lvlJc w:val="left"/>
      <w:lvlText w:val="%1."/>
      <w:numFmt w:val="decimal"/>
      <w:start w:val="13"/>
    </w:lvl>
  </w:abstractNum>
  <w:abstractNum w:abstractNumId="15">
    <w:nsid w:val="77465F01"/>
    <w:multiLevelType w:val="hybridMultilevel"/>
    <w:lvl w:ilvl="0">
      <w:lvlJc w:val="left"/>
      <w:lvlText w:val="%1."/>
      <w:numFmt w:val="decimal"/>
      <w:start w:val="14"/>
    </w:lvl>
  </w:abstractNum>
  <w:abstractNum w:abstractNumId="16">
    <w:nsid w:val="7724C67E"/>
    <w:multiLevelType w:val="hybridMultilevel"/>
    <w:lvl w:ilvl="0">
      <w:lvlJc w:val="left"/>
      <w:lvlText w:val="%1."/>
      <w:numFmt w:val="decimal"/>
      <w:start w:val="15"/>
    </w:lvl>
  </w:abstractNum>
  <w:abstractNum w:abstractNumId="17">
    <w:nsid w:val="5C482A97"/>
    <w:multiLevelType w:val="hybridMultilevel"/>
    <w:lvl w:ilvl="0">
      <w:lvlJc w:val="left"/>
      <w:lvlText w:val="%1."/>
      <w:numFmt w:val="decimal"/>
      <w:start w:val="16"/>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01"/>
    </w:lvl>
  </w:abstractNum>
  <w:abstractNum w:abstractNumId="53">
    <w:nsid w:val="275AC794"/>
    <w:multiLevelType w:val="hybridMultilevel"/>
    <w:lvl w:ilvl="0">
      <w:lvlJc w:val="left"/>
      <w:lvlText w:val="%1"/>
      <w:numFmt w:val="decimal"/>
      <w:start w:val="104"/>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2020-01-09T03:56:56Z</dcterms:created>
  <dcterms:modified xsi:type="dcterms:W3CDTF">2020-01-09T03:56:56Z</dcterms:modified>
</cp:coreProperties>
</file>