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360" w:lineRule="exact"/>
        <w:rPr>
          <w:sz w:val="24"/>
          <w:szCs w:val="24"/>
          <w:color w:val="auto"/>
        </w:rPr>
      </w:pPr>
    </w:p>
    <w:p>
      <w:pPr>
        <w:ind w:left="1180" w:right="1080" w:hanging="1145"/>
        <w:spacing w:after="0" w:line="391" w:lineRule="auto"/>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2019</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1180" w:hanging="1145"/>
        <w:spacing w:after="0"/>
        <w:tabs>
          <w:tab w:leader="none" w:pos="11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47" w:lineRule="exact"/>
        <w:rPr>
          <w:rFonts w:ascii="MS PGothic" w:cs="MS PGothic" w:eastAsia="MS PGothic" w:hAnsi="MS PGothic"/>
          <w:sz w:val="18"/>
          <w:szCs w:val="18"/>
          <w:color w:val="auto"/>
        </w:rPr>
      </w:pPr>
    </w:p>
    <w:p>
      <w:pPr>
        <w:ind w:left="43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001-11625</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Pentair plc</w:t>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Ireland</w:t>
            </w:r>
          </w:p>
        </w:tc>
        <w:tc>
          <w:tcPr>
            <w:tcW w:w="5360" w:type="dxa"/>
            <w:vAlign w:val="bottom"/>
          </w:tcPr>
          <w:p>
            <w:pPr>
              <w:jc w:val="right"/>
              <w:ind w:right="2170"/>
              <w:spacing w:after="0"/>
              <w:rPr>
                <w:sz w:val="20"/>
                <w:szCs w:val="20"/>
                <w:color w:val="auto"/>
              </w:rPr>
            </w:pPr>
            <w:r>
              <w:rPr>
                <w:rFonts w:ascii="Arial" w:cs="Arial" w:eastAsia="Arial" w:hAnsi="Arial"/>
                <w:sz w:val="18"/>
                <w:szCs w:val="18"/>
                <w:b w:val="1"/>
                <w:bCs w:val="1"/>
                <w:color w:val="auto"/>
              </w:rPr>
              <w:t>98-1141328</w:t>
            </w:r>
          </w:p>
        </w:tc>
      </w:tr>
      <w:tr>
        <w:trPr>
          <w:trHeight w:val="27"/>
        </w:trPr>
        <w:tc>
          <w:tcPr>
            <w:tcW w:w="5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 Identification number)</w:t>
            </w:r>
          </w:p>
        </w:tc>
      </w:tr>
    </w:tbl>
    <w:p>
      <w:pPr>
        <w:spacing w:after="0" w:line="1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Regal House, 70 London Road, Twickenham, London, TW13QS United Kingdom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44-74-9421-6154</w:t>
      </w:r>
    </w:p>
    <w:p>
      <w:pPr>
        <w:spacing w:after="0" w:line="175"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5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(§223.405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1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Smaller reporting</w:t>
            </w:r>
          </w:p>
        </w:tc>
        <w:tc>
          <w:tcPr>
            <w:tcW w:w="1780" w:type="dxa"/>
            <w:vAlign w:val="bottom"/>
          </w:tcPr>
          <w:p>
            <w:pPr>
              <w:jc w:val="center"/>
              <w:ind w:left="410"/>
              <w:spacing w:after="0"/>
              <w:rPr>
                <w:sz w:val="20"/>
                <w:szCs w:val="20"/>
                <w:color w:val="auto"/>
              </w:rPr>
            </w:pPr>
            <w:r>
              <w:rPr>
                <w:rFonts w:ascii="Arial" w:cs="Arial" w:eastAsia="Arial" w:hAnsi="Arial"/>
                <w:sz w:val="18"/>
                <w:szCs w:val="18"/>
                <w:color w:val="auto"/>
                <w:w w:val="94"/>
              </w:rPr>
              <w:t>Emerging growth</w:t>
            </w:r>
          </w:p>
        </w:tc>
        <w:tc>
          <w:tcPr>
            <w:tcW w:w="0" w:type="dxa"/>
            <w:vAlign w:val="bottom"/>
          </w:tcPr>
          <w:p>
            <w:pPr>
              <w:spacing w:after="0"/>
              <w:rPr>
                <w:sz w:val="1"/>
                <w:szCs w:val="1"/>
                <w:color w:val="auto"/>
              </w:rPr>
            </w:pPr>
          </w:p>
        </w:tc>
      </w:tr>
      <w:tr>
        <w:trPr>
          <w:trHeight w:val="250"/>
        </w:trPr>
        <w:tc>
          <w:tcPr>
            <w:tcW w:w="2240" w:type="dxa"/>
            <w:vAlign w:val="bottom"/>
            <w:vMerge w:val="continue"/>
          </w:tcPr>
          <w:p>
            <w:pPr>
              <w:spacing w:after="0"/>
              <w:rPr>
                <w:sz w:val="21"/>
                <w:szCs w:val="21"/>
                <w:color w:val="auto"/>
              </w:rPr>
            </w:pPr>
          </w:p>
        </w:tc>
        <w:tc>
          <w:tcPr>
            <w:tcW w:w="2160" w:type="dxa"/>
            <w:vAlign w:val="bottom"/>
          </w:tcPr>
          <w:p>
            <w:pPr>
              <w:ind w:left="420"/>
              <w:spacing w:after="0"/>
              <w:rPr>
                <w:sz w:val="20"/>
                <w:szCs w:val="20"/>
                <w:color w:val="auto"/>
              </w:rPr>
            </w:pPr>
            <w:r>
              <w:rPr>
                <w:rFonts w:ascii="Arial" w:cs="Arial" w:eastAsia="Arial" w:hAnsi="Arial"/>
                <w:sz w:val="18"/>
                <w:szCs w:val="18"/>
                <w:color w:val="auto"/>
              </w:rPr>
              <w:t>Accelerated filer o</w:t>
            </w:r>
          </w:p>
        </w:tc>
        <w:tc>
          <w:tcPr>
            <w:tcW w:w="2520" w:type="dxa"/>
            <w:vAlign w:val="bottom"/>
          </w:tcPr>
          <w:p>
            <w:pPr>
              <w:ind w:left="400"/>
              <w:spacing w:after="0"/>
              <w:rPr>
                <w:sz w:val="20"/>
                <w:szCs w:val="20"/>
                <w:color w:val="auto"/>
              </w:rPr>
            </w:pPr>
            <w:r>
              <w:rPr>
                <w:rFonts w:ascii="Arial" w:cs="Arial" w:eastAsia="Arial" w:hAnsi="Arial"/>
                <w:sz w:val="18"/>
                <w:szCs w:val="18"/>
                <w:color w:val="auto"/>
              </w:rPr>
              <w:t>Non-accelerated filer o</w:t>
            </w: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company o</w:t>
            </w:r>
          </w:p>
        </w:tc>
        <w:tc>
          <w:tcPr>
            <w:tcW w:w="1780" w:type="dxa"/>
            <w:vAlign w:val="bottom"/>
          </w:tcPr>
          <w:p>
            <w:pPr>
              <w:jc w:val="center"/>
              <w:ind w:left="410"/>
              <w:spacing w:after="0"/>
              <w:rPr>
                <w:sz w:val="20"/>
                <w:szCs w:val="20"/>
                <w:color w:val="auto"/>
              </w:rPr>
            </w:pPr>
            <w:r>
              <w:rPr>
                <w:rFonts w:ascii="Arial" w:cs="Arial" w:eastAsia="Arial" w:hAnsi="Arial"/>
                <w:sz w:val="18"/>
                <w:szCs w:val="18"/>
                <w:color w:val="auto"/>
                <w:w w:val="90"/>
              </w:rPr>
              <w:t>company o</w:t>
            </w:r>
          </w:p>
        </w:tc>
        <w:tc>
          <w:tcPr>
            <w:tcW w:w="0" w:type="dxa"/>
            <w:vAlign w:val="bottom"/>
          </w:tcPr>
          <w:p>
            <w:pPr>
              <w:spacing w:after="0"/>
              <w:rPr>
                <w:sz w:val="1"/>
                <w:szCs w:val="1"/>
                <w:color w:val="auto"/>
              </w:rPr>
            </w:pPr>
          </w:p>
        </w:tc>
      </w:tr>
    </w:tbl>
    <w:p>
      <w:pPr>
        <w:spacing w:after="0" w:line="155"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On March 31, 2019, 171,891,940 shares of Registrant’s common stock were outstanding.</w:t>
      </w:r>
    </w:p>
    <w:p>
      <w:pPr>
        <w:sectPr>
          <w:pgSz w:w="11900" w:h="16838" w:orient="portrait"/>
          <w:cols w:equalWidth="0" w:num="1">
            <w:col w:w="11420"/>
          </w:cols>
          <w:pgMar w:left="240" w:top="229" w:right="23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940" w:type="dxa"/>
            <w:vAlign w:val="bottom"/>
            <w:gridSpan w:val="8"/>
          </w:tcPr>
          <w:p>
            <w:pPr>
              <w:jc w:val="center"/>
              <w:ind w:right="3660"/>
              <w:spacing w:after="0"/>
              <w:rPr>
                <w:sz w:val="20"/>
                <w:szCs w:val="20"/>
                <w:color w:val="auto"/>
              </w:rPr>
            </w:pPr>
            <w:r>
              <w:rPr>
                <w:rFonts w:ascii="Arial" w:cs="Arial" w:eastAsia="Arial" w:hAnsi="Arial"/>
                <w:sz w:val="18"/>
                <w:szCs w:val="18"/>
                <w:b w:val="1"/>
                <w:bCs w:val="1"/>
                <w:color w:val="auto"/>
                <w:w w:val="89"/>
              </w:rPr>
              <w:t>Pentair plc and Subsidiaries</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00" w:type="dxa"/>
            <w:vAlign w:val="bottom"/>
            <w:gridSpan w:val="4"/>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302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7460" w:type="dxa"/>
            <w:vAlign w:val="bottom"/>
            <w:gridSpan w:val="12"/>
            <w:vMerge w:val="restart"/>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5"/>
        </w:trPr>
        <w:tc>
          <w:tcPr>
            <w:tcW w:w="3020" w:type="dxa"/>
            <w:vAlign w:val="bottom"/>
            <w:tcBorders>
              <w:bottom w:val="single" w:sz="8" w:color="auto"/>
            </w:tcBorders>
            <w:gridSpan w:val="5"/>
            <w:vMerge w:val="continue"/>
          </w:tcPr>
          <w:p>
            <w:pPr>
              <w:spacing w:after="0"/>
              <w:rPr>
                <w:sz w:val="24"/>
                <w:szCs w:val="24"/>
                <w:color w:val="auto"/>
              </w:rPr>
            </w:pPr>
          </w:p>
        </w:tc>
        <w:tc>
          <w:tcPr>
            <w:tcW w:w="7460" w:type="dxa"/>
            <w:vAlign w:val="bottom"/>
            <w:gridSpan w:val="12"/>
            <w:vMerge w:val="continue"/>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1.</w:t>
            </w:r>
          </w:p>
        </w:tc>
        <w:tc>
          <w:tcPr>
            <w:tcW w:w="832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4"/>
                <w:szCs w:val="24"/>
                <w:color w:val="auto"/>
              </w:rPr>
            </w:pPr>
          </w:p>
        </w:tc>
        <w:tc>
          <w:tcPr>
            <w:tcW w:w="57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and Comprehensive Income</w:t>
              </w:r>
            </w:hyperlink>
          </w:p>
        </w:tc>
        <w:tc>
          <w:tcPr>
            <w:tcW w:w="2580" w:type="dxa"/>
            <w:vAlign w:val="bottom"/>
            <w:gridSpan w:val="2"/>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160" w:type="dxa"/>
            <w:vAlign w:val="bottom"/>
          </w:tcPr>
          <w:p>
            <w:pPr>
              <w:spacing w:after="0"/>
              <w:rPr>
                <w:sz w:val="24"/>
                <w:szCs w:val="24"/>
                <w:color w:val="auto"/>
              </w:rPr>
            </w:pPr>
          </w:p>
        </w:tc>
        <w:tc>
          <w:tcPr>
            <w:tcW w:w="832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4"/>
                <w:szCs w:val="24"/>
                <w:color w:val="auto"/>
              </w:rPr>
            </w:pPr>
          </w:p>
        </w:tc>
        <w:tc>
          <w:tcPr>
            <w:tcW w:w="832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4"/>
                <w:szCs w:val="24"/>
                <w:color w:val="auto"/>
              </w:rPr>
            </w:pPr>
          </w:p>
        </w:tc>
        <w:tc>
          <w:tcPr>
            <w:tcW w:w="832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Changes in Equity</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372"/>
        </w:trPr>
        <w:tc>
          <w:tcPr>
            <w:tcW w:w="2160" w:type="dxa"/>
            <w:vAlign w:val="bottom"/>
          </w:tcPr>
          <w:p>
            <w:pPr>
              <w:spacing w:after="0"/>
              <w:rPr>
                <w:sz w:val="24"/>
                <w:szCs w:val="24"/>
                <w:color w:val="auto"/>
              </w:rPr>
            </w:pPr>
          </w:p>
        </w:tc>
        <w:tc>
          <w:tcPr>
            <w:tcW w:w="4200" w:type="dxa"/>
            <w:vAlign w:val="bottom"/>
            <w:tcBorders>
              <w:top w:val="single" w:sz="8" w:color="0000EE"/>
            </w:tcBorders>
            <w:gridSpan w:val="12"/>
          </w:tcPr>
          <w:p>
            <w:pPr>
              <w:spacing w:after="0"/>
              <w:rPr>
                <w:rFonts w:ascii="Arial" w:cs="Arial" w:eastAsia="Arial" w:hAnsi="Arial"/>
                <w:sz w:val="18"/>
                <w:szCs w:val="18"/>
                <w:color w:val="0000FF"/>
                <w:w w:val="93"/>
              </w:rPr>
            </w:pPr>
            <w:hyperlink w:anchor="page7">
              <w:r>
                <w:rPr>
                  <w:rFonts w:ascii="Arial" w:cs="Arial" w:eastAsia="Arial" w:hAnsi="Arial"/>
                  <w:sz w:val="18"/>
                  <w:szCs w:val="18"/>
                  <w:color w:val="0000FF"/>
                  <w:w w:val="93"/>
                </w:rPr>
                <w:t>Notes to Condensed Consolidated Financial Statements</w:t>
              </w:r>
            </w:hyperlink>
          </w:p>
        </w:tc>
        <w:tc>
          <w:tcPr>
            <w:tcW w:w="4120" w:type="dxa"/>
            <w:vAlign w:val="bottom"/>
            <w:gridSpan w:val="4"/>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2.</w:t>
            </w:r>
          </w:p>
        </w:tc>
        <w:tc>
          <w:tcPr>
            <w:tcW w:w="8320" w:type="dxa"/>
            <w:vAlign w:val="bottom"/>
            <w:gridSpan w:val="16"/>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Management’s Discussion and Analysis of Financial Condition and Results of Operations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gridSpan w:val="13"/>
          </w:tcPr>
          <w:p>
            <w:pPr>
              <w:spacing w:after="0"/>
              <w:rPr>
                <w:rFonts w:ascii="Arial" w:cs="Arial" w:eastAsia="Arial" w:hAnsi="Arial"/>
                <w:sz w:val="18"/>
                <w:szCs w:val="18"/>
                <w:color w:val="0000FF"/>
                <w:w w:val="91"/>
              </w:rPr>
            </w:pPr>
            <w:hyperlink w:anchor="page37">
              <w:r>
                <w:rPr>
                  <w:rFonts w:ascii="Arial" w:cs="Arial" w:eastAsia="Arial" w:hAnsi="Arial"/>
                  <w:sz w:val="18"/>
                  <w:szCs w:val="18"/>
                  <w:color w:val="0000FF"/>
                  <w:w w:val="91"/>
                </w:rPr>
                <w:t>Quantitative and Qualitative Disclosures about Market Risk</w:t>
              </w:r>
            </w:hyperlink>
          </w:p>
        </w:tc>
        <w:tc>
          <w:tcPr>
            <w:tcW w:w="2140" w:type="dxa"/>
            <w:vAlign w:val="bottom"/>
            <w:gridSpan w:val="2"/>
          </w:tcPr>
          <w:p>
            <w:pPr>
              <w:spacing w:after="0"/>
              <w:rPr>
                <w:sz w:val="24"/>
                <w:szCs w:val="24"/>
                <w:color w:val="auto"/>
              </w:rPr>
            </w:pPr>
          </w:p>
        </w:tc>
        <w:tc>
          <w:tcPr>
            <w:tcW w:w="1860" w:type="dxa"/>
            <w:vAlign w:val="bottom"/>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7"/>
          </w:tcPr>
          <w:p>
            <w:pPr>
              <w:spacing w:after="0"/>
              <w:rPr>
                <w:rFonts w:ascii="Arial" w:cs="Arial" w:eastAsia="Arial" w:hAnsi="Arial"/>
                <w:sz w:val="18"/>
                <w:szCs w:val="18"/>
                <w:color w:val="0000FF"/>
                <w:w w:val="88"/>
              </w:rPr>
            </w:pPr>
            <w:hyperlink w:anchor="page38">
              <w:r>
                <w:rPr>
                  <w:rFonts w:ascii="Arial" w:cs="Arial" w:eastAsia="Arial" w:hAnsi="Arial"/>
                  <w:sz w:val="18"/>
                  <w:szCs w:val="18"/>
                  <w:color w:val="0000FF"/>
                  <w:w w:val="88"/>
                </w:rPr>
                <w:t>Controls and Procedures</w:t>
              </w:r>
            </w:hyperlink>
          </w:p>
        </w:tc>
        <w:tc>
          <w:tcPr>
            <w:tcW w:w="2540" w:type="dxa"/>
            <w:vAlign w:val="bottom"/>
            <w:gridSpan w:val="6"/>
          </w:tcPr>
          <w:p>
            <w:pPr>
              <w:spacing w:after="0"/>
              <w:rPr>
                <w:sz w:val="24"/>
                <w:szCs w:val="24"/>
                <w:color w:val="auto"/>
              </w:rPr>
            </w:pPr>
          </w:p>
        </w:tc>
        <w:tc>
          <w:tcPr>
            <w:tcW w:w="4000" w:type="dxa"/>
            <w:vAlign w:val="bottom"/>
            <w:gridSpan w:val="3"/>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PART II OTHER INFORMATION</w:t>
            </w:r>
          </w:p>
        </w:tc>
        <w:tc>
          <w:tcPr>
            <w:tcW w:w="7760" w:type="dxa"/>
            <w:vAlign w:val="bottom"/>
            <w:gridSpan w:val="15"/>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1.</w:t>
            </w:r>
          </w:p>
        </w:tc>
        <w:tc>
          <w:tcPr>
            <w:tcW w:w="8320" w:type="dxa"/>
            <w:vAlign w:val="bottom"/>
            <w:gridSpan w:val="16"/>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Legal Proceedings</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gridSpan w:val="5"/>
          </w:tcPr>
          <w:p>
            <w:pPr>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Risk Factors</w:t>
              </w:r>
            </w:hyperlink>
          </w:p>
        </w:tc>
        <w:tc>
          <w:tcPr>
            <w:tcW w:w="420" w:type="dxa"/>
            <w:vAlign w:val="bottom"/>
          </w:tcPr>
          <w:p>
            <w:pPr>
              <w:spacing w:after="0"/>
              <w:rPr>
                <w:sz w:val="24"/>
                <w:szCs w:val="24"/>
                <w:color w:val="auto"/>
              </w:rPr>
            </w:pPr>
          </w:p>
        </w:tc>
        <w:tc>
          <w:tcPr>
            <w:tcW w:w="6980" w:type="dxa"/>
            <w:vAlign w:val="bottom"/>
            <w:gridSpan w:val="10"/>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400" w:type="dxa"/>
            <w:vAlign w:val="bottom"/>
            <w:gridSpan w:val="8"/>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2.</w:t>
            </w:r>
          </w:p>
        </w:tc>
        <w:tc>
          <w:tcPr>
            <w:tcW w:w="4320" w:type="dxa"/>
            <w:vAlign w:val="bottom"/>
            <w:gridSpan w:val="13"/>
          </w:tcPr>
          <w:p>
            <w:pPr>
              <w:spacing w:after="0"/>
              <w:rPr>
                <w:rFonts w:ascii="Arial" w:cs="Arial" w:eastAsia="Arial" w:hAnsi="Arial"/>
                <w:sz w:val="18"/>
                <w:szCs w:val="18"/>
                <w:color w:val="0000FF"/>
                <w:w w:val="88"/>
              </w:rPr>
            </w:pPr>
            <w:hyperlink w:anchor="page40">
              <w:r>
                <w:rPr>
                  <w:rFonts w:ascii="Arial" w:cs="Arial" w:eastAsia="Arial" w:hAnsi="Arial"/>
                  <w:sz w:val="18"/>
                  <w:szCs w:val="18"/>
                  <w:color w:val="0000FF"/>
                  <w:w w:val="88"/>
                </w:rPr>
                <w:t>Unregistered Sales of Equity Securities and Use of Proceeds</w:t>
              </w:r>
            </w:hyperlink>
          </w:p>
        </w:tc>
        <w:tc>
          <w:tcPr>
            <w:tcW w:w="4000" w:type="dxa"/>
            <w:vAlign w:val="bottom"/>
            <w:gridSpan w:val="3"/>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6.</w:t>
            </w:r>
          </w:p>
        </w:tc>
        <w:tc>
          <w:tcPr>
            <w:tcW w:w="4320" w:type="dxa"/>
            <w:vAlign w:val="bottom"/>
            <w:gridSpan w:val="13"/>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Exhibits</w:t>
              </w:r>
            </w:hyperlink>
          </w:p>
        </w:tc>
        <w:tc>
          <w:tcPr>
            <w:tcW w:w="4000" w:type="dxa"/>
            <w:vAlign w:val="bottom"/>
            <w:gridSpan w:val="3"/>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560" w:type="dxa"/>
            <w:vAlign w:val="bottom"/>
            <w:gridSpan w:val="1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4"/>
                <w:szCs w:val="24"/>
                <w:color w:val="auto"/>
              </w:rPr>
            </w:pPr>
          </w:p>
        </w:tc>
        <w:tc>
          <w:tcPr>
            <w:tcW w:w="8320" w:type="dxa"/>
            <w:vAlign w:val="bottom"/>
            <w:gridSpan w:val="16"/>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Signatures</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c>
          <w:tcPr>
            <w:tcW w:w="0" w:type="dxa"/>
            <w:vAlign w:val="bottom"/>
          </w:tcPr>
          <w:p>
            <w:pPr>
              <w:spacing w:after="0"/>
              <w:rPr>
                <w:sz w:val="1"/>
                <w:szCs w:val="1"/>
                <w:color w:val="auto"/>
              </w:rPr>
            </w:pPr>
          </w:p>
        </w:tc>
      </w:tr>
      <w:tr>
        <w:trPr>
          <w:trHeight w:val="885"/>
        </w:trPr>
        <w:tc>
          <w:tcPr>
            <w:tcW w:w="216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2960" w:type="dxa"/>
            <w:vAlign w:val="bottom"/>
            <w:gridSpan w:val="7"/>
          </w:tcPr>
          <w:p>
            <w:pPr>
              <w:jc w:val="right"/>
              <w:ind w:right="16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3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9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Three months ended</w:t>
            </w:r>
          </w:p>
        </w:tc>
      </w:tr>
      <w:tr>
        <w:trPr>
          <w:trHeight w:val="153"/>
        </w:trPr>
        <w:tc>
          <w:tcPr>
            <w:tcW w:w="8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248"/>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040" w:type="dxa"/>
            <w:vAlign w:val="bottom"/>
          </w:tcPr>
          <w:p>
            <w:pPr>
              <w:jc w:val="right"/>
              <w:ind w:right="248"/>
              <w:spacing w:after="0" w:line="153" w:lineRule="exact"/>
              <w:rPr>
                <w:sz w:val="20"/>
                <w:szCs w:val="20"/>
                <w:color w:val="auto"/>
              </w:rPr>
            </w:pPr>
            <w:r>
              <w:rPr>
                <w:rFonts w:ascii="Arial" w:cs="Arial" w:eastAsia="Arial" w:hAnsi="Arial"/>
                <w:sz w:val="14"/>
                <w:szCs w:val="14"/>
                <w:b w:val="1"/>
                <w:bCs w:val="1"/>
                <w:color w:val="auto"/>
              </w:rPr>
              <w:t>March 31,</w:t>
            </w:r>
          </w:p>
        </w:tc>
      </w:tr>
      <w:tr>
        <w:trPr>
          <w:trHeight w:val="205"/>
        </w:trPr>
        <w:tc>
          <w:tcPr>
            <w:tcW w:w="89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 except per-share data</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r>
      <w:tr>
        <w:trPr>
          <w:trHeight w:val="216"/>
        </w:trPr>
        <w:tc>
          <w:tcPr>
            <w:tcW w:w="8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688.9</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732.6</w:t>
            </w:r>
          </w:p>
        </w:tc>
      </w:tr>
      <w:tr>
        <w:trPr>
          <w:trHeight w:val="210"/>
        </w:trPr>
        <w:tc>
          <w:tcPr>
            <w:tcW w:w="8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Cost of goods sold</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453.3</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479.3</w:t>
            </w:r>
          </w:p>
        </w:tc>
      </w:tr>
      <w:tr>
        <w:trPr>
          <w:trHeight w:val="216"/>
        </w:trPr>
        <w:tc>
          <w:tcPr>
            <w:tcW w:w="8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235.6</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253.3</w:t>
            </w:r>
          </w:p>
        </w:tc>
      </w:tr>
      <w:tr>
        <w:trPr>
          <w:trHeight w:val="210"/>
        </w:trPr>
        <w:tc>
          <w:tcPr>
            <w:tcW w:w="8920" w:type="dxa"/>
            <w:vAlign w:val="bottom"/>
          </w:tcPr>
          <w:p>
            <w:pPr>
              <w:ind w:left="40"/>
              <w:spacing w:after="0"/>
              <w:rPr>
                <w:sz w:val="20"/>
                <w:szCs w:val="20"/>
                <w:color w:val="auto"/>
              </w:rPr>
            </w:pPr>
            <w:r>
              <w:rPr>
                <w:rFonts w:ascii="Arial" w:cs="Arial" w:eastAsia="Arial" w:hAnsi="Arial"/>
                <w:sz w:val="14"/>
                <w:szCs w:val="14"/>
                <w:color w:val="auto"/>
              </w:rPr>
              <w:t>Selling, general and administrative expenses</w:t>
            </w:r>
          </w:p>
        </w:tc>
        <w:tc>
          <w:tcPr>
            <w:tcW w:w="20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147.3</w:t>
            </w:r>
          </w:p>
        </w:tc>
        <w:tc>
          <w:tcPr>
            <w:tcW w:w="22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141.8</w:t>
            </w:r>
          </w:p>
        </w:tc>
      </w:tr>
      <w:tr>
        <w:trPr>
          <w:trHeight w:val="216"/>
        </w:trPr>
        <w:tc>
          <w:tcPr>
            <w:tcW w:w="89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Research and development expenses</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20.7</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18.8</w:t>
            </w:r>
          </w:p>
        </w:tc>
      </w:tr>
      <w:tr>
        <w:trPr>
          <w:trHeight w:val="210"/>
        </w:trPr>
        <w:tc>
          <w:tcPr>
            <w:tcW w:w="8920" w:type="dxa"/>
            <w:vAlign w:val="bottom"/>
          </w:tcPr>
          <w:p>
            <w:pPr>
              <w:ind w:left="40"/>
              <w:spacing w:after="0"/>
              <w:rPr>
                <w:sz w:val="20"/>
                <w:szCs w:val="20"/>
                <w:color w:val="auto"/>
              </w:rPr>
            </w:pPr>
            <w:r>
              <w:rPr>
                <w:rFonts w:ascii="Arial" w:cs="Arial" w:eastAsia="Arial" w:hAnsi="Arial"/>
                <w:sz w:val="14"/>
                <w:szCs w:val="14"/>
                <w:color w:val="auto"/>
              </w:rPr>
              <w:t>Operating income</w:t>
            </w:r>
          </w:p>
        </w:tc>
        <w:tc>
          <w:tcPr>
            <w:tcW w:w="20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67.6</w:t>
            </w:r>
          </w:p>
        </w:tc>
        <w:tc>
          <w:tcPr>
            <w:tcW w:w="22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92.7</w:t>
            </w:r>
          </w:p>
        </w:tc>
      </w:tr>
      <w:tr>
        <w:trPr>
          <w:trHeight w:val="276"/>
        </w:trPr>
        <w:tc>
          <w:tcPr>
            <w:tcW w:w="8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10"/>
        </w:trPr>
        <w:tc>
          <w:tcPr>
            <w:tcW w:w="8920" w:type="dxa"/>
            <w:vAlign w:val="bottom"/>
          </w:tcPr>
          <w:p>
            <w:pPr>
              <w:ind w:left="40"/>
              <w:spacing w:after="0"/>
              <w:rPr>
                <w:sz w:val="20"/>
                <w:szCs w:val="20"/>
                <w:color w:val="auto"/>
              </w:rPr>
            </w:pPr>
            <w:r>
              <w:rPr>
                <w:rFonts w:ascii="Arial" w:cs="Arial" w:eastAsia="Arial" w:hAnsi="Arial"/>
                <w:sz w:val="14"/>
                <w:szCs w:val="14"/>
                <w:color w:val="auto"/>
              </w:rPr>
              <w:t>(Gain) loss on sale of business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w:t>
            </w:r>
          </w:p>
        </w:tc>
        <w:tc>
          <w:tcPr>
            <w:tcW w:w="22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5.3</w:t>
            </w:r>
          </w:p>
        </w:tc>
      </w:tr>
      <w:tr>
        <w:trPr>
          <w:trHeight w:val="222"/>
        </w:trPr>
        <w:tc>
          <w:tcPr>
            <w:tcW w:w="8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interest expense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r>
      <w:tr>
        <w:trPr>
          <w:trHeight w:val="210"/>
        </w:trPr>
        <w:tc>
          <w:tcPr>
            <w:tcW w:w="8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 expense</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w:t>
            </w:r>
          </w:p>
        </w:tc>
      </w:tr>
      <w:tr>
        <w:trPr>
          <w:trHeight w:val="216"/>
        </w:trPr>
        <w:tc>
          <w:tcPr>
            <w:tcW w:w="8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continuing operations before income taxes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63.2</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73.5</w:t>
            </w:r>
          </w:p>
        </w:tc>
      </w:tr>
      <w:tr>
        <w:trPr>
          <w:trHeight w:val="210"/>
        </w:trPr>
        <w:tc>
          <w:tcPr>
            <w:tcW w:w="8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Provision for income taxes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10.8</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15.1</w:t>
            </w:r>
          </w:p>
        </w:tc>
      </w:tr>
      <w:tr>
        <w:trPr>
          <w:trHeight w:val="216"/>
        </w:trPr>
        <w:tc>
          <w:tcPr>
            <w:tcW w:w="8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from continuing operations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52.4</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58.4</w:t>
            </w:r>
          </w:p>
        </w:tc>
      </w:tr>
      <w:tr>
        <w:trPr>
          <w:trHeight w:val="210"/>
        </w:trPr>
        <w:tc>
          <w:tcPr>
            <w:tcW w:w="8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(Loss) income from discontinued operations, net of tax</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44.5</w:t>
            </w:r>
          </w:p>
        </w:tc>
      </w:tr>
      <w:tr>
        <w:trPr>
          <w:trHeight w:val="210"/>
        </w:trPr>
        <w:tc>
          <w:tcPr>
            <w:tcW w:w="89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51.3</w:t>
            </w: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102.9</w:t>
            </w:r>
          </w:p>
        </w:tc>
      </w:tr>
      <w:tr>
        <w:trPr>
          <w:trHeight w:val="20"/>
        </w:trPr>
        <w:tc>
          <w:tcPr>
            <w:tcW w:w="8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1"/>
        </w:trPr>
        <w:tc>
          <w:tcPr>
            <w:tcW w:w="8920" w:type="dxa"/>
            <w:vAlign w:val="bottom"/>
          </w:tcPr>
          <w:p>
            <w:pPr>
              <w:ind w:left="40"/>
              <w:spacing w:after="0"/>
              <w:rPr>
                <w:sz w:val="20"/>
                <w:szCs w:val="20"/>
                <w:color w:val="auto"/>
              </w:rPr>
            </w:pPr>
            <w:r>
              <w:rPr>
                <w:rFonts w:ascii="Arial" w:cs="Arial" w:eastAsia="Arial" w:hAnsi="Arial"/>
                <w:sz w:val="14"/>
                <w:szCs w:val="14"/>
                <w:b w:val="1"/>
                <w:bCs w:val="1"/>
                <w:color w:val="auto"/>
              </w:rPr>
              <w:t>Comprehensive income, net of tax</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22"/>
        </w:trPr>
        <w:tc>
          <w:tcPr>
            <w:tcW w:w="8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51.3</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102.9</w:t>
            </w:r>
          </w:p>
        </w:tc>
      </w:tr>
      <w:tr>
        <w:trPr>
          <w:trHeight w:val="210"/>
        </w:trPr>
        <w:tc>
          <w:tcPr>
            <w:tcW w:w="8920" w:type="dxa"/>
            <w:vAlign w:val="bottom"/>
          </w:tcPr>
          <w:p>
            <w:pPr>
              <w:ind w:left="40"/>
              <w:spacing w:after="0"/>
              <w:rPr>
                <w:sz w:val="20"/>
                <w:szCs w:val="20"/>
                <w:color w:val="auto"/>
              </w:rPr>
            </w:pPr>
            <w:r>
              <w:rPr>
                <w:rFonts w:ascii="Arial" w:cs="Arial" w:eastAsia="Arial" w:hAnsi="Arial"/>
                <w:sz w:val="14"/>
                <w:szCs w:val="14"/>
                <w:color w:val="auto"/>
              </w:rPr>
              <w:t>Changes in cumulative translation adjustment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2.4</w:t>
            </w:r>
          </w:p>
        </w:tc>
      </w:tr>
      <w:tr>
        <w:trPr>
          <w:trHeight w:val="216"/>
        </w:trPr>
        <w:tc>
          <w:tcPr>
            <w:tcW w:w="89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Changes in market value of derivative financial instruments, net of tax</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250"/>
        </w:trPr>
        <w:tc>
          <w:tcPr>
            <w:tcW w:w="8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Comprehensive income</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54.0</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101.5</w:t>
            </w:r>
          </w:p>
        </w:tc>
      </w:tr>
      <w:tr>
        <w:trPr>
          <w:trHeight w:val="257"/>
        </w:trPr>
        <w:tc>
          <w:tcPr>
            <w:tcW w:w="8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Earnings (loss) per ordinary share</w:t>
            </w: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64"/>
        </w:trPr>
        <w:tc>
          <w:tcPr>
            <w:tcW w:w="89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Basic</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22"/>
        </w:trPr>
        <w:tc>
          <w:tcPr>
            <w:tcW w:w="8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Continuing operations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0.31</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0.33</w:t>
            </w:r>
          </w:p>
        </w:tc>
      </w:tr>
      <w:tr>
        <w:trPr>
          <w:trHeight w:val="210"/>
        </w:trPr>
        <w:tc>
          <w:tcPr>
            <w:tcW w:w="8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Discontinued operations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0.24</w:t>
            </w:r>
          </w:p>
        </w:tc>
      </w:tr>
      <w:tr>
        <w:trPr>
          <w:trHeight w:val="210"/>
        </w:trPr>
        <w:tc>
          <w:tcPr>
            <w:tcW w:w="89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Basic earnings per ordinary share</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0.30</w:t>
            </w: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0.57</w:t>
            </w:r>
          </w:p>
        </w:tc>
      </w:tr>
      <w:tr>
        <w:trPr>
          <w:trHeight w:val="20"/>
        </w:trPr>
        <w:tc>
          <w:tcPr>
            <w:tcW w:w="8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1"/>
        </w:trPr>
        <w:tc>
          <w:tcPr>
            <w:tcW w:w="89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Diluted</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22"/>
        </w:trPr>
        <w:tc>
          <w:tcPr>
            <w:tcW w:w="8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Continuing operations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0.30</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0.32</w:t>
            </w:r>
          </w:p>
        </w:tc>
      </w:tr>
      <w:tr>
        <w:trPr>
          <w:trHeight w:val="210"/>
        </w:trPr>
        <w:tc>
          <w:tcPr>
            <w:tcW w:w="8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Discontinued operations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0.25</w:t>
            </w:r>
          </w:p>
        </w:tc>
      </w:tr>
      <w:tr>
        <w:trPr>
          <w:trHeight w:val="210"/>
        </w:trPr>
        <w:tc>
          <w:tcPr>
            <w:tcW w:w="89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Diluted earnings per ordinary share</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0.30</w:t>
            </w: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0.57</w:t>
            </w:r>
          </w:p>
        </w:tc>
      </w:tr>
      <w:tr>
        <w:trPr>
          <w:trHeight w:val="20"/>
        </w:trPr>
        <w:tc>
          <w:tcPr>
            <w:tcW w:w="8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1"/>
        </w:trPr>
        <w:tc>
          <w:tcPr>
            <w:tcW w:w="8920" w:type="dxa"/>
            <w:vAlign w:val="bottom"/>
          </w:tcPr>
          <w:p>
            <w:pPr>
              <w:ind w:left="40"/>
              <w:spacing w:after="0"/>
              <w:rPr>
                <w:sz w:val="20"/>
                <w:szCs w:val="20"/>
                <w:color w:val="auto"/>
              </w:rPr>
            </w:pPr>
            <w:r>
              <w:rPr>
                <w:rFonts w:ascii="Arial" w:cs="Arial" w:eastAsia="Arial" w:hAnsi="Arial"/>
                <w:sz w:val="14"/>
                <w:szCs w:val="14"/>
                <w:b w:val="1"/>
                <w:bCs w:val="1"/>
                <w:color w:val="auto"/>
              </w:rPr>
              <w:t>Weighted average ordinary shares outstanding</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22"/>
        </w:trPr>
        <w:tc>
          <w:tcPr>
            <w:tcW w:w="8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Basic</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171.6</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179.2</w:t>
            </w:r>
          </w:p>
        </w:tc>
      </w:tr>
      <w:tr>
        <w:trPr>
          <w:trHeight w:val="204"/>
        </w:trPr>
        <w:tc>
          <w:tcPr>
            <w:tcW w:w="8920" w:type="dxa"/>
            <w:vAlign w:val="bottom"/>
          </w:tcPr>
          <w:p>
            <w:pPr>
              <w:ind w:left="40"/>
              <w:spacing w:after="0"/>
              <w:rPr>
                <w:sz w:val="20"/>
                <w:szCs w:val="20"/>
                <w:color w:val="auto"/>
              </w:rPr>
            </w:pPr>
            <w:r>
              <w:rPr>
                <w:rFonts w:ascii="Arial" w:cs="Arial" w:eastAsia="Arial" w:hAnsi="Arial"/>
                <w:sz w:val="14"/>
                <w:szCs w:val="14"/>
                <w:color w:val="auto"/>
              </w:rPr>
              <w:t>Diluted</w:t>
            </w:r>
          </w:p>
        </w:tc>
        <w:tc>
          <w:tcPr>
            <w:tcW w:w="20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172.5</w:t>
            </w:r>
          </w:p>
        </w:tc>
        <w:tc>
          <w:tcPr>
            <w:tcW w:w="22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181.5</w:t>
            </w: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20" w:type="dxa"/>
            <w:vAlign w:val="bottom"/>
          </w:tcPr>
          <w:p>
            <w:pPr>
              <w:jc w:val="right"/>
              <w:ind w:right="359"/>
              <w:spacing w:after="0"/>
              <w:rPr>
                <w:sz w:val="20"/>
                <w:szCs w:val="20"/>
                <w:color w:val="auto"/>
              </w:rPr>
            </w:pPr>
            <w:r>
              <w:rPr>
                <w:rFonts w:ascii="Arial" w:cs="Arial" w:eastAsia="Arial" w:hAnsi="Arial"/>
                <w:sz w:val="16"/>
                <w:szCs w:val="16"/>
                <w:b w:val="1"/>
                <w:bCs w:val="1"/>
                <w:color w:val="auto"/>
              </w:rPr>
              <w:t>March 31,</w:t>
            </w:r>
          </w:p>
        </w:tc>
        <w:tc>
          <w:tcPr>
            <w:tcW w:w="220" w:type="dxa"/>
            <w:vAlign w:val="bottom"/>
          </w:tcPr>
          <w:p>
            <w:pPr>
              <w:spacing w:after="0"/>
              <w:rPr>
                <w:sz w:val="17"/>
                <w:szCs w:val="17"/>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December 31,</w:t>
            </w:r>
          </w:p>
        </w:tc>
      </w:tr>
      <w:tr>
        <w:trPr>
          <w:trHeight w:val="210"/>
        </w:trPr>
        <w:tc>
          <w:tcPr>
            <w:tcW w:w="7980" w:type="dxa"/>
            <w:vAlign w:val="bottom"/>
          </w:tcPr>
          <w:p>
            <w:pPr>
              <w:ind w:left="40"/>
              <w:spacing w:after="0"/>
              <w:rPr>
                <w:sz w:val="20"/>
                <w:szCs w:val="20"/>
                <w:color w:val="auto"/>
              </w:rPr>
            </w:pPr>
            <w:r>
              <w:rPr>
                <w:rFonts w:ascii="Arial" w:cs="Arial" w:eastAsia="Arial" w:hAnsi="Arial"/>
                <w:sz w:val="16"/>
                <w:szCs w:val="16"/>
                <w:i w:val="1"/>
                <w:iCs w:val="1"/>
                <w:color w:val="auto"/>
              </w:rPr>
              <w:t>In millions, except per-share data</w:t>
            </w:r>
          </w:p>
        </w:tc>
        <w:tc>
          <w:tcPr>
            <w:tcW w:w="520" w:type="dxa"/>
            <w:vAlign w:val="bottom"/>
          </w:tcPr>
          <w:p>
            <w:pPr>
              <w:spacing w:after="0"/>
              <w:rPr>
                <w:sz w:val="18"/>
                <w:szCs w:val="18"/>
                <w:color w:val="auto"/>
              </w:rPr>
            </w:pPr>
          </w:p>
        </w:tc>
        <w:tc>
          <w:tcPr>
            <w:tcW w:w="13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8"/>
                <w:szCs w:val="18"/>
                <w:color w:val="auto"/>
              </w:rPr>
            </w:pPr>
          </w:p>
        </w:tc>
        <w:tc>
          <w:tcPr>
            <w:tcW w:w="13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40"/>
        </w:trPr>
        <w:tc>
          <w:tcPr>
            <w:tcW w:w="79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37"/>
        </w:trPr>
        <w:tc>
          <w:tcPr>
            <w:tcW w:w="7980" w:type="dxa"/>
            <w:vAlign w:val="bottom"/>
            <w:tcBorders>
              <w:bottom w:val="single" w:sz="8" w:color="CCEEFF"/>
            </w:tcBorders>
            <w:shd w:val="clear" w:color="auto" w:fill="CCEEFF"/>
          </w:tcPr>
          <w:p>
            <w:pPr>
              <w:ind w:left="5500"/>
              <w:spacing w:after="0"/>
              <w:rPr>
                <w:sz w:val="20"/>
                <w:szCs w:val="20"/>
                <w:color w:val="auto"/>
              </w:rPr>
            </w:pPr>
            <w:r>
              <w:rPr>
                <w:rFonts w:ascii="Arial" w:cs="Arial" w:eastAsia="Arial" w:hAnsi="Arial"/>
                <w:sz w:val="16"/>
                <w:szCs w:val="16"/>
                <w:b w:val="1"/>
                <w:bCs w:val="1"/>
                <w:color w:val="auto"/>
              </w:rPr>
              <w:t>Assets</w:t>
            </w:r>
          </w:p>
        </w:tc>
        <w:tc>
          <w:tcPr>
            <w:tcW w:w="5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5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7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74.3</w:t>
            </w:r>
          </w:p>
        </w:tc>
      </w:tr>
      <w:tr>
        <w:trPr>
          <w:trHeight w:val="224"/>
        </w:trPr>
        <w:tc>
          <w:tcPr>
            <w:tcW w:w="7980" w:type="dxa"/>
            <w:vAlign w:val="bottom"/>
          </w:tcPr>
          <w:p>
            <w:pPr>
              <w:ind w:left="40"/>
              <w:spacing w:after="0"/>
              <w:rPr>
                <w:sz w:val="20"/>
                <w:szCs w:val="20"/>
                <w:color w:val="auto"/>
              </w:rPr>
            </w:pPr>
            <w:r>
              <w:rPr>
                <w:rFonts w:ascii="Arial" w:cs="Arial" w:eastAsia="Arial" w:hAnsi="Arial"/>
                <w:sz w:val="16"/>
                <w:szCs w:val="16"/>
                <w:color w:val="auto"/>
              </w:rPr>
              <w:t>Accounts and notes receivable, net of allowances of $14.7 and $14.0, respectively</w:t>
            </w: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645.7</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488.2</w:t>
            </w:r>
          </w:p>
        </w:tc>
      </w:tr>
      <w:tr>
        <w:trPr>
          <w:trHeight w:val="33"/>
        </w:trPr>
        <w:tc>
          <w:tcPr>
            <w:tcW w:w="7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5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421.8</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387.5</w:t>
            </w:r>
          </w:p>
        </w:tc>
      </w:tr>
      <w:tr>
        <w:trPr>
          <w:trHeight w:val="224"/>
        </w:trPr>
        <w:tc>
          <w:tcPr>
            <w:tcW w:w="7980" w:type="dxa"/>
            <w:vAlign w:val="bottom"/>
          </w:tcPr>
          <w:p>
            <w:pPr>
              <w:ind w:left="40"/>
              <w:spacing w:after="0"/>
              <w:rPr>
                <w:sz w:val="20"/>
                <w:szCs w:val="20"/>
                <w:color w:val="auto"/>
              </w:rPr>
            </w:pPr>
            <w:r>
              <w:rPr>
                <w:rFonts w:ascii="Arial" w:cs="Arial" w:eastAsia="Arial" w:hAnsi="Arial"/>
                <w:sz w:val="16"/>
                <w:szCs w:val="16"/>
                <w:color w:val="auto"/>
              </w:rPr>
              <w:t>Other current assets</w:t>
            </w: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105.2</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89.4</w:t>
            </w:r>
          </w:p>
        </w:tc>
      </w:tr>
      <w:tr>
        <w:trPr>
          <w:trHeight w:val="33"/>
        </w:trPr>
        <w:tc>
          <w:tcPr>
            <w:tcW w:w="7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5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1,251.6</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1,039.4</w:t>
            </w:r>
          </w:p>
        </w:tc>
      </w:tr>
      <w:tr>
        <w:trPr>
          <w:trHeight w:val="224"/>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Property, plant and equipment, net</w:t>
            </w: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279.1</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272.6</w:t>
            </w:r>
          </w:p>
        </w:tc>
      </w:tr>
      <w:tr>
        <w:trPr>
          <w:trHeight w:val="33"/>
        </w:trPr>
        <w:tc>
          <w:tcPr>
            <w:tcW w:w="7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assets</w:t>
            </w:r>
          </w:p>
        </w:tc>
        <w:tc>
          <w:tcPr>
            <w:tcW w:w="5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24"/>
        </w:trPr>
        <w:tc>
          <w:tcPr>
            <w:tcW w:w="7980" w:type="dxa"/>
            <w:vAlign w:val="bottom"/>
          </w:tcPr>
          <w:p>
            <w:pPr>
              <w:ind w:left="40"/>
              <w:spacing w:after="0"/>
              <w:rPr>
                <w:sz w:val="20"/>
                <w:szCs w:val="20"/>
                <w:color w:val="auto"/>
              </w:rPr>
            </w:pPr>
            <w:r>
              <w:rPr>
                <w:rFonts w:ascii="Arial" w:cs="Arial" w:eastAsia="Arial" w:hAnsi="Arial"/>
                <w:sz w:val="16"/>
                <w:szCs w:val="16"/>
                <w:color w:val="auto"/>
              </w:rPr>
              <w:t>Goodwill</w:t>
            </w: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2,283.0</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2,072.7</w:t>
            </w:r>
          </w:p>
        </w:tc>
      </w:tr>
      <w:tr>
        <w:trPr>
          <w:trHeight w:val="33"/>
        </w:trPr>
        <w:tc>
          <w:tcPr>
            <w:tcW w:w="7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Intangibles, net</w:t>
            </w:r>
          </w:p>
        </w:tc>
        <w:tc>
          <w:tcPr>
            <w:tcW w:w="5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361.5</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276.3</w:t>
            </w:r>
          </w:p>
        </w:tc>
      </w:tr>
      <w:tr>
        <w:trPr>
          <w:trHeight w:val="224"/>
        </w:trPr>
        <w:tc>
          <w:tcPr>
            <w:tcW w:w="798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207.0</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145.5</w:t>
            </w:r>
          </w:p>
        </w:tc>
      </w:tr>
      <w:tr>
        <w:trPr>
          <w:trHeight w:val="33"/>
        </w:trPr>
        <w:tc>
          <w:tcPr>
            <w:tcW w:w="7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assets</w:t>
            </w:r>
          </w:p>
        </w:tc>
        <w:tc>
          <w:tcPr>
            <w:tcW w:w="5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2,851.5</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2,494.5</w:t>
            </w:r>
          </w:p>
        </w:tc>
      </w:tr>
      <w:tr>
        <w:trPr>
          <w:trHeight w:val="217"/>
        </w:trPr>
        <w:tc>
          <w:tcPr>
            <w:tcW w:w="79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assets</w:t>
            </w:r>
          </w:p>
        </w:tc>
        <w:tc>
          <w:tcPr>
            <w:tcW w:w="5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4,382.2</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3,806.5</w:t>
            </w:r>
          </w:p>
        </w:tc>
      </w:tr>
      <w:tr>
        <w:trPr>
          <w:trHeight w:val="73"/>
        </w:trPr>
        <w:tc>
          <w:tcPr>
            <w:tcW w:w="79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r>
      <w:tr>
        <w:trPr>
          <w:trHeight w:val="217"/>
        </w:trPr>
        <w:tc>
          <w:tcPr>
            <w:tcW w:w="7980" w:type="dxa"/>
            <w:vAlign w:val="bottom"/>
            <w:tcBorders>
              <w:bottom w:val="single" w:sz="8" w:color="CCEEFF"/>
            </w:tcBorders>
            <w:shd w:val="clear" w:color="auto" w:fill="CCEEFF"/>
          </w:tcPr>
          <w:p>
            <w:pPr>
              <w:ind w:left="4960"/>
              <w:spacing w:after="0"/>
              <w:rPr>
                <w:sz w:val="20"/>
                <w:szCs w:val="20"/>
                <w:color w:val="auto"/>
              </w:rPr>
            </w:pPr>
            <w:r>
              <w:rPr>
                <w:rFonts w:ascii="Arial" w:cs="Arial" w:eastAsia="Arial" w:hAnsi="Arial"/>
                <w:sz w:val="16"/>
                <w:szCs w:val="16"/>
                <w:b w:val="1"/>
                <w:bCs w:val="1"/>
                <w:color w:val="auto"/>
              </w:rPr>
              <w:t>Liabilities and Equity</w:t>
            </w:r>
          </w:p>
        </w:tc>
        <w:tc>
          <w:tcPr>
            <w:tcW w:w="5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5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7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265.3</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378.6</w:t>
            </w:r>
          </w:p>
        </w:tc>
      </w:tr>
      <w:tr>
        <w:trPr>
          <w:trHeight w:val="224"/>
        </w:trPr>
        <w:tc>
          <w:tcPr>
            <w:tcW w:w="7980" w:type="dxa"/>
            <w:vAlign w:val="bottom"/>
          </w:tcPr>
          <w:p>
            <w:pPr>
              <w:ind w:left="40"/>
              <w:spacing w:after="0"/>
              <w:rPr>
                <w:sz w:val="20"/>
                <w:szCs w:val="20"/>
                <w:color w:val="auto"/>
              </w:rPr>
            </w:pPr>
            <w:r>
              <w:rPr>
                <w:rFonts w:ascii="Arial" w:cs="Arial" w:eastAsia="Arial" w:hAnsi="Arial"/>
                <w:sz w:val="16"/>
                <w:szCs w:val="16"/>
                <w:color w:val="auto"/>
              </w:rPr>
              <w:t>Employee compensation and benefits</w:t>
            </w: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94.2</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111.7</w:t>
            </w:r>
          </w:p>
        </w:tc>
      </w:tr>
      <w:tr>
        <w:trPr>
          <w:trHeight w:val="33"/>
        </w:trPr>
        <w:tc>
          <w:tcPr>
            <w:tcW w:w="7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liabilities</w:t>
            </w:r>
          </w:p>
        </w:tc>
        <w:tc>
          <w:tcPr>
            <w:tcW w:w="5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345.8</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328.4</w:t>
            </w:r>
          </w:p>
        </w:tc>
      </w:tr>
      <w:tr>
        <w:trPr>
          <w:trHeight w:val="217"/>
        </w:trPr>
        <w:tc>
          <w:tcPr>
            <w:tcW w:w="79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current liabilities</w:t>
            </w:r>
          </w:p>
        </w:tc>
        <w:tc>
          <w:tcPr>
            <w:tcW w:w="5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705.3</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818.7</w:t>
            </w:r>
          </w:p>
        </w:tc>
      </w:tr>
      <w:tr>
        <w:trPr>
          <w:trHeight w:val="33"/>
        </w:trPr>
        <w:tc>
          <w:tcPr>
            <w:tcW w:w="7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liabilities</w:t>
            </w:r>
          </w:p>
        </w:tc>
        <w:tc>
          <w:tcPr>
            <w:tcW w:w="5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24"/>
        </w:trPr>
        <w:tc>
          <w:tcPr>
            <w:tcW w:w="798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1,370.7</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787.6</w:t>
            </w:r>
          </w:p>
        </w:tc>
      </w:tr>
      <w:tr>
        <w:trPr>
          <w:trHeight w:val="33"/>
        </w:trPr>
        <w:tc>
          <w:tcPr>
            <w:tcW w:w="7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Pension and other post-retirement compensation and benefits</w:t>
            </w:r>
          </w:p>
        </w:tc>
        <w:tc>
          <w:tcPr>
            <w:tcW w:w="5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90.0</w:t>
            </w:r>
          </w:p>
        </w:tc>
      </w:tr>
      <w:tr>
        <w:trPr>
          <w:trHeight w:val="224"/>
        </w:trPr>
        <w:tc>
          <w:tcPr>
            <w:tcW w:w="7980" w:type="dxa"/>
            <w:vAlign w:val="bottom"/>
          </w:tcPr>
          <w:p>
            <w:pPr>
              <w:ind w:left="40"/>
              <w:spacing w:after="0"/>
              <w:rPr>
                <w:sz w:val="20"/>
                <w:szCs w:val="20"/>
                <w:color w:val="auto"/>
              </w:rPr>
            </w:pPr>
            <w:r>
              <w:rPr>
                <w:rFonts w:ascii="Arial" w:cs="Arial" w:eastAsia="Arial" w:hAnsi="Arial"/>
                <w:sz w:val="16"/>
                <w:szCs w:val="16"/>
                <w:color w:val="auto"/>
              </w:rPr>
              <w:t>Deferred tax liabilities</w:t>
            </w: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124.6</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105.9</w:t>
            </w:r>
          </w:p>
        </w:tc>
      </w:tr>
      <w:tr>
        <w:trPr>
          <w:trHeight w:val="33"/>
        </w:trPr>
        <w:tc>
          <w:tcPr>
            <w:tcW w:w="7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liabilities</w:t>
            </w:r>
          </w:p>
        </w:tc>
        <w:tc>
          <w:tcPr>
            <w:tcW w:w="5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221.4</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168.2</w:t>
            </w:r>
          </w:p>
        </w:tc>
      </w:tr>
      <w:tr>
        <w:trPr>
          <w:trHeight w:val="217"/>
        </w:trPr>
        <w:tc>
          <w:tcPr>
            <w:tcW w:w="79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liabilities</w:t>
            </w:r>
          </w:p>
        </w:tc>
        <w:tc>
          <w:tcPr>
            <w:tcW w:w="5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2,511.8</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1,970.4</w:t>
            </w:r>
          </w:p>
        </w:tc>
      </w:tr>
      <w:tr>
        <w:trPr>
          <w:trHeight w:val="33"/>
        </w:trPr>
        <w:tc>
          <w:tcPr>
            <w:tcW w:w="7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Equity</w:t>
            </w:r>
          </w:p>
        </w:tc>
        <w:tc>
          <w:tcPr>
            <w:tcW w:w="5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20"/>
        </w:trPr>
        <w:tc>
          <w:tcPr>
            <w:tcW w:w="7980" w:type="dxa"/>
            <w:vAlign w:val="bottom"/>
          </w:tcPr>
          <w:p>
            <w:pPr>
              <w:ind w:left="40"/>
              <w:spacing w:after="0"/>
              <w:rPr>
                <w:sz w:val="20"/>
                <w:szCs w:val="20"/>
                <w:color w:val="auto"/>
              </w:rPr>
            </w:pPr>
            <w:r>
              <w:rPr>
                <w:rFonts w:ascii="Arial" w:cs="Arial" w:eastAsia="Arial" w:hAnsi="Arial"/>
                <w:sz w:val="16"/>
                <w:szCs w:val="16"/>
                <w:color w:val="auto"/>
                <w:w w:val="93"/>
              </w:rPr>
              <w:t>Ordinary shares $0.01 par value, 426.0 authorized, 171.9 and 171.4 issued at March 31, 2019 and December 31, 2018,</w:t>
            </w:r>
          </w:p>
        </w:tc>
        <w:tc>
          <w:tcPr>
            <w:tcW w:w="5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06"/>
        </w:trPr>
        <w:tc>
          <w:tcPr>
            <w:tcW w:w="7980" w:type="dxa"/>
            <w:vAlign w:val="bottom"/>
          </w:tcPr>
          <w:p>
            <w:pPr>
              <w:ind w:left="200"/>
              <w:spacing w:after="0"/>
              <w:rPr>
                <w:sz w:val="20"/>
                <w:szCs w:val="20"/>
                <w:color w:val="auto"/>
              </w:rPr>
            </w:pPr>
            <w:r>
              <w:rPr>
                <w:rFonts w:ascii="Arial" w:cs="Arial" w:eastAsia="Arial" w:hAnsi="Arial"/>
                <w:sz w:val="16"/>
                <w:szCs w:val="16"/>
                <w:color w:val="auto"/>
              </w:rPr>
              <w:t>respectively</w:t>
            </w:r>
          </w:p>
        </w:tc>
        <w:tc>
          <w:tcPr>
            <w:tcW w:w="5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33"/>
        </w:trPr>
        <w:tc>
          <w:tcPr>
            <w:tcW w:w="7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Additional paid-in capital</w:t>
            </w:r>
          </w:p>
        </w:tc>
        <w:tc>
          <w:tcPr>
            <w:tcW w:w="5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1,905.1</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1,893.8</w:t>
            </w:r>
          </w:p>
        </w:tc>
      </w:tr>
      <w:tr>
        <w:trPr>
          <w:trHeight w:val="224"/>
        </w:trPr>
        <w:tc>
          <w:tcPr>
            <w:tcW w:w="7980" w:type="dxa"/>
            <w:vAlign w:val="bottom"/>
          </w:tcPr>
          <w:p>
            <w:pPr>
              <w:ind w:left="40"/>
              <w:spacing w:after="0"/>
              <w:rPr>
                <w:sz w:val="20"/>
                <w:szCs w:val="20"/>
                <w:color w:val="auto"/>
              </w:rPr>
            </w:pPr>
            <w:r>
              <w:rPr>
                <w:rFonts w:ascii="Arial" w:cs="Arial" w:eastAsia="Arial" w:hAnsi="Arial"/>
                <w:sz w:val="16"/>
                <w:szCs w:val="16"/>
                <w:color w:val="auto"/>
              </w:rPr>
              <w:t>Retained earnings</w:t>
            </w: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189.5</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169.2</w:t>
            </w:r>
          </w:p>
        </w:tc>
      </w:tr>
      <w:tr>
        <w:trPr>
          <w:trHeight w:val="33"/>
        </w:trPr>
        <w:tc>
          <w:tcPr>
            <w:tcW w:w="7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w:t>
            </w:r>
          </w:p>
        </w:tc>
        <w:tc>
          <w:tcPr>
            <w:tcW w:w="5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(225.9)</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(228.6)</w:t>
            </w:r>
          </w:p>
        </w:tc>
      </w:tr>
      <w:tr>
        <w:trPr>
          <w:trHeight w:val="217"/>
        </w:trPr>
        <w:tc>
          <w:tcPr>
            <w:tcW w:w="79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equity</w:t>
            </w:r>
          </w:p>
        </w:tc>
        <w:tc>
          <w:tcPr>
            <w:tcW w:w="5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1,870.4</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1,836.1</w:t>
            </w:r>
          </w:p>
        </w:tc>
      </w:tr>
      <w:tr>
        <w:trPr>
          <w:trHeight w:val="33"/>
        </w:trPr>
        <w:tc>
          <w:tcPr>
            <w:tcW w:w="7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4,382.2</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3,806.5</w:t>
            </w:r>
          </w:p>
        </w:tc>
      </w:tr>
      <w:tr>
        <w:trPr>
          <w:trHeight w:val="20"/>
        </w:trPr>
        <w:tc>
          <w:tcPr>
            <w:tcW w:w="7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20" w:type="dxa"/>
            <w:vAlign w:val="bottom"/>
            <w:gridSpan w:val="3"/>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r>
      <w:tr>
        <w:trPr>
          <w:trHeight w:val="40"/>
        </w:trPr>
        <w:tc>
          <w:tcPr>
            <w:tcW w:w="82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16"/>
        </w:trPr>
        <w:tc>
          <w:tcPr>
            <w:tcW w:w="8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59"/>
              <w:spacing w:after="0"/>
              <w:rPr>
                <w:sz w:val="20"/>
                <w:szCs w:val="20"/>
                <w:color w:val="auto"/>
              </w:rPr>
            </w:pPr>
            <w:r>
              <w:rPr>
                <w:rFonts w:ascii="Arial" w:cs="Arial" w:eastAsia="Arial" w:hAnsi="Arial"/>
                <w:sz w:val="16"/>
                <w:szCs w:val="16"/>
                <w:b w:val="1"/>
                <w:bCs w:val="1"/>
                <w:color w:val="auto"/>
              </w:rPr>
              <w:t>March 31,</w:t>
            </w:r>
          </w:p>
        </w:tc>
        <w:tc>
          <w:tcPr>
            <w:tcW w:w="280" w:type="dxa"/>
            <w:vAlign w:val="bottom"/>
          </w:tcPr>
          <w:p>
            <w:pPr>
              <w:spacing w:after="0"/>
              <w:rPr>
                <w:sz w:val="18"/>
                <w:szCs w:val="18"/>
                <w:color w:val="auto"/>
              </w:rPr>
            </w:pPr>
          </w:p>
        </w:tc>
        <w:tc>
          <w:tcPr>
            <w:tcW w:w="1320" w:type="dxa"/>
            <w:vAlign w:val="bottom"/>
          </w:tcPr>
          <w:p>
            <w:pPr>
              <w:jc w:val="right"/>
              <w:ind w:right="379"/>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8240" w:type="dxa"/>
            <w:vAlign w:val="bottom"/>
          </w:tcPr>
          <w:p>
            <w:pPr>
              <w:ind w:left="40"/>
              <w:spacing w:after="0"/>
              <w:rPr>
                <w:sz w:val="20"/>
                <w:szCs w:val="20"/>
                <w:color w:val="auto"/>
              </w:rPr>
            </w:pPr>
            <w:r>
              <w:rPr>
                <w:rFonts w:ascii="Arial" w:cs="Arial" w:eastAsia="Arial" w:hAnsi="Arial"/>
                <w:sz w:val="16"/>
                <w:szCs w:val="16"/>
                <w:i w:val="1"/>
                <w:iCs w:val="1"/>
                <w:color w:val="auto"/>
              </w:rPr>
              <w:t>In millions</w:t>
            </w:r>
          </w:p>
        </w:tc>
        <w:tc>
          <w:tcPr>
            <w:tcW w:w="260" w:type="dxa"/>
            <w:vAlign w:val="bottom"/>
          </w:tcPr>
          <w:p>
            <w:pPr>
              <w:spacing w:after="0"/>
              <w:rPr>
                <w:sz w:val="18"/>
                <w:szCs w:val="18"/>
                <w:color w:val="auto"/>
              </w:rPr>
            </w:pPr>
          </w:p>
        </w:tc>
        <w:tc>
          <w:tcPr>
            <w:tcW w:w="13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280" w:type="dxa"/>
            <w:vAlign w:val="bottom"/>
          </w:tcPr>
          <w:p>
            <w:pPr>
              <w:spacing w:after="0"/>
              <w:rPr>
                <w:sz w:val="18"/>
                <w:szCs w:val="18"/>
                <w:color w:val="auto"/>
              </w:rPr>
            </w:pPr>
          </w:p>
        </w:tc>
        <w:tc>
          <w:tcPr>
            <w:tcW w:w="13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40"/>
        </w:trPr>
        <w:tc>
          <w:tcPr>
            <w:tcW w:w="8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51.3</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102.9</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(income) from discontinued operations, net of tax</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w:t>
            </w:r>
          </w:p>
        </w:tc>
      </w:tr>
      <w:tr>
        <w:trPr>
          <w:trHeight w:val="216"/>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w w:val="90"/>
              </w:rPr>
              <w:t>Adjustments to reconcile net income from continuing operations to net cash provided by (used for) operating activities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0"/>
        </w:trPr>
        <w:tc>
          <w:tcPr>
            <w:tcW w:w="8240" w:type="dxa"/>
            <w:vAlign w:val="bottom"/>
          </w:tcPr>
          <w:p>
            <w:pPr>
              <w:ind w:left="200"/>
              <w:spacing w:after="0"/>
              <w:rPr>
                <w:sz w:val="20"/>
                <w:szCs w:val="20"/>
                <w:color w:val="auto"/>
              </w:rPr>
            </w:pPr>
            <w:r>
              <w:rPr>
                <w:rFonts w:ascii="Arial" w:cs="Arial" w:eastAsia="Arial" w:hAnsi="Arial"/>
                <w:sz w:val="16"/>
                <w:szCs w:val="16"/>
                <w:b w:val="1"/>
                <w:bCs w:val="1"/>
                <w:color w:val="auto"/>
              </w:rPr>
              <w:t>of continuing operations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income of unconsolidated subsidiaries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12.0</w:t>
            </w:r>
          </w:p>
        </w:tc>
        <w:tc>
          <w:tcPr>
            <w:tcW w:w="2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12.6</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loss on sale of business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Share-based compensation</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5.4</w:t>
            </w:r>
          </w:p>
        </w:tc>
        <w:tc>
          <w:tcPr>
            <w:tcW w:w="2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6.0</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 and other impairment</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rPr>
              <w:t>Changes in assets and liabilities, net of effects of business acquisitions</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7"/>
        </w:trPr>
        <w:tc>
          <w:tcPr>
            <w:tcW w:w="8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37"/>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and notes receivable</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(154.0)</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(146.2)</w:t>
            </w:r>
          </w:p>
        </w:tc>
      </w:tr>
      <w:tr>
        <w:trPr>
          <w:trHeight w:val="224"/>
        </w:trPr>
        <w:tc>
          <w:tcPr>
            <w:tcW w:w="824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(22.2)</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r>
      <w:tr>
        <w:trPr>
          <w:trHeight w:val="224"/>
        </w:trPr>
        <w:tc>
          <w:tcPr>
            <w:tcW w:w="824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(118.2)</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(59.7)</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Employee compensation and benefits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w:t>
            </w:r>
          </w:p>
        </w:tc>
      </w:tr>
      <w:tr>
        <w:trPr>
          <w:trHeight w:val="224"/>
        </w:trPr>
        <w:tc>
          <w:tcPr>
            <w:tcW w:w="824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(8.3)</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(39.6)</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2"/>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non-current assets and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r>
      <w:tr>
        <w:trPr>
          <w:trHeight w:val="217"/>
        </w:trPr>
        <w:tc>
          <w:tcPr>
            <w:tcW w:w="824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Net cash used for operating activities of continuing operations</w:t>
            </w: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(257.1)</w:t>
            </w: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(194.0)</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2"/>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operating activities of discontinued operations</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w:t>
            </w:r>
          </w:p>
        </w:tc>
      </w:tr>
      <w:tr>
        <w:trPr>
          <w:trHeight w:val="217"/>
        </w:trPr>
        <w:tc>
          <w:tcPr>
            <w:tcW w:w="824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Net cash used for operating activities</w:t>
            </w: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(256.3)</w:t>
            </w: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(167.6)</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(16.8)</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sale of property and equipment</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Proceeds from (payments due to) the sale of businesses, net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0.7</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(13.8)</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Acquisitions, net of cash acquired</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(287.2)</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used for investing activities of continuing operations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(304.5)</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w:t>
            </w:r>
          </w:p>
        </w:tc>
      </w:tr>
      <w:tr>
        <w:trPr>
          <w:trHeight w:val="224"/>
        </w:trPr>
        <w:tc>
          <w:tcPr>
            <w:tcW w:w="8240" w:type="dxa"/>
            <w:vAlign w:val="bottom"/>
          </w:tcPr>
          <w:p>
            <w:pPr>
              <w:ind w:left="380"/>
              <w:spacing w:after="0"/>
              <w:rPr>
                <w:sz w:val="20"/>
                <w:szCs w:val="20"/>
                <w:color w:val="auto"/>
              </w:rPr>
            </w:pPr>
            <w:r>
              <w:rPr>
                <w:rFonts w:ascii="Arial" w:cs="Arial" w:eastAsia="Arial" w:hAnsi="Arial"/>
                <w:sz w:val="16"/>
                <w:szCs w:val="16"/>
                <w:color w:val="auto"/>
              </w:rPr>
              <w:t>Net cash used for investing activities of discontinued operations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33"/>
        </w:trPr>
        <w:tc>
          <w:tcPr>
            <w:tcW w:w="8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used for investing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(304.5)</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7"/>
        </w:trPr>
        <w:tc>
          <w:tcPr>
            <w:tcW w:w="8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receipts of commercial paper and revolving long-term debt</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584.1</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417.5</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Shares issued to employees, net of shares withheld</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5.9</w:t>
            </w:r>
          </w:p>
        </w:tc>
        <w:tc>
          <w:tcPr>
            <w:tcW w:w="2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0.9</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Repurchases of ordinary shares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(31.0)</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(63.3)</w:t>
            </w:r>
          </w:p>
        </w:tc>
      </w:tr>
      <w:tr>
        <w:trPr>
          <w:trHeight w:val="33"/>
        </w:trPr>
        <w:tc>
          <w:tcPr>
            <w:tcW w:w="8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financing activities of continuing operations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559.0</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205.1</w:t>
            </w:r>
          </w:p>
        </w:tc>
      </w:tr>
      <w:tr>
        <w:trPr>
          <w:trHeight w:val="224"/>
        </w:trPr>
        <w:tc>
          <w:tcPr>
            <w:tcW w:w="8240" w:type="dxa"/>
            <w:vAlign w:val="bottom"/>
          </w:tcPr>
          <w:p>
            <w:pPr>
              <w:ind w:left="380"/>
              <w:spacing w:after="0"/>
              <w:rPr>
                <w:sz w:val="20"/>
                <w:szCs w:val="20"/>
                <w:color w:val="auto"/>
              </w:rPr>
            </w:pPr>
            <w:r>
              <w:rPr>
                <w:rFonts w:ascii="Arial" w:cs="Arial" w:eastAsia="Arial" w:hAnsi="Arial"/>
                <w:sz w:val="16"/>
                <w:szCs w:val="16"/>
                <w:color w:val="auto"/>
              </w:rPr>
              <w:t>Net cash provided by financing activities of discontinued operations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792.7</w:t>
            </w:r>
          </w:p>
        </w:tc>
      </w:tr>
      <w:tr>
        <w:trPr>
          <w:trHeight w:val="33"/>
        </w:trPr>
        <w:tc>
          <w:tcPr>
            <w:tcW w:w="8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financing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559.0</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997.8</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rPr>
              <w:t>Change in cash held for sale</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(809.7)</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2"/>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Effect of exchange rate changes on cash and cash equivalents</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7"/>
        </w:trPr>
        <w:tc>
          <w:tcPr>
            <w:tcW w:w="82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Change in cash and cash equivalents</w:t>
            </w: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(15.5)</w:t>
            </w:r>
          </w:p>
        </w:tc>
      </w:tr>
      <w:tr>
        <w:trPr>
          <w:trHeight w:val="3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2"/>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86.3</w:t>
            </w:r>
          </w:p>
        </w:tc>
      </w:tr>
      <w:tr>
        <w:trPr>
          <w:trHeight w:val="217"/>
        </w:trPr>
        <w:tc>
          <w:tcPr>
            <w:tcW w:w="82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Cash and cash equivalents, end of period</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78.9</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70.8</w:t>
            </w:r>
          </w:p>
        </w:tc>
      </w:tr>
      <w:tr>
        <w:trPr>
          <w:trHeight w:val="33"/>
        </w:trPr>
        <w:tc>
          <w:tcPr>
            <w:tcW w:w="8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 (Unaudited)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60" w:type="dxa"/>
            <w:vAlign w:val="bottom"/>
          </w:tcPr>
          <w:p>
            <w:pPr>
              <w:spacing w:after="0"/>
              <w:rPr>
                <w:sz w:val="13"/>
                <w:szCs w:val="13"/>
                <w:color w:val="auto"/>
              </w:rPr>
            </w:pPr>
          </w:p>
        </w:tc>
        <w:tc>
          <w:tcPr>
            <w:tcW w:w="1860" w:type="dxa"/>
            <w:vAlign w:val="bottom"/>
            <w:gridSpan w:val="3"/>
          </w:tcPr>
          <w:p>
            <w:pPr>
              <w:jc w:val="right"/>
              <w:ind w:right="389"/>
              <w:spacing w:after="0"/>
              <w:rPr>
                <w:sz w:val="20"/>
                <w:szCs w:val="20"/>
                <w:color w:val="auto"/>
              </w:rPr>
            </w:pPr>
            <w:r>
              <w:rPr>
                <w:rFonts w:ascii="Arial" w:cs="Arial" w:eastAsia="Arial" w:hAnsi="Arial"/>
                <w:sz w:val="13"/>
                <w:szCs w:val="13"/>
                <w:b w:val="1"/>
                <w:bCs w:val="1"/>
                <w:color w:val="auto"/>
              </w:rPr>
              <w:t>Ordinary shares</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right="10"/>
              <w:spacing w:after="0"/>
              <w:rPr>
                <w:sz w:val="20"/>
                <w:szCs w:val="20"/>
                <w:color w:val="auto"/>
              </w:rPr>
            </w:pPr>
            <w:r>
              <w:rPr>
                <w:rFonts w:ascii="Arial" w:cs="Arial" w:eastAsia="Arial" w:hAnsi="Arial"/>
                <w:sz w:val="13"/>
                <w:szCs w:val="13"/>
                <w:b w:val="1"/>
                <w:bCs w:val="1"/>
                <w:color w:val="auto"/>
                <w:w w:val="88"/>
              </w:rPr>
              <w:t>Accumulated</w:t>
            </w: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vMerge w:val="restart"/>
          </w:tcPr>
          <w:p>
            <w:pPr>
              <w:jc w:val="center"/>
              <w:ind w:right="30"/>
              <w:spacing w:after="0" w:line="117" w:lineRule="exact"/>
              <w:rPr>
                <w:sz w:val="20"/>
                <w:szCs w:val="20"/>
                <w:color w:val="auto"/>
              </w:rPr>
            </w:pPr>
            <w:r>
              <w:rPr>
                <w:rFonts w:ascii="Arial" w:cs="Arial" w:eastAsia="Arial" w:hAnsi="Arial"/>
                <w:sz w:val="13"/>
                <w:szCs w:val="13"/>
                <w:b w:val="1"/>
                <w:bCs w:val="1"/>
                <w:color w:val="auto"/>
                <w:w w:val="89"/>
              </w:rPr>
              <w:t>Additional paid-in</w:t>
            </w: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vMerge w:val="restart"/>
          </w:tcPr>
          <w:p>
            <w:pPr>
              <w:jc w:val="center"/>
              <w:ind w:right="10"/>
              <w:spacing w:after="0" w:line="117" w:lineRule="exact"/>
              <w:rPr>
                <w:sz w:val="20"/>
                <w:szCs w:val="20"/>
                <w:color w:val="auto"/>
              </w:rPr>
            </w:pPr>
            <w:r>
              <w:rPr>
                <w:rFonts w:ascii="Arial" w:cs="Arial" w:eastAsia="Arial" w:hAnsi="Arial"/>
                <w:sz w:val="13"/>
                <w:szCs w:val="13"/>
                <w:b w:val="1"/>
                <w:bCs w:val="1"/>
                <w:color w:val="auto"/>
                <w:w w:val="86"/>
              </w:rPr>
              <w:t>other</w:t>
            </w: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44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millions</w:t>
            </w: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Number</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Amount</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6"/>
              </w:rPr>
              <w:t>Retained earnings</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83"/>
              </w:rPr>
              <w:t>comprehensive loss</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1"/>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December 31, 2018</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171.4</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1.7</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1,893.8</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169.2</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(228.6)</w:t>
            </w:r>
          </w:p>
        </w:tc>
        <w:tc>
          <w:tcPr>
            <w:tcW w:w="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1,836.1</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51.3</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net of tax</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2.7</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Dividends declared, $0.18 per share</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 of options, net of shares tendered for payment</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0.3</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Issuance of restricted shares, net of cancellations</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0.2</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surrendered by employees to pay taxes</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87"/>
        </w:trPr>
        <w:tc>
          <w:tcPr>
            <w:tcW w:w="44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March 31, 2019</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171.9</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1.7</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1,905.1</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189.5</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(225.9)</w:t>
            </w:r>
          </w:p>
        </w:tc>
        <w:tc>
          <w:tcPr>
            <w:tcW w:w="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1,870.4</w:t>
            </w:r>
          </w:p>
        </w:tc>
        <w:tc>
          <w:tcPr>
            <w:tcW w:w="0" w:type="dxa"/>
            <w:vAlign w:val="bottom"/>
          </w:tcPr>
          <w:p>
            <w:pPr>
              <w:spacing w:after="0"/>
              <w:rPr>
                <w:sz w:val="1"/>
                <w:szCs w:val="1"/>
                <w:color w:val="auto"/>
              </w:rPr>
            </w:pPr>
          </w:p>
        </w:tc>
      </w:tr>
      <w:tr>
        <w:trPr>
          <w:trHeight w:val="74"/>
        </w:trPr>
        <w:tc>
          <w:tcPr>
            <w:tcW w:w="446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80" w:type="dxa"/>
            <w:vAlign w:val="bottom"/>
            <w:tcBorders>
              <w:bottom w:val="single" w:sz="8" w:color="auto"/>
            </w:tcBorders>
            <w:vMerge w:val="continue"/>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24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320" w:type="dxa"/>
            <w:vAlign w:val="bottom"/>
            <w:tcBorders>
              <w:bottom w:val="single" w:sz="8" w:color="auto"/>
            </w:tcBorders>
            <w:vMerge w:val="continue"/>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460" w:type="dxa"/>
            <w:vAlign w:val="bottom"/>
          </w:tcPr>
          <w:p>
            <w:pPr>
              <w:spacing w:after="0"/>
              <w:rPr>
                <w:sz w:val="24"/>
                <w:szCs w:val="24"/>
                <w:color w:val="auto"/>
              </w:rPr>
            </w:pPr>
          </w:p>
        </w:tc>
        <w:tc>
          <w:tcPr>
            <w:tcW w:w="1860" w:type="dxa"/>
            <w:vAlign w:val="bottom"/>
            <w:gridSpan w:val="3"/>
          </w:tcPr>
          <w:p>
            <w:pPr>
              <w:jc w:val="right"/>
              <w:ind w:right="389"/>
              <w:spacing w:after="0"/>
              <w:rPr>
                <w:sz w:val="20"/>
                <w:szCs w:val="20"/>
                <w:color w:val="auto"/>
              </w:rPr>
            </w:pPr>
            <w:r>
              <w:rPr>
                <w:rFonts w:ascii="Arial" w:cs="Arial" w:eastAsia="Arial" w:hAnsi="Arial"/>
                <w:sz w:val="13"/>
                <w:szCs w:val="13"/>
                <w:b w:val="1"/>
                <w:bCs w:val="1"/>
                <w:color w:val="auto"/>
              </w:rPr>
              <w:t>Ordinary shares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10"/>
              <w:spacing w:after="0"/>
              <w:rPr>
                <w:sz w:val="20"/>
                <w:szCs w:val="20"/>
                <w:color w:val="auto"/>
              </w:rPr>
            </w:pPr>
            <w:r>
              <w:rPr>
                <w:rFonts w:ascii="Arial" w:cs="Arial" w:eastAsia="Arial" w:hAnsi="Arial"/>
                <w:sz w:val="13"/>
                <w:szCs w:val="13"/>
                <w:b w:val="1"/>
                <w:bCs w:val="1"/>
                <w:color w:val="auto"/>
                <w:w w:val="88"/>
              </w:rPr>
              <w:t>Accumulated</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46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In millions</w:t>
            </w:r>
          </w:p>
        </w:tc>
        <w:tc>
          <w:tcPr>
            <w:tcW w:w="9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vMerge w:val="restart"/>
          </w:tcPr>
          <w:p>
            <w:pPr>
              <w:jc w:val="center"/>
              <w:ind w:right="30"/>
              <w:spacing w:after="0" w:line="117" w:lineRule="exact"/>
              <w:rPr>
                <w:sz w:val="20"/>
                <w:szCs w:val="20"/>
                <w:color w:val="auto"/>
              </w:rPr>
            </w:pPr>
            <w:r>
              <w:rPr>
                <w:rFonts w:ascii="Arial" w:cs="Arial" w:eastAsia="Arial" w:hAnsi="Arial"/>
                <w:sz w:val="13"/>
                <w:szCs w:val="13"/>
                <w:b w:val="1"/>
                <w:bCs w:val="1"/>
                <w:color w:val="auto"/>
                <w:w w:val="89"/>
              </w:rPr>
              <w:t>Additional paid-in</w:t>
            </w: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vMerge w:val="restart"/>
          </w:tcPr>
          <w:p>
            <w:pPr>
              <w:jc w:val="center"/>
              <w:ind w:right="10"/>
              <w:spacing w:after="0" w:line="117" w:lineRule="exact"/>
              <w:rPr>
                <w:sz w:val="20"/>
                <w:szCs w:val="20"/>
                <w:color w:val="auto"/>
              </w:rPr>
            </w:pPr>
            <w:r>
              <w:rPr>
                <w:rFonts w:ascii="Arial" w:cs="Arial" w:eastAsia="Arial" w:hAnsi="Arial"/>
                <w:sz w:val="13"/>
                <w:szCs w:val="13"/>
                <w:b w:val="1"/>
                <w:bCs w:val="1"/>
                <w:color w:val="auto"/>
                <w:w w:val="86"/>
              </w:rPr>
              <w:t>other</w:t>
            </w: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446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446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Number</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Amount</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6"/>
              </w:rPr>
              <w:t>Retained earnings</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83"/>
              </w:rPr>
              <w:t>comprehensive loss</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1"/>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December 31, 2017</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180.3</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1.8</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2,797.7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2,481.7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(243.4)</w:t>
            </w:r>
          </w:p>
        </w:tc>
        <w:tc>
          <w:tcPr>
            <w:tcW w:w="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5,037.8</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102.9</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102.9</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Cumulative effect of accounting changes</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(214.0)</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(214.0)</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Other comprehensive loss, net of tax</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$0.35 per share</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(62.6)</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(62.6)</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Share repurchase</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(150.0)</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 of options, net of shares tendered for payment</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Issuance of restricted shares, net of cancellations</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0.3</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surrendered by employees to pay taxes</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87"/>
        </w:trPr>
        <w:tc>
          <w:tcPr>
            <w:tcW w:w="44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March 31, 2018</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178.4</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1.8</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2,654.7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2,308.0</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(244.8)</w:t>
            </w:r>
          </w:p>
        </w:tc>
        <w:tc>
          <w:tcPr>
            <w:tcW w:w="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4,719.7</w:t>
            </w:r>
          </w:p>
        </w:tc>
        <w:tc>
          <w:tcPr>
            <w:tcW w:w="0" w:type="dxa"/>
            <w:vAlign w:val="bottom"/>
          </w:tcPr>
          <w:p>
            <w:pPr>
              <w:spacing w:after="0"/>
              <w:rPr>
                <w:sz w:val="1"/>
                <w:szCs w:val="1"/>
                <w:color w:val="auto"/>
              </w:rPr>
            </w:pPr>
          </w:p>
        </w:tc>
      </w:tr>
      <w:tr>
        <w:trPr>
          <w:trHeight w:val="74"/>
        </w:trPr>
        <w:tc>
          <w:tcPr>
            <w:tcW w:w="446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80" w:type="dxa"/>
            <w:vAlign w:val="bottom"/>
            <w:tcBorders>
              <w:bottom w:val="single" w:sz="8" w:color="auto"/>
            </w:tcBorders>
            <w:vMerge w:val="continue"/>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24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320" w:type="dxa"/>
            <w:vAlign w:val="bottom"/>
            <w:tcBorders>
              <w:bottom w:val="single" w:sz="8" w:color="auto"/>
            </w:tcBorders>
            <w:vMerge w:val="continue"/>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7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Basis of Presentation and Responsibility for Interim Financial Statements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accompanying unaudited condensed consolidated financial statements of Pentair plc and its subsidiaries (“we,” “us,” “our,” “Pentair,” or the “Company”) have been prepared following the requirements of the U.S. Securities and Exchange Commission (“SEC”) for interim reporting. As permitted under those rules, certain footnotes or other financial information that are normally required by accounting principles generally accepted in the United States of America (“GAAP”) can be condensed or omitted.</w:t>
      </w:r>
    </w:p>
    <w:p>
      <w:pPr>
        <w:spacing w:after="0" w:line="13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responsible for the unaudited condensed consolidated financial statements included in this document. The financial statements include all normal recurring adjustments that are considered necessary for the fair presentation of our financial position and operating results. As these are condensed financial statements, one should also read our consolidated financial statements and notes thereto, which are included in our Annual Report on Form 10-K for the year ended December 31, 2018.</w:t>
      </w:r>
    </w:p>
    <w:p>
      <w:pPr>
        <w:spacing w:after="0" w:line="13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Revenues, expenses, cash flows, assets and liabilities can and do vary during each quarter of the year. Therefore, the results and trends in these interim financial statements may not be indicative of those for a full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fiscal year ends on December 31. We report our interim quarterly periods on a calendar quarter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2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January 1, 2019, we adopted ASU No. 2016-02, “Leases” (“the new lease standard” or “ASC 842”) using the transition method of adoption. Under the transition method of adoption, comparative information has not been restated and continues to be reported under the standards in effect for those periods. In addition, we elected the package of practical expedients permitted under the transition guidance within the new standard, which among other things, allowed us to carry forward the historical lease classification. We also elected the practical expedient to not separate non-lease components from the lease components to which they relate, and instead account for each separate lease and non-lease component associated with that lease component as a single lease component for all underlying asset classes. Accordingly, all costs associated with a lease contract are accounted for as one lease cost.</w:t>
      </w:r>
    </w:p>
    <w:p>
      <w:pPr>
        <w:spacing w:after="0" w:line="1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impact of adopting the new standard primarily relates to the recognition of a lease right-of-use (“ROU”) asset and current and non-current lease liability on the consolidated balance sheet. ROU assets represent our right to use an underlying asset for the lease term and lease liabilities represent our obligation to make lease payments arising from the lease. Lease ROU assets and liabilities are recognized at commencement date based on the present value of lease payments over the lease term. As we cannot readily determine the rate implicit in the lease, we use our incremental borrowing rate determined by country of lease origin based on the anticipated lease term as determined at commencement date in determining the present value of lease payments. The ROU asset also excludes any accrued lease payments and unamortized lease incentives.</w:t>
      </w:r>
    </w:p>
    <w:p>
      <w:pPr>
        <w:spacing w:after="0" w:line="12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As of March 31, 2019, $74.7 million was included in </w:t>
      </w:r>
      <w:r>
        <w:rPr>
          <w:rFonts w:ascii="Arial" w:cs="Arial" w:eastAsia="Arial" w:hAnsi="Arial"/>
          <w:sz w:val="18"/>
          <w:szCs w:val="18"/>
          <w:i w:val="1"/>
          <w:iCs w:val="1"/>
          <w:color w:val="auto"/>
        </w:rPr>
        <w:t>Other non-current assets</w:t>
      </w:r>
      <w:r>
        <w:rPr>
          <w:rFonts w:ascii="Arial" w:cs="Arial" w:eastAsia="Arial" w:hAnsi="Arial"/>
          <w:sz w:val="18"/>
          <w:szCs w:val="18"/>
          <w:color w:val="auto"/>
        </w:rPr>
        <w:t xml:space="preserve">, $19.9 million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and $57.7 million in </w:t>
      </w:r>
      <w:r>
        <w:rPr>
          <w:rFonts w:ascii="Arial" w:cs="Arial" w:eastAsia="Arial" w:hAnsi="Arial"/>
          <w:sz w:val="18"/>
          <w:szCs w:val="18"/>
          <w:i w:val="1"/>
          <w:iCs w:val="1"/>
          <w:color w:val="auto"/>
        </w:rPr>
        <w:t>Other non-current liabilities</w:t>
      </w:r>
      <w:r>
        <w:rPr>
          <w:rFonts w:ascii="Arial" w:cs="Arial" w:eastAsia="Arial" w:hAnsi="Arial"/>
          <w:sz w:val="18"/>
          <w:szCs w:val="18"/>
          <w:color w:val="auto"/>
        </w:rPr>
        <w:t>, on the Condensed Consolidated Balance Sheets as a result of the new lease standard. There was no impact on our Condensed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Operations and Comprehensive Income or Condensed Consolidated Statements of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15 for further discussion.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7" w:lineRule="exact"/>
        <w:rPr>
          <w:sz w:val="20"/>
          <w:szCs w:val="20"/>
          <w:color w:val="auto"/>
        </w:rPr>
      </w:pPr>
    </w:p>
    <w:p>
      <w:pPr>
        <w:ind w:right="360"/>
        <w:spacing w:after="0" w:line="323" w:lineRule="auto"/>
        <w:rPr>
          <w:sz w:val="20"/>
          <w:szCs w:val="20"/>
          <w:color w:val="auto"/>
        </w:rPr>
      </w:pPr>
      <w:r>
        <w:rPr>
          <w:rFonts w:ascii="Arial" w:cs="Arial" w:eastAsia="Arial" w:hAnsi="Arial"/>
          <w:sz w:val="16"/>
          <w:szCs w:val="16"/>
          <w:color w:val="auto"/>
        </w:rPr>
        <w:t>We disaggregate our revenue from contracts with customers by segment, geographic location and vertical, as we believe these best depict how the nature, amount, timing and uncertainty of our revenue and cash flows are affected by economic factors. Refer to Note 14 for revenue disaggregated by segment.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20"/>
                <w:szCs w:val="20"/>
                <w:color w:val="auto"/>
              </w:rPr>
            </w:pPr>
            <w:r>
              <w:rPr>
                <w:rFonts w:ascii="Arial" w:cs="Arial" w:eastAsia="Arial" w:hAnsi="Arial"/>
                <w:sz w:val="18"/>
                <w:szCs w:val="18"/>
                <w:color w:val="auto"/>
              </w:rPr>
              <w:t>Geographic net sales information, based on geographic destination of the sale, was as follows: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8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8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8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March 31,</w:t>
            </w:r>
          </w:p>
        </w:tc>
        <w:tc>
          <w:tcPr>
            <w:tcW w:w="300" w:type="dxa"/>
            <w:vAlign w:val="bottom"/>
          </w:tcPr>
          <w:p>
            <w:pPr>
              <w:spacing w:after="0"/>
              <w:rPr>
                <w:sz w:val="18"/>
                <w:szCs w:val="18"/>
                <w:color w:val="auto"/>
              </w:rPr>
            </w:pPr>
          </w:p>
        </w:tc>
        <w:tc>
          <w:tcPr>
            <w:tcW w:w="1340" w:type="dxa"/>
            <w:vAlign w:val="bottom"/>
          </w:tcPr>
          <w:p>
            <w:pPr>
              <w:jc w:val="center"/>
              <w:ind w:right="210"/>
              <w:spacing w:after="0"/>
              <w:rPr>
                <w:sz w:val="20"/>
                <w:szCs w:val="20"/>
                <w:color w:val="auto"/>
              </w:rPr>
            </w:pPr>
            <w:r>
              <w:rPr>
                <w:rFonts w:ascii="Arial" w:cs="Arial" w:eastAsia="Arial" w:hAnsi="Arial"/>
                <w:sz w:val="18"/>
                <w:szCs w:val="18"/>
                <w:b w:val="1"/>
                <w:bCs w:val="1"/>
                <w:color w:val="auto"/>
                <w:w w:val="96"/>
              </w:rPr>
              <w:t>March 31,</w:t>
            </w:r>
          </w:p>
        </w:tc>
      </w:tr>
      <w:tr>
        <w:trPr>
          <w:trHeight w:val="234"/>
        </w:trPr>
        <w:tc>
          <w:tcPr>
            <w:tcW w:w="82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20"/>
                <w:szCs w:val="20"/>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2019</w:t>
            </w:r>
          </w:p>
        </w:tc>
        <w:tc>
          <w:tcPr>
            <w:tcW w:w="300" w:type="dxa"/>
            <w:vAlign w:val="bottom"/>
          </w:tcPr>
          <w:p>
            <w:pPr>
              <w:spacing w:after="0"/>
              <w:rPr>
                <w:sz w:val="20"/>
                <w:szCs w:val="20"/>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8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452.4</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Western Europe</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104.3</w:t>
            </w:r>
          </w:p>
        </w:tc>
        <w:tc>
          <w:tcPr>
            <w:tcW w:w="3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110.3</w:t>
            </w: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Developing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113.0</w:t>
            </w:r>
          </w:p>
        </w:tc>
      </w:tr>
      <w:tr>
        <w:trPr>
          <w:trHeight w:val="270"/>
        </w:trPr>
        <w:tc>
          <w:tcPr>
            <w:tcW w:w="824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 xml:space="preserve">Other Developed </w:t>
            </w:r>
            <w:r>
              <w:rPr>
                <w:rFonts w:ascii="Arial" w:cs="Arial" w:eastAsia="Arial" w:hAnsi="Arial"/>
                <w:sz w:val="25"/>
                <w:szCs w:val="25"/>
                <w:color w:val="auto"/>
                <w:vertAlign w:val="superscript"/>
              </w:rPr>
              <w:t>(2)</w:t>
            </w:r>
          </w:p>
        </w:tc>
        <w:tc>
          <w:tcPr>
            <w:tcW w:w="2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3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56.9</w:t>
            </w:r>
          </w:p>
        </w:tc>
      </w:tr>
      <w:tr>
        <w:trPr>
          <w:trHeight w:val="269"/>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sales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688.9</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732.6</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8240" w:type="dxa"/>
            <w:vAlign w:val="bottom"/>
          </w:tcPr>
          <w:p>
            <w:pPr>
              <w:ind w:left="40"/>
              <w:spacing w:after="0" w:line="250" w:lineRule="exact"/>
              <w:rPr>
                <w:sz w:val="20"/>
                <w:szCs w:val="20"/>
                <w:color w:val="auto"/>
              </w:rPr>
            </w:pPr>
            <w:r>
              <w:rPr>
                <w:rFonts w:ascii="Arial" w:cs="Arial" w:eastAsia="Arial" w:hAnsi="Arial"/>
                <w:sz w:val="25"/>
                <w:szCs w:val="25"/>
                <w:color w:val="auto"/>
                <w:vertAlign w:val="superscript"/>
              </w:rPr>
              <w:t>(1)</w:t>
            </w:r>
            <w:r>
              <w:rPr>
                <w:rFonts w:ascii="Arial" w:cs="Arial" w:eastAsia="Arial" w:hAnsi="Arial"/>
                <w:sz w:val="16"/>
                <w:szCs w:val="16"/>
                <w:color w:val="auto"/>
              </w:rPr>
              <w:t xml:space="preserve"> Developing includes China, Eastern Europe, Latin America, the Middle East and Southeast Asia.</w:t>
            </w: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329"/>
        </w:trPr>
        <w:tc>
          <w:tcPr>
            <w:tcW w:w="8240" w:type="dxa"/>
            <w:vAlign w:val="bottom"/>
          </w:tcPr>
          <w:p>
            <w:pPr>
              <w:ind w:left="40"/>
              <w:spacing w:after="0"/>
              <w:rPr>
                <w:sz w:val="20"/>
                <w:szCs w:val="20"/>
                <w:color w:val="auto"/>
              </w:rPr>
            </w:pPr>
            <w:r>
              <w:rPr>
                <w:rFonts w:ascii="Arial" w:cs="Arial" w:eastAsia="Arial" w:hAnsi="Arial"/>
                <w:sz w:val="25"/>
                <w:szCs w:val="25"/>
                <w:color w:val="auto"/>
                <w:vertAlign w:val="superscript"/>
              </w:rPr>
              <w:t>(2)</w:t>
            </w:r>
            <w:r>
              <w:rPr>
                <w:rFonts w:ascii="Arial" w:cs="Arial" w:eastAsia="Arial" w:hAnsi="Arial"/>
                <w:sz w:val="16"/>
                <w:szCs w:val="16"/>
                <w:color w:val="auto"/>
              </w:rPr>
              <w:t xml:space="preserve"> Other Developed includes Australia, Canada and Japan.</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47"/>
        </w:trPr>
        <w:tc>
          <w:tcPr>
            <w:tcW w:w="8240" w:type="dxa"/>
            <w:vAlign w:val="bottom"/>
          </w:tcPr>
          <w:p>
            <w:pPr>
              <w:spacing w:after="0"/>
              <w:rPr>
                <w:sz w:val="20"/>
                <w:szCs w:val="20"/>
                <w:color w:val="auto"/>
              </w:rPr>
            </w:pPr>
            <w:r>
              <w:rPr>
                <w:rFonts w:ascii="Arial" w:cs="Arial" w:eastAsia="Arial" w:hAnsi="Arial"/>
                <w:sz w:val="18"/>
                <w:szCs w:val="18"/>
                <w:color w:val="auto"/>
              </w:rPr>
              <w:t>Vertical net sales information was as follows: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8"/>
        </w:trPr>
        <w:tc>
          <w:tcPr>
            <w:tcW w:w="8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8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8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March 31,</w:t>
            </w:r>
          </w:p>
        </w:tc>
        <w:tc>
          <w:tcPr>
            <w:tcW w:w="300" w:type="dxa"/>
            <w:vAlign w:val="bottom"/>
          </w:tcPr>
          <w:p>
            <w:pPr>
              <w:spacing w:after="0"/>
              <w:rPr>
                <w:sz w:val="18"/>
                <w:szCs w:val="18"/>
                <w:color w:val="auto"/>
              </w:rPr>
            </w:pPr>
          </w:p>
        </w:tc>
        <w:tc>
          <w:tcPr>
            <w:tcW w:w="1340" w:type="dxa"/>
            <w:vAlign w:val="bottom"/>
          </w:tcPr>
          <w:p>
            <w:pPr>
              <w:jc w:val="center"/>
              <w:ind w:right="210"/>
              <w:spacing w:after="0"/>
              <w:rPr>
                <w:sz w:val="20"/>
                <w:szCs w:val="20"/>
                <w:color w:val="auto"/>
              </w:rPr>
            </w:pPr>
            <w:r>
              <w:rPr>
                <w:rFonts w:ascii="Arial" w:cs="Arial" w:eastAsia="Arial" w:hAnsi="Arial"/>
                <w:sz w:val="18"/>
                <w:szCs w:val="18"/>
                <w:b w:val="1"/>
                <w:bCs w:val="1"/>
                <w:color w:val="auto"/>
                <w:w w:val="96"/>
              </w:rPr>
              <w:t>March 31,</w:t>
            </w:r>
          </w:p>
        </w:tc>
      </w:tr>
      <w:tr>
        <w:trPr>
          <w:trHeight w:val="234"/>
        </w:trPr>
        <w:tc>
          <w:tcPr>
            <w:tcW w:w="82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20"/>
                <w:szCs w:val="20"/>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2019</w:t>
            </w:r>
          </w:p>
        </w:tc>
        <w:tc>
          <w:tcPr>
            <w:tcW w:w="300" w:type="dxa"/>
            <w:vAlign w:val="bottom"/>
          </w:tcPr>
          <w:p>
            <w:pPr>
              <w:spacing w:after="0"/>
              <w:rPr>
                <w:sz w:val="20"/>
                <w:szCs w:val="20"/>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8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383.6</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412.2</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150.7</w:t>
            </w:r>
          </w:p>
        </w:tc>
        <w:tc>
          <w:tcPr>
            <w:tcW w:w="3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151.8</w:t>
            </w: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3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168.6</w:t>
            </w:r>
          </w:p>
        </w:tc>
      </w:tr>
      <w:tr>
        <w:trPr>
          <w:trHeight w:val="237"/>
        </w:trPr>
        <w:tc>
          <w:tcPr>
            <w:tcW w:w="8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Consolidated net sales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688.9</w:t>
            </w:r>
          </w:p>
        </w:tc>
        <w:tc>
          <w:tcPr>
            <w:tcW w:w="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732.6</w:t>
            </w:r>
          </w:p>
        </w:tc>
      </w:tr>
      <w:tr>
        <w:trPr>
          <w:trHeight w:val="27"/>
        </w:trPr>
        <w:tc>
          <w:tcPr>
            <w:tcW w:w="8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2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On March 31, 2019, we had $66.4 million of remaining performance obligations on contracts with an original expected duration of one year or more. We expect to recognize the majority of our remaining performance obligations on these contracts within the next 12 to 18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and liabilities consisted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December 31,</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33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18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1360" w:type="dxa"/>
            <w:vAlign w:val="bottom"/>
          </w:tcPr>
          <w:p>
            <w:pPr>
              <w:jc w:val="right"/>
              <w:ind w:right="430"/>
              <w:spacing w:after="0"/>
              <w:rPr>
                <w:sz w:val="20"/>
                <w:szCs w:val="20"/>
                <w:color w:val="auto"/>
              </w:rPr>
            </w:pPr>
            <w:r>
              <w:rPr>
                <w:rFonts w:ascii="Arial" w:cs="Arial" w:eastAsia="Arial" w:hAnsi="Arial"/>
                <w:sz w:val="18"/>
                <w:szCs w:val="18"/>
                <w:b w:val="1"/>
                <w:bCs w:val="1"/>
                <w:color w:val="auto"/>
              </w:rPr>
              <w:t>$ Change</w:t>
            </w:r>
          </w:p>
        </w:tc>
        <w:tc>
          <w:tcPr>
            <w:tcW w:w="1420" w:type="dxa"/>
            <w:vAlign w:val="bottom"/>
          </w:tcPr>
          <w:p>
            <w:pPr>
              <w:jc w:val="right"/>
              <w:ind w:right="29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3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Contract liabilities</w:t>
            </w:r>
          </w:p>
        </w:tc>
        <w:tc>
          <w:tcPr>
            <w:tcW w:w="2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32.9</w:t>
            </w:r>
          </w:p>
        </w:tc>
        <w:tc>
          <w:tcPr>
            <w:tcW w:w="2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32.8</w:t>
            </w:r>
          </w:p>
        </w:tc>
        <w:tc>
          <w:tcPr>
            <w:tcW w:w="340" w:type="dxa"/>
            <w:vAlign w:val="bottom"/>
          </w:tcPr>
          <w:p>
            <w:pPr>
              <w:spacing w:after="0"/>
              <w:rPr>
                <w:sz w:val="21"/>
                <w:szCs w:val="21"/>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4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33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contract assets</w:t>
            </w: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0"/>
        </w:trPr>
        <w:tc>
          <w:tcPr>
            <w:tcW w:w="336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$1.8 million increase in net contract assets from December 31, 2018 to March 31, 2019 was primarily the result of timing of milestone payments. Approximately 50% of our contract liabilities at December 31, 2018 were recognized in revenue in the first quarter of 2019. There were no impairment losses recognized on our contract assets for the three months ended March 31, 2019.</w:t>
      </w:r>
    </w:p>
    <w:p>
      <w:pPr>
        <w:spacing w:after="0" w:line="204" w:lineRule="exact"/>
        <w:rPr>
          <w:sz w:val="20"/>
          <w:szCs w:val="20"/>
          <w:color w:val="auto"/>
        </w:rPr>
      </w:pPr>
    </w:p>
    <w:p>
      <w:pPr>
        <w:ind w:right="7380" w:firstLine="8"/>
        <w:spacing w:after="0" w:line="269" w:lineRule="auto"/>
        <w:tabs>
          <w:tab w:leader="none" w:pos="783"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and Discontinued Operations </w:t>
      </w:r>
      <w:r>
        <w:rPr>
          <w:rFonts w:ascii="Arial" w:cs="Arial" w:eastAsia="Arial" w:hAnsi="Arial"/>
          <w:sz w:val="18"/>
          <w:szCs w:val="18"/>
          <w:b w:val="1"/>
          <w:bCs w:val="1"/>
          <w:i w:val="1"/>
          <w:iCs w:val="1"/>
          <w:color w:val="auto"/>
        </w:rPr>
        <w:t>Acquisitions</w:t>
      </w:r>
    </w:p>
    <w:p>
      <w:pPr>
        <w:ind w:right="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In February 2019, as part of Filtration Solutions, we completed the acquisitions of Aquion, Inc. (“Aquion”) and Pelican Water Systems (“Pelican”) for $164.7 million and $122.5 million in cash, net of cash acquired, respectively.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5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Aquion, the excess of purchase price over tangible net assets and identified intangible assets acquired has been preliminarily allocated to goodwill in the amount of $94.6 million, none of which is expected to be deductible for income tax purposes. Identifiable intangible assets acquired as part of the Aquion acquisition include $15.7 million of indefinite-lived trade name intangible assets and $78.8 million of definite-lived customer relationships with an estimated useful life of 15 years.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Pelican, the excess purchase price over tangible net assets acquired has been preliminarily allocated to goodwill in the amount of $121.9 million, none of which is expected to be deductible for income tax purposes.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preliminary purchase price allocation for these acquisitions is subject to further refinement and may require significant adjustments to arrive at the final purchase price allocation. These changes will primarily relate to impacts associated with income taxes and other accruals.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proforma impact of these acquisitions is not 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Discontinued Operation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Electrical Separation</w:t>
      </w:r>
    </w:p>
    <w:p>
      <w:pPr>
        <w:spacing w:after="0" w:line="27"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 xml:space="preserve">On April 30, 2018, we completed the separation of our Electrical business from the rest of Pentair (the “Separation”) by means of a dividend in specie of the Electrical business, which was effected by the transfer of the Electrical business from Pentair to nVent Electric plc (“nVent”) and the issuance by nVent of ordinary shares directly to Pentair shareholders (the “Distribution”). The results of the Electrical business have been presented as discontinued operations. The Electrical business had been previously disclosed as a stand-alone reporting segment. Separation costs related to the Separation and Distribution were $24.6 million for the three months ended March 31, 2018. These costs are reported in discontinued operations as they represent a cost directly related to the Separation and Distribution and are included within </w:t>
      </w:r>
      <w:r>
        <w:rPr>
          <w:rFonts w:ascii="Arial" w:cs="Arial" w:eastAsia="Arial" w:hAnsi="Arial"/>
          <w:sz w:val="16"/>
          <w:szCs w:val="16"/>
          <w:i w:val="1"/>
          <w:iCs w:val="1"/>
          <w:color w:val="auto"/>
        </w:rPr>
        <w:t>(Loss) income from discontinued operations, net of tax</w:t>
      </w:r>
      <w:r>
        <w:rPr>
          <w:rFonts w:ascii="Arial" w:cs="Arial" w:eastAsia="Arial" w:hAnsi="Arial"/>
          <w:sz w:val="16"/>
          <w:szCs w:val="16"/>
          <w:color w:val="auto"/>
        </w:rPr>
        <w:t xml:space="preserve"> presented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r>
              <w:rPr>
                <w:rFonts w:ascii="Arial" w:cs="Arial" w:eastAsia="Arial" w:hAnsi="Arial"/>
                <w:sz w:val="18"/>
                <w:szCs w:val="18"/>
                <w:color w:val="auto"/>
                <w:w w:val="96"/>
              </w:rPr>
              <w:t>Operating results of the discontinued operation is summarized below:</w:t>
            </w: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78"/>
        </w:trPr>
        <w:tc>
          <w:tcPr>
            <w:tcW w:w="53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53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53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53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3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538.9</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330.2</w:t>
            </w:r>
          </w:p>
        </w:tc>
      </w:tr>
      <w:tr>
        <w:trPr>
          <w:trHeight w:val="27"/>
        </w:trPr>
        <w:tc>
          <w:tcPr>
            <w:tcW w:w="53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208.7</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137.8</w:t>
            </w:r>
          </w:p>
        </w:tc>
      </w:tr>
      <w:tr>
        <w:trPr>
          <w:trHeight w:val="27"/>
        </w:trPr>
        <w:tc>
          <w:tcPr>
            <w:tcW w:w="53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3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r>
      <w:tr>
        <w:trPr>
          <w:trHeight w:val="237"/>
        </w:trPr>
        <w:tc>
          <w:tcPr>
            <w:tcW w:w="5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income (loss)</w:t>
            </w:r>
          </w:p>
        </w:tc>
        <w:tc>
          <w:tcPr>
            <w:tcW w:w="33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59.6</w:t>
            </w:r>
          </w:p>
        </w:tc>
      </w:tr>
      <w:tr>
        <w:trPr>
          <w:trHeight w:val="67"/>
        </w:trPr>
        <w:tc>
          <w:tcPr>
            <w:tcW w:w="5340" w:type="dxa"/>
            <w:vAlign w:val="bottom"/>
            <w:tcBorders>
              <w:bottom w:val="single" w:sz="8" w:color="auto"/>
            </w:tcBorders>
          </w:tcPr>
          <w:p>
            <w:pPr>
              <w:spacing w:after="0"/>
              <w:rPr>
                <w:sz w:val="5"/>
                <w:szCs w:val="5"/>
                <w:color w:val="auto"/>
              </w:rPr>
            </w:pPr>
          </w:p>
        </w:tc>
        <w:tc>
          <w:tcPr>
            <w:tcW w:w="3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102"/>
        </w:trPr>
        <w:tc>
          <w:tcPr>
            <w:tcW w:w="5340" w:type="dxa"/>
            <w:vAlign w:val="bottom"/>
            <w:shd w:val="clear" w:color="auto" w:fill="CCEEFF"/>
          </w:tcPr>
          <w:p>
            <w:pPr>
              <w:spacing w:after="0"/>
              <w:rPr>
                <w:sz w:val="8"/>
                <w:szCs w:val="8"/>
                <w:color w:val="auto"/>
              </w:rPr>
            </w:pPr>
          </w:p>
        </w:tc>
        <w:tc>
          <w:tcPr>
            <w:tcW w:w="3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(Loss) income from discontinued operations before income taxes</w:t>
            </w:r>
          </w:p>
        </w:tc>
        <w:tc>
          <w:tcPr>
            <w:tcW w:w="3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58.2</w:t>
            </w:r>
          </w:p>
        </w:tc>
      </w:tr>
      <w:tr>
        <w:trPr>
          <w:trHeight w:val="27"/>
        </w:trPr>
        <w:tc>
          <w:tcPr>
            <w:tcW w:w="53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3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r>
      <w:tr>
        <w:trPr>
          <w:trHeight w:val="237"/>
        </w:trPr>
        <w:tc>
          <w:tcPr>
            <w:tcW w:w="5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(Loss) income from discontinued operations, net of tax</w:t>
            </w:r>
          </w:p>
        </w:tc>
        <w:tc>
          <w:tcPr>
            <w:tcW w:w="33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44.5</w:t>
            </w:r>
          </w:p>
        </w:tc>
      </w:tr>
      <w:tr>
        <w:trPr>
          <w:trHeight w:val="27"/>
        </w:trPr>
        <w:tc>
          <w:tcPr>
            <w:tcW w:w="53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534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872"/>
        </w:trPr>
        <w:tc>
          <w:tcPr>
            <w:tcW w:w="5340" w:type="dxa"/>
            <w:vAlign w:val="bottom"/>
          </w:tcPr>
          <w:p>
            <w:pPr>
              <w:spacing w:after="0"/>
              <w:rPr>
                <w:sz w:val="24"/>
                <w:szCs w:val="24"/>
                <w:color w:val="auto"/>
              </w:rPr>
            </w:pPr>
          </w:p>
        </w:tc>
        <w:tc>
          <w:tcPr>
            <w:tcW w:w="3120" w:type="dxa"/>
            <w:vAlign w:val="bottom"/>
          </w:tcPr>
          <w:p>
            <w:pPr>
              <w:jc w:val="right"/>
              <w:ind w:right="261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Share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expense for the three months ended March 31, 2019 and 2018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262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0"/>
                <w:szCs w:val="20"/>
                <w:color w:val="auto"/>
              </w:rPr>
            </w:pPr>
          </w:p>
        </w:tc>
      </w:tr>
      <w:tr>
        <w:trPr>
          <w:trHeight w:val="27"/>
        </w:trPr>
        <w:tc>
          <w:tcPr>
            <w:tcW w:w="84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18"/>
        </w:trPr>
        <w:tc>
          <w:tcPr>
            <w:tcW w:w="8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340" w:type="dxa"/>
            <w:vAlign w:val="bottom"/>
          </w:tcPr>
          <w:p>
            <w:pPr>
              <w:spacing w:after="0"/>
              <w:rPr>
                <w:sz w:val="18"/>
                <w:szCs w:val="18"/>
                <w:color w:val="auto"/>
              </w:rPr>
            </w:pPr>
          </w:p>
        </w:tc>
      </w:tr>
      <w:tr>
        <w:trPr>
          <w:trHeight w:val="234"/>
        </w:trPr>
        <w:tc>
          <w:tcPr>
            <w:tcW w:w="84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r>
      <w:tr>
        <w:trPr>
          <w:trHeight w:val="27"/>
        </w:trPr>
        <w:tc>
          <w:tcPr>
            <w:tcW w:w="8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2.8</w:t>
            </w:r>
          </w:p>
        </w:tc>
        <w:tc>
          <w:tcPr>
            <w:tcW w:w="118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2.4</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11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7"/>
              </w:rPr>
              <w:t>1.4</w:t>
            </w:r>
          </w:p>
        </w:tc>
        <w:tc>
          <w:tcPr>
            <w:tcW w:w="118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1.2</w:t>
            </w:r>
          </w:p>
        </w:tc>
      </w:tr>
      <w:tr>
        <w:trPr>
          <w:trHeight w:val="27"/>
        </w:trPr>
        <w:tc>
          <w:tcPr>
            <w:tcW w:w="8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 units</w:t>
            </w:r>
          </w:p>
        </w:tc>
        <w:tc>
          <w:tcPr>
            <w:tcW w:w="1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1.2</w:t>
            </w:r>
          </w:p>
        </w:tc>
        <w:tc>
          <w:tcPr>
            <w:tcW w:w="11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2.4</w:t>
            </w:r>
          </w:p>
        </w:tc>
      </w:tr>
      <w:tr>
        <w:trPr>
          <w:trHeight w:val="237"/>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share-based compensation expense</w:t>
            </w:r>
          </w:p>
        </w:tc>
        <w:tc>
          <w:tcPr>
            <w:tcW w:w="1140" w:type="dxa"/>
            <w:vAlign w:val="bottom"/>
            <w:tcBorders>
              <w:top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5.4</w:t>
            </w:r>
          </w:p>
        </w:tc>
        <w:tc>
          <w:tcPr>
            <w:tcW w:w="1180" w:type="dxa"/>
            <w:vAlign w:val="bottom"/>
            <w:tcBorders>
              <w:top w:val="single" w:sz="8" w:color="auto"/>
            </w:tcBorders>
          </w:tcPr>
          <w:p>
            <w:pPr>
              <w:jc w:val="right"/>
              <w:ind w:right="93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6.0</w:t>
            </w:r>
          </w:p>
        </w:tc>
      </w:tr>
      <w:tr>
        <w:trPr>
          <w:trHeight w:val="27"/>
        </w:trPr>
        <w:tc>
          <w:tcPr>
            <w:tcW w:w="8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0"/>
        </w:trPr>
        <w:tc>
          <w:tcPr>
            <w:tcW w:w="8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Of the total share-based compensation expense noted above, $2.0 million was reported as part of </w:t>
      </w:r>
      <w:r>
        <w:rPr>
          <w:rFonts w:ascii="Arial" w:cs="Arial" w:eastAsia="Arial" w:hAnsi="Arial"/>
          <w:sz w:val="18"/>
          <w:szCs w:val="18"/>
          <w:i w:val="1"/>
          <w:iCs w:val="1"/>
          <w:color w:val="auto"/>
        </w:rPr>
        <w:t>(Loss) income from discontinued operations, net of tax</w:t>
      </w:r>
      <w:r>
        <w:rPr>
          <w:rFonts w:ascii="Arial" w:cs="Arial" w:eastAsia="Arial" w:hAnsi="Arial"/>
          <w:sz w:val="18"/>
          <w:szCs w:val="18"/>
          <w:color w:val="auto"/>
        </w:rPr>
        <w:t xml:space="preserve"> for the three months ended March 31, 2018.</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first quarter of 2019, we issued our annual share-based compensation grants under the Pentair plc 2012 Stock and Incentive Plan to eligible employees. The total number of awards issued was approximately 0.8 million, of which 0.3 million were restricted stock units (“RSUs”), 0.4 million were stock options and 0.1 million were performance share units (“PSUs”). The weighted-average grant date fair value of the RSUs, stock options and PSUs issued was $40.84, $8.84, and $38.47, respectively.</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estimated the fair value of each stock option award issued in the annual share-based compensation grant using a Black-Scholes option pricing model, modified for dividends and using the following assumptions: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5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34"/>
        </w:trPr>
        <w:tc>
          <w:tcPr>
            <w:tcW w:w="6140" w:type="dxa"/>
            <w:vAlign w:val="bottom"/>
          </w:tcPr>
          <w:p>
            <w:pPr>
              <w:spacing w:after="0"/>
              <w:rPr>
                <w:sz w:val="20"/>
                <w:szCs w:val="20"/>
                <w:color w:val="auto"/>
              </w:rPr>
            </w:pPr>
          </w:p>
        </w:tc>
        <w:tc>
          <w:tcPr>
            <w:tcW w:w="5280" w:type="dxa"/>
            <w:vAlign w:val="bottom"/>
          </w:tcPr>
          <w:p>
            <w:pPr>
              <w:jc w:val="right"/>
              <w:ind w:right="190"/>
              <w:spacing w:after="0"/>
              <w:rPr>
                <w:sz w:val="20"/>
                <w:szCs w:val="20"/>
                <w:color w:val="auto"/>
              </w:rPr>
            </w:pPr>
            <w:r>
              <w:rPr>
                <w:rFonts w:ascii="Arial" w:cs="Arial" w:eastAsia="Arial" w:hAnsi="Arial"/>
                <w:sz w:val="18"/>
                <w:szCs w:val="18"/>
                <w:b w:val="1"/>
                <w:bCs w:val="1"/>
                <w:color w:val="auto"/>
              </w:rPr>
              <w:t>Annual Grant</w:t>
            </w:r>
          </w:p>
        </w:tc>
      </w:tr>
      <w:tr>
        <w:trPr>
          <w:trHeight w:val="27"/>
        </w:trPr>
        <w:tc>
          <w:tcPr>
            <w:tcW w:w="6140" w:type="dxa"/>
            <w:vAlign w:val="bottom"/>
            <w:tcBorders>
              <w:bottom w:val="single" w:sz="8" w:color="auto"/>
            </w:tcBorders>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528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7"/>
        </w:trPr>
        <w:tc>
          <w:tcPr>
            <w:tcW w:w="614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share price volatility</w:t>
            </w:r>
          </w:p>
        </w:tc>
        <w:tc>
          <w:tcPr>
            <w:tcW w:w="5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Expected term (years)</w:t>
            </w:r>
          </w:p>
        </w:tc>
        <w:tc>
          <w:tcPr>
            <w:tcW w:w="5280" w:type="dxa"/>
            <w:vAlign w:val="bottom"/>
          </w:tcPr>
          <w:p>
            <w:pPr>
              <w:jc w:val="right"/>
              <w:ind w:right="90"/>
              <w:spacing w:after="0"/>
              <w:rPr>
                <w:sz w:val="20"/>
                <w:szCs w:val="20"/>
                <w:color w:val="auto"/>
              </w:rPr>
            </w:pPr>
            <w:r>
              <w:rPr>
                <w:rFonts w:ascii="Arial" w:cs="Arial" w:eastAsia="Arial" w:hAnsi="Arial"/>
                <w:sz w:val="18"/>
                <w:szCs w:val="18"/>
                <w:color w:val="auto"/>
              </w:rPr>
              <w:t>6.1</w:t>
            </w:r>
          </w:p>
        </w:tc>
      </w:tr>
    </w:tbl>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These estimates require us to make assumptions based on historical results, observance of trends in our share price, changes in option exercise behavior, future expectations and other relevant factors. If other assumptions had been used, share-based compensation expense, as calculated and recorded under the accounting guidance, could have been affected. We based the expected life assumption on historical experience as well as the terms and vesting periods of the options granted. For purposes of determining expected share price volatility, we considered a rolling average of historical volatility measured over a period approximately equal to the expected option term. The risk-free interest rate for periods that coincide with the expected life of the options is based on the U.S. Treasury Department yield curve in effect at the time of grant.</w:t>
      </w:r>
    </w:p>
    <w:p>
      <w:pPr>
        <w:spacing w:after="0" w:line="174"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7"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During the three months ended March 31, 2019 and the year ended December 31, 2018, we initiated and continued execution of certain business restructuring initiatives aimed at reducing our fixed cost structure and realigning our business. These initiatives included the reduction in hourly and salaried headcount of approximately 10 employees and 300 employees,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Restructuring-related costs included in </w:t>
      </w: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xml:space="preserve"> in the Condensed Consolidated Statements of Operations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included costs for severance and other restructuring costs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262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0"/>
                <w:szCs w:val="20"/>
                <w:color w:val="auto"/>
              </w:rPr>
            </w:pPr>
          </w:p>
        </w:tc>
      </w:tr>
      <w:tr>
        <w:trPr>
          <w:trHeight w:val="27"/>
        </w:trPr>
        <w:tc>
          <w:tcPr>
            <w:tcW w:w="84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18"/>
        </w:trPr>
        <w:tc>
          <w:tcPr>
            <w:tcW w:w="8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340" w:type="dxa"/>
            <w:vAlign w:val="bottom"/>
          </w:tcPr>
          <w:p>
            <w:pPr>
              <w:spacing w:after="0"/>
              <w:rPr>
                <w:sz w:val="18"/>
                <w:szCs w:val="18"/>
                <w:color w:val="auto"/>
              </w:rPr>
            </w:pPr>
          </w:p>
        </w:tc>
      </w:tr>
      <w:tr>
        <w:trPr>
          <w:trHeight w:val="234"/>
        </w:trPr>
        <w:tc>
          <w:tcPr>
            <w:tcW w:w="84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r>
      <w:tr>
        <w:trPr>
          <w:trHeight w:val="27"/>
        </w:trPr>
        <w:tc>
          <w:tcPr>
            <w:tcW w:w="8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related costs</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1.1</w:t>
            </w:r>
          </w:p>
        </w:tc>
        <w:tc>
          <w:tcPr>
            <w:tcW w:w="118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5.4</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0.2</w:t>
            </w:r>
          </w:p>
        </w:tc>
      </w:tr>
      <w:tr>
        <w:trPr>
          <w:trHeight w:val="27"/>
        </w:trPr>
        <w:tc>
          <w:tcPr>
            <w:tcW w:w="8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restructuring costs</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1.1</w:t>
            </w:r>
          </w:p>
        </w:tc>
        <w:tc>
          <w:tcPr>
            <w:tcW w:w="118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5.6</w:t>
            </w:r>
          </w:p>
        </w:tc>
      </w:tr>
      <w:tr>
        <w:trPr>
          <w:trHeight w:val="20"/>
        </w:trPr>
        <w:tc>
          <w:tcPr>
            <w:tcW w:w="8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Other restructuring costs primarily consist of asset impairment and various contract termination costs.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Restructuring costs by reportable segment were as follows: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78"/>
        </w:trPr>
        <w:tc>
          <w:tcPr>
            <w:tcW w:w="8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8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8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84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Aquatic Systems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Filtration Solutions</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Flow Technologies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8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0"/>
        </w:trPr>
        <w:tc>
          <w:tcPr>
            <w:tcW w:w="8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Activity related to accrued severance and related costs recorded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in the Condensed Consolidated Balance Sheets is summarized as follows for the three months ended March 31, 2019:</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8460" w:type="dxa"/>
            <w:vAlign w:val="bottom"/>
            <w:gridSpan w:val="2"/>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7"/>
        </w:trPr>
        <w:tc>
          <w:tcPr>
            <w:tcW w:w="8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Costs incurred</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84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payments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37"/>
        </w:trPr>
        <w:tc>
          <w:tcPr>
            <w:tcW w:w="84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Ending balance</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w:t>
            </w:r>
          </w:p>
        </w:tc>
      </w:tr>
      <w:tr>
        <w:trPr>
          <w:trHeight w:val="27"/>
        </w:trPr>
        <w:tc>
          <w:tcPr>
            <w:tcW w:w="620" w:type="dxa"/>
            <w:vAlign w:val="bottom"/>
            <w:tcBorders>
              <w:bottom w:val="single" w:sz="8" w:color="auto"/>
            </w:tcBorders>
          </w:tcPr>
          <w:p>
            <w:pPr>
              <w:spacing w:after="0"/>
              <w:rPr>
                <w:sz w:val="2"/>
                <w:szCs w:val="2"/>
                <w:color w:val="auto"/>
              </w:rPr>
            </w:pPr>
          </w:p>
        </w:tc>
        <w:tc>
          <w:tcPr>
            <w:tcW w:w="7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7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58"/>
        </w:trPr>
        <w:tc>
          <w:tcPr>
            <w:tcW w:w="620" w:type="dxa"/>
            <w:vAlign w:val="bottom"/>
          </w:tcPr>
          <w:p>
            <w:pPr>
              <w:spacing w:after="0"/>
              <w:rPr>
                <w:sz w:val="20"/>
                <w:szCs w:val="20"/>
                <w:color w:val="auto"/>
              </w:rPr>
            </w:pPr>
            <w:r>
              <w:rPr>
                <w:rFonts w:ascii="Arial" w:cs="Arial" w:eastAsia="Arial" w:hAnsi="Arial"/>
                <w:sz w:val="18"/>
                <w:szCs w:val="18"/>
                <w:b w:val="1"/>
                <w:bCs w:val="1"/>
                <w:color w:val="auto"/>
              </w:rPr>
              <w:t>6.</w:t>
            </w:r>
          </w:p>
        </w:tc>
        <w:tc>
          <w:tcPr>
            <w:tcW w:w="7840" w:type="dxa"/>
            <w:vAlign w:val="bottom"/>
          </w:tcPr>
          <w:p>
            <w:pPr>
              <w:jc w:val="right"/>
              <w:ind w:right="6210"/>
              <w:spacing w:after="0"/>
              <w:rPr>
                <w:sz w:val="20"/>
                <w:szCs w:val="20"/>
                <w:color w:val="auto"/>
              </w:rPr>
            </w:pPr>
            <w:r>
              <w:rPr>
                <w:rFonts w:ascii="Arial" w:cs="Arial" w:eastAsia="Arial" w:hAnsi="Arial"/>
                <w:sz w:val="18"/>
                <w:szCs w:val="18"/>
                <w:b w:val="1"/>
                <w:bCs w:val="1"/>
                <w:color w:val="auto"/>
                <w:w w:val="91"/>
              </w:rPr>
              <w:t>Earnings Per Share</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0"/>
        </w:trPr>
        <w:tc>
          <w:tcPr>
            <w:tcW w:w="8460" w:type="dxa"/>
            <w:vAlign w:val="bottom"/>
            <w:gridSpan w:val="2"/>
          </w:tcPr>
          <w:p>
            <w:pPr>
              <w:spacing w:after="0"/>
              <w:rPr>
                <w:sz w:val="20"/>
                <w:szCs w:val="20"/>
                <w:color w:val="auto"/>
              </w:rPr>
            </w:pPr>
            <w:r>
              <w:rPr>
                <w:rFonts w:ascii="Arial" w:cs="Arial" w:eastAsia="Arial" w:hAnsi="Arial"/>
                <w:sz w:val="18"/>
                <w:szCs w:val="18"/>
                <w:color w:val="auto"/>
              </w:rPr>
              <w:t>Basic and diluted earnings per share were calculated as follows: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40"/>
        </w:trPr>
        <w:tc>
          <w:tcPr>
            <w:tcW w:w="6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6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6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8"/>
                <w:szCs w:val="18"/>
                <w:color w:val="auto"/>
              </w:rPr>
            </w:pPr>
          </w:p>
        </w:tc>
        <w:tc>
          <w:tcPr>
            <w:tcW w:w="128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8460" w:type="dxa"/>
            <w:vAlign w:val="bottom"/>
            <w:gridSpan w:val="2"/>
          </w:tcPr>
          <w:p>
            <w:pPr>
              <w:ind w:left="40"/>
              <w:spacing w:after="0"/>
              <w:rPr>
                <w:sz w:val="20"/>
                <w:szCs w:val="20"/>
                <w:color w:val="auto"/>
              </w:rPr>
            </w:pPr>
            <w:r>
              <w:rPr>
                <w:rFonts w:ascii="Arial" w:cs="Arial" w:eastAsia="Arial" w:hAnsi="Arial"/>
                <w:sz w:val="18"/>
                <w:szCs w:val="18"/>
                <w:i w:val="1"/>
                <w:iCs w:val="1"/>
                <w:color w:val="auto"/>
              </w:rPr>
              <w:t>In millions, except per-share data</w:t>
            </w:r>
          </w:p>
        </w:tc>
        <w:tc>
          <w:tcPr>
            <w:tcW w:w="22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102.9</w:t>
            </w:r>
          </w:p>
        </w:tc>
      </w:tr>
      <w:tr>
        <w:trPr>
          <w:trHeight w:val="20"/>
        </w:trPr>
        <w:tc>
          <w:tcPr>
            <w:tcW w:w="84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846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52.4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58.4</w:t>
            </w:r>
          </w:p>
        </w:tc>
      </w:tr>
      <w:tr>
        <w:trPr>
          <w:trHeight w:val="67"/>
        </w:trPr>
        <w:tc>
          <w:tcPr>
            <w:tcW w:w="8460" w:type="dxa"/>
            <w:vAlign w:val="bottom"/>
            <w:tcBorders>
              <w:bottom w:val="single" w:sz="8" w:color="auto"/>
            </w:tcBorders>
            <w:gridSpan w:val="2"/>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31"/>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ordinary shares outstanding</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rPr>
              <w:t>Basic</w:t>
            </w:r>
          </w:p>
        </w:tc>
        <w:tc>
          <w:tcPr>
            <w:tcW w:w="7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171.6</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179.2</w:t>
            </w:r>
          </w:p>
        </w:tc>
      </w:tr>
      <w:tr>
        <w:trPr>
          <w:trHeight w:val="27"/>
        </w:trPr>
        <w:tc>
          <w:tcPr>
            <w:tcW w:w="84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Dilutive impact of stock options, restricted stock units and performance share units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37"/>
        </w:trPr>
        <w:tc>
          <w:tcPr>
            <w:tcW w:w="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Diluted</w:t>
            </w:r>
          </w:p>
        </w:tc>
        <w:tc>
          <w:tcPr>
            <w:tcW w:w="78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172.5</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181.5</w:t>
            </w:r>
          </w:p>
        </w:tc>
      </w:tr>
      <w:tr>
        <w:trPr>
          <w:trHeight w:val="67"/>
        </w:trPr>
        <w:tc>
          <w:tcPr>
            <w:tcW w:w="8460" w:type="dxa"/>
            <w:vAlign w:val="bottom"/>
            <w:tcBorders>
              <w:bottom w:val="single" w:sz="8" w:color="auto"/>
            </w:tcBorders>
            <w:gridSpan w:val="2"/>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31"/>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Earnings (loss) per ordinary share</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Basic</w:t>
            </w:r>
          </w:p>
        </w:tc>
        <w:tc>
          <w:tcPr>
            <w:tcW w:w="7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84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Discontinued operations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0.24</w:t>
            </w:r>
          </w:p>
        </w:tc>
      </w:tr>
      <w:tr>
        <w:trPr>
          <w:trHeight w:val="27"/>
        </w:trPr>
        <w:tc>
          <w:tcPr>
            <w:tcW w:w="8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earnings per ordinary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0.57</w:t>
            </w:r>
          </w:p>
        </w:tc>
      </w:tr>
      <w:tr>
        <w:trPr>
          <w:trHeight w:val="20"/>
        </w:trPr>
        <w:tc>
          <w:tcPr>
            <w:tcW w:w="620" w:type="dxa"/>
            <w:vAlign w:val="bottom"/>
            <w:tcBorders>
              <w:top w:val="single" w:sz="8" w:color="auto"/>
              <w:bottom w:val="single" w:sz="8" w:color="auto"/>
            </w:tcBorders>
          </w:tcPr>
          <w:p>
            <w:pPr>
              <w:spacing w:after="0" w:line="20" w:lineRule="exact"/>
              <w:rPr>
                <w:sz w:val="1"/>
                <w:szCs w:val="1"/>
                <w:color w:val="auto"/>
              </w:rPr>
            </w:pPr>
          </w:p>
        </w:tc>
        <w:tc>
          <w:tcPr>
            <w:tcW w:w="7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2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1"/>
              </w:rPr>
              <w:t>Diluted</w:t>
            </w:r>
          </w:p>
        </w:tc>
        <w:tc>
          <w:tcPr>
            <w:tcW w:w="7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7"/>
        </w:trPr>
        <w:tc>
          <w:tcPr>
            <w:tcW w:w="84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Discontinued operations</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0.25</w:t>
            </w:r>
          </w:p>
        </w:tc>
      </w:tr>
      <w:tr>
        <w:trPr>
          <w:trHeight w:val="27"/>
        </w:trPr>
        <w:tc>
          <w:tcPr>
            <w:tcW w:w="8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ordinary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0.57</w:t>
            </w:r>
          </w:p>
        </w:tc>
      </w:tr>
      <w:tr>
        <w:trPr>
          <w:trHeight w:val="20"/>
        </w:trPr>
        <w:tc>
          <w:tcPr>
            <w:tcW w:w="84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8460" w:type="dxa"/>
            <w:vAlign w:val="bottom"/>
            <w:gridSpan w:val="2"/>
          </w:tcPr>
          <w:p>
            <w:pPr>
              <w:ind w:left="40"/>
              <w:spacing w:after="0"/>
              <w:rPr>
                <w:sz w:val="20"/>
                <w:szCs w:val="20"/>
                <w:color w:val="auto"/>
              </w:rPr>
            </w:pPr>
            <w:r>
              <w:rPr>
                <w:rFonts w:ascii="Arial" w:cs="Arial" w:eastAsia="Arial" w:hAnsi="Arial"/>
                <w:sz w:val="18"/>
                <w:szCs w:val="18"/>
                <w:b w:val="1"/>
                <w:bCs w:val="1"/>
                <w:color w:val="auto"/>
              </w:rPr>
              <w:t>Anti-dilutive stock options excluded from the calculation of diluted earnings per share</w:t>
            </w:r>
          </w:p>
        </w:tc>
        <w:tc>
          <w:tcPr>
            <w:tcW w:w="22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620" w:type="dxa"/>
            <w:vAlign w:val="bottom"/>
            <w:tcBorders>
              <w:bottom w:val="single" w:sz="8" w:color="auto"/>
            </w:tcBorders>
          </w:tcPr>
          <w:p>
            <w:pPr>
              <w:spacing w:after="0"/>
              <w:rPr>
                <w:sz w:val="2"/>
                <w:szCs w:val="2"/>
                <w:color w:val="auto"/>
              </w:rPr>
            </w:pPr>
          </w:p>
        </w:tc>
        <w:tc>
          <w:tcPr>
            <w:tcW w:w="7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7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764"/>
        </w:trPr>
        <w:tc>
          <w:tcPr>
            <w:tcW w:w="620" w:type="dxa"/>
            <w:vAlign w:val="bottom"/>
          </w:tcPr>
          <w:p>
            <w:pPr>
              <w:spacing w:after="0"/>
              <w:rPr>
                <w:sz w:val="24"/>
                <w:szCs w:val="24"/>
                <w:color w:val="auto"/>
              </w:rPr>
            </w:pPr>
          </w:p>
        </w:tc>
        <w:tc>
          <w:tcPr>
            <w:tcW w:w="7840" w:type="dxa"/>
            <w:vAlign w:val="bottom"/>
          </w:tcPr>
          <w:p>
            <w:pPr>
              <w:jc w:val="right"/>
              <w:ind w:right="257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Supplemental Balance Sheet Information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300" w:type="dxa"/>
            <w:vAlign w:val="bottom"/>
          </w:tcPr>
          <w:p>
            <w:pPr>
              <w:jc w:val="right"/>
              <w:ind w:right="359"/>
              <w:spacing w:after="0"/>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17"/>
                <w:szCs w:val="17"/>
                <w:color w:val="auto"/>
              </w:rPr>
            </w:pPr>
          </w:p>
        </w:tc>
        <w:tc>
          <w:tcPr>
            <w:tcW w:w="1360" w:type="dxa"/>
            <w:vAlign w:val="bottom"/>
          </w:tcPr>
          <w:p>
            <w:pPr>
              <w:jc w:val="right"/>
              <w:ind w:right="239"/>
              <w:spacing w:after="0"/>
              <w:rPr>
                <w:sz w:val="20"/>
                <w:szCs w:val="20"/>
                <w:color w:val="auto"/>
              </w:rPr>
            </w:pPr>
            <w:r>
              <w:rPr>
                <w:rFonts w:ascii="Arial" w:cs="Arial" w:eastAsia="Arial" w:hAnsi="Arial"/>
                <w:sz w:val="16"/>
                <w:szCs w:val="16"/>
                <w:b w:val="1"/>
                <w:bCs w:val="1"/>
                <w:color w:val="auto"/>
                <w:w w:val="97"/>
              </w:rPr>
              <w:t>December 31,</w:t>
            </w:r>
          </w:p>
        </w:tc>
      </w:tr>
      <w:tr>
        <w:trPr>
          <w:trHeight w:val="210"/>
        </w:trPr>
        <w:tc>
          <w:tcPr>
            <w:tcW w:w="5540" w:type="dxa"/>
            <w:vAlign w:val="bottom"/>
          </w:tcPr>
          <w:p>
            <w:pPr>
              <w:ind w:left="40"/>
              <w:spacing w:after="0"/>
              <w:rPr>
                <w:sz w:val="20"/>
                <w:szCs w:val="20"/>
                <w:color w:val="auto"/>
              </w:rPr>
            </w:pPr>
            <w:r>
              <w:rPr>
                <w:rFonts w:ascii="Arial" w:cs="Arial" w:eastAsia="Arial" w:hAnsi="Arial"/>
                <w:sz w:val="16"/>
                <w:szCs w:val="16"/>
                <w:i w:val="1"/>
                <w:iCs w:val="1"/>
                <w:color w:val="auto"/>
              </w:rPr>
              <w:t>In millions</w:t>
            </w:r>
          </w:p>
        </w:tc>
        <w:tc>
          <w:tcPr>
            <w:tcW w:w="2920" w:type="dxa"/>
            <w:vAlign w:val="bottom"/>
          </w:tcPr>
          <w:p>
            <w:pPr>
              <w:spacing w:after="0"/>
              <w:rPr>
                <w:sz w:val="18"/>
                <w:szCs w:val="18"/>
                <w:color w:val="auto"/>
              </w:rPr>
            </w:pPr>
          </w:p>
        </w:tc>
        <w:tc>
          <w:tcPr>
            <w:tcW w:w="1300" w:type="dxa"/>
            <w:vAlign w:val="bottom"/>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18"/>
                <w:szCs w:val="18"/>
                <w:color w:val="auto"/>
              </w:rPr>
            </w:pPr>
          </w:p>
        </w:tc>
        <w:tc>
          <w:tcPr>
            <w:tcW w:w="136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33"/>
        </w:trPr>
        <w:tc>
          <w:tcPr>
            <w:tcW w:w="55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Inventories</w:t>
            </w:r>
          </w:p>
        </w:tc>
        <w:tc>
          <w:tcPr>
            <w:tcW w:w="29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Raw materials and supplies</w:t>
            </w:r>
          </w:p>
        </w:tc>
        <w:tc>
          <w:tcPr>
            <w:tcW w:w="2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208.5</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191.3</w:t>
            </w:r>
          </w:p>
        </w:tc>
      </w:tr>
      <w:tr>
        <w:trPr>
          <w:trHeight w:val="33"/>
        </w:trPr>
        <w:tc>
          <w:tcPr>
            <w:tcW w:w="55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Work-in-process</w:t>
            </w:r>
          </w:p>
        </w:tc>
        <w:tc>
          <w:tcPr>
            <w:tcW w:w="29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64.0</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Finished goods</w:t>
            </w:r>
          </w:p>
        </w:tc>
        <w:tc>
          <w:tcPr>
            <w:tcW w:w="29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145.0</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132.2</w:t>
            </w:r>
          </w:p>
        </w:tc>
      </w:tr>
      <w:tr>
        <w:trPr>
          <w:trHeight w:val="33"/>
        </w:trPr>
        <w:tc>
          <w:tcPr>
            <w:tcW w:w="55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inventories</w:t>
            </w:r>
          </w:p>
        </w:tc>
        <w:tc>
          <w:tcPr>
            <w:tcW w:w="2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421.8</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387.5</w:t>
            </w:r>
          </w:p>
        </w:tc>
      </w:tr>
      <w:tr>
        <w:trPr>
          <w:trHeight w:val="20"/>
        </w:trPr>
        <w:tc>
          <w:tcPr>
            <w:tcW w:w="554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540" w:type="dxa"/>
            <w:vAlign w:val="bottom"/>
          </w:tcPr>
          <w:p>
            <w:pPr>
              <w:ind w:left="40"/>
              <w:spacing w:after="0"/>
              <w:rPr>
                <w:sz w:val="20"/>
                <w:szCs w:val="20"/>
                <w:color w:val="auto"/>
              </w:rPr>
            </w:pPr>
            <w:r>
              <w:rPr>
                <w:rFonts w:ascii="Arial" w:cs="Arial" w:eastAsia="Arial" w:hAnsi="Arial"/>
                <w:sz w:val="16"/>
                <w:szCs w:val="16"/>
                <w:b w:val="1"/>
                <w:bCs w:val="1"/>
                <w:color w:val="auto"/>
              </w:rPr>
              <w:t>Other current assets</w:t>
            </w:r>
          </w:p>
        </w:tc>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5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in excess of billings</w:t>
            </w:r>
          </w:p>
        </w:tc>
        <w:tc>
          <w:tcPr>
            <w:tcW w:w="2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Prepaid expenses</w:t>
            </w:r>
          </w:p>
        </w:tc>
        <w:tc>
          <w:tcPr>
            <w:tcW w:w="29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52.7</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36.7</w:t>
            </w:r>
          </w:p>
        </w:tc>
      </w:tr>
      <w:tr>
        <w:trPr>
          <w:trHeight w:val="33"/>
        </w:trPr>
        <w:tc>
          <w:tcPr>
            <w:tcW w:w="55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income taxes</w:t>
            </w:r>
          </w:p>
        </w:tc>
        <w:tc>
          <w:tcPr>
            <w:tcW w:w="29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Other current assets</w:t>
            </w:r>
          </w:p>
        </w:tc>
        <w:tc>
          <w:tcPr>
            <w:tcW w:w="29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8.8</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7.7</w:t>
            </w:r>
          </w:p>
        </w:tc>
      </w:tr>
      <w:tr>
        <w:trPr>
          <w:trHeight w:val="33"/>
        </w:trPr>
        <w:tc>
          <w:tcPr>
            <w:tcW w:w="55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current assets</w:t>
            </w:r>
          </w:p>
        </w:tc>
        <w:tc>
          <w:tcPr>
            <w:tcW w:w="2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105.2</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89.4</w:t>
            </w:r>
          </w:p>
        </w:tc>
      </w:tr>
      <w:tr>
        <w:trPr>
          <w:trHeight w:val="20"/>
        </w:trPr>
        <w:tc>
          <w:tcPr>
            <w:tcW w:w="554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540" w:type="dxa"/>
            <w:vAlign w:val="bottom"/>
          </w:tcPr>
          <w:p>
            <w:pPr>
              <w:ind w:left="40"/>
              <w:spacing w:after="0"/>
              <w:rPr>
                <w:sz w:val="20"/>
                <w:szCs w:val="20"/>
                <w:color w:val="auto"/>
              </w:rPr>
            </w:pPr>
            <w:r>
              <w:rPr>
                <w:rFonts w:ascii="Arial" w:cs="Arial" w:eastAsia="Arial" w:hAnsi="Arial"/>
                <w:sz w:val="16"/>
                <w:szCs w:val="16"/>
                <w:b w:val="1"/>
                <w:bCs w:val="1"/>
                <w:color w:val="auto"/>
              </w:rPr>
              <w:t>Property, plant and equipment, net</w:t>
            </w:r>
          </w:p>
        </w:tc>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5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and land improvements</w:t>
            </w:r>
          </w:p>
        </w:tc>
        <w:tc>
          <w:tcPr>
            <w:tcW w:w="2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Buildings and leasehold improvements</w:t>
            </w:r>
          </w:p>
        </w:tc>
        <w:tc>
          <w:tcPr>
            <w:tcW w:w="29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179.6</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178.9</w:t>
            </w:r>
          </w:p>
        </w:tc>
      </w:tr>
      <w:tr>
        <w:trPr>
          <w:trHeight w:val="33"/>
        </w:trPr>
        <w:tc>
          <w:tcPr>
            <w:tcW w:w="55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29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604.1</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593.8</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Construction in progress</w:t>
            </w:r>
          </w:p>
        </w:tc>
        <w:tc>
          <w:tcPr>
            <w:tcW w:w="29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39.6</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35.7</w:t>
            </w:r>
          </w:p>
        </w:tc>
      </w:tr>
      <w:tr>
        <w:trPr>
          <w:trHeight w:val="33"/>
        </w:trPr>
        <w:tc>
          <w:tcPr>
            <w:tcW w:w="55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property, plant and equipment</w:t>
            </w:r>
          </w:p>
        </w:tc>
        <w:tc>
          <w:tcPr>
            <w:tcW w:w="29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856.9</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841.9</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Accumulated depreciation and amortization</w:t>
            </w:r>
          </w:p>
        </w:tc>
        <w:tc>
          <w:tcPr>
            <w:tcW w:w="29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577.8</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569.3</w:t>
            </w:r>
          </w:p>
        </w:tc>
      </w:tr>
      <w:tr>
        <w:trPr>
          <w:trHeight w:val="33"/>
        </w:trPr>
        <w:tc>
          <w:tcPr>
            <w:tcW w:w="55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property, plant and equipment, net</w:t>
            </w:r>
          </w:p>
        </w:tc>
        <w:tc>
          <w:tcPr>
            <w:tcW w:w="2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279.1</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272.6</w:t>
            </w:r>
          </w:p>
        </w:tc>
      </w:tr>
      <w:tr>
        <w:trPr>
          <w:trHeight w:val="20"/>
        </w:trPr>
        <w:tc>
          <w:tcPr>
            <w:tcW w:w="554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540" w:type="dxa"/>
            <w:vAlign w:val="bottom"/>
          </w:tcPr>
          <w:p>
            <w:pPr>
              <w:ind w:left="40"/>
              <w:spacing w:after="0"/>
              <w:rPr>
                <w:sz w:val="20"/>
                <w:szCs w:val="20"/>
                <w:color w:val="auto"/>
              </w:rPr>
            </w:pPr>
            <w:r>
              <w:rPr>
                <w:rFonts w:ascii="Arial" w:cs="Arial" w:eastAsia="Arial" w:hAnsi="Arial"/>
                <w:sz w:val="16"/>
                <w:szCs w:val="16"/>
                <w:b w:val="1"/>
                <w:bCs w:val="1"/>
                <w:color w:val="auto"/>
              </w:rPr>
              <w:t>Other non-current assets</w:t>
            </w:r>
          </w:p>
        </w:tc>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5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Right-of-use lease assets</w:t>
            </w:r>
          </w:p>
        </w:tc>
        <w:tc>
          <w:tcPr>
            <w:tcW w:w="2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74.7</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9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26.3</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26.2</w:t>
            </w:r>
          </w:p>
        </w:tc>
      </w:tr>
      <w:tr>
        <w:trPr>
          <w:trHeight w:val="33"/>
        </w:trPr>
        <w:tc>
          <w:tcPr>
            <w:tcW w:w="55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compensation plan assets</w:t>
            </w:r>
          </w:p>
        </w:tc>
        <w:tc>
          <w:tcPr>
            <w:tcW w:w="29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29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84.8</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98.4</w:t>
            </w:r>
          </w:p>
        </w:tc>
      </w:tr>
      <w:tr>
        <w:trPr>
          <w:trHeight w:val="33"/>
        </w:trPr>
        <w:tc>
          <w:tcPr>
            <w:tcW w:w="55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non-current assets</w:t>
            </w:r>
          </w:p>
        </w:tc>
        <w:tc>
          <w:tcPr>
            <w:tcW w:w="2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207.0</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145.5</w:t>
            </w:r>
          </w:p>
        </w:tc>
      </w:tr>
      <w:tr>
        <w:trPr>
          <w:trHeight w:val="20"/>
        </w:trPr>
        <w:tc>
          <w:tcPr>
            <w:tcW w:w="554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540" w:type="dxa"/>
            <w:vAlign w:val="bottom"/>
          </w:tcPr>
          <w:p>
            <w:pPr>
              <w:ind w:left="40"/>
              <w:spacing w:after="0"/>
              <w:rPr>
                <w:sz w:val="20"/>
                <w:szCs w:val="20"/>
                <w:color w:val="auto"/>
              </w:rPr>
            </w:pPr>
            <w:r>
              <w:rPr>
                <w:rFonts w:ascii="Arial" w:cs="Arial" w:eastAsia="Arial" w:hAnsi="Arial"/>
                <w:sz w:val="16"/>
                <w:szCs w:val="16"/>
                <w:b w:val="1"/>
                <w:bCs w:val="1"/>
                <w:color w:val="auto"/>
              </w:rPr>
              <w:t>Other current liabilities</w:t>
            </w:r>
          </w:p>
        </w:tc>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5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payable</w:t>
            </w:r>
          </w:p>
        </w:tc>
        <w:tc>
          <w:tcPr>
            <w:tcW w:w="2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Accrued warranty</w:t>
            </w:r>
          </w:p>
        </w:tc>
        <w:tc>
          <w:tcPr>
            <w:tcW w:w="29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34.6</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33.9</w:t>
            </w:r>
          </w:p>
        </w:tc>
      </w:tr>
      <w:tr>
        <w:trPr>
          <w:trHeight w:val="33"/>
        </w:trPr>
        <w:tc>
          <w:tcPr>
            <w:tcW w:w="55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rebates</w:t>
            </w:r>
          </w:p>
        </w:tc>
        <w:tc>
          <w:tcPr>
            <w:tcW w:w="29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55.7</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Billings in excess of cost</w:t>
            </w:r>
          </w:p>
        </w:tc>
        <w:tc>
          <w:tcPr>
            <w:tcW w:w="29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19.7</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21.3</w:t>
            </w:r>
          </w:p>
        </w:tc>
      </w:tr>
      <w:tr>
        <w:trPr>
          <w:trHeight w:val="33"/>
        </w:trPr>
        <w:tc>
          <w:tcPr>
            <w:tcW w:w="55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lease liability</w:t>
            </w:r>
          </w:p>
        </w:tc>
        <w:tc>
          <w:tcPr>
            <w:tcW w:w="29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Income taxes payable</w:t>
            </w:r>
          </w:p>
        </w:tc>
        <w:tc>
          <w:tcPr>
            <w:tcW w:w="29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9.9</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10.4</w:t>
            </w:r>
          </w:p>
        </w:tc>
      </w:tr>
      <w:tr>
        <w:trPr>
          <w:trHeight w:val="33"/>
        </w:trPr>
        <w:tc>
          <w:tcPr>
            <w:tcW w:w="55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restructuring</w:t>
            </w:r>
          </w:p>
        </w:tc>
        <w:tc>
          <w:tcPr>
            <w:tcW w:w="29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Other current liabilities</w:t>
            </w:r>
          </w:p>
        </w:tc>
        <w:tc>
          <w:tcPr>
            <w:tcW w:w="29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164.9</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149.2</w:t>
            </w:r>
          </w:p>
        </w:tc>
      </w:tr>
      <w:tr>
        <w:trPr>
          <w:trHeight w:val="33"/>
        </w:trPr>
        <w:tc>
          <w:tcPr>
            <w:tcW w:w="55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current liabilities</w:t>
            </w:r>
          </w:p>
        </w:tc>
        <w:tc>
          <w:tcPr>
            <w:tcW w:w="2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345.8</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328.4</w:t>
            </w:r>
          </w:p>
        </w:tc>
      </w:tr>
      <w:tr>
        <w:trPr>
          <w:trHeight w:val="20"/>
        </w:trPr>
        <w:tc>
          <w:tcPr>
            <w:tcW w:w="554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540" w:type="dxa"/>
            <w:vAlign w:val="bottom"/>
          </w:tcPr>
          <w:p>
            <w:pPr>
              <w:ind w:left="40"/>
              <w:spacing w:after="0"/>
              <w:rPr>
                <w:sz w:val="20"/>
                <w:szCs w:val="20"/>
                <w:color w:val="auto"/>
              </w:rPr>
            </w:pPr>
            <w:r>
              <w:rPr>
                <w:rFonts w:ascii="Arial" w:cs="Arial" w:eastAsia="Arial" w:hAnsi="Arial"/>
                <w:sz w:val="16"/>
                <w:szCs w:val="16"/>
                <w:b w:val="1"/>
                <w:bCs w:val="1"/>
                <w:color w:val="auto"/>
              </w:rPr>
              <w:t>Other non-current liabilities</w:t>
            </w:r>
          </w:p>
        </w:tc>
        <w:tc>
          <w:tcPr>
            <w:tcW w:w="2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5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lease liability</w:t>
            </w:r>
          </w:p>
        </w:tc>
        <w:tc>
          <w:tcPr>
            <w:tcW w:w="2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Income taxes payable</w:t>
            </w:r>
          </w:p>
        </w:tc>
        <w:tc>
          <w:tcPr>
            <w:tcW w:w="29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46.8</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46.8</w:t>
            </w:r>
          </w:p>
        </w:tc>
      </w:tr>
      <w:tr>
        <w:trPr>
          <w:trHeight w:val="33"/>
        </w:trPr>
        <w:tc>
          <w:tcPr>
            <w:tcW w:w="55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Self-insurance liabilities</w:t>
            </w:r>
          </w:p>
        </w:tc>
        <w:tc>
          <w:tcPr>
            <w:tcW w:w="29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47.7</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Deferred compensation plan liabilities</w:t>
            </w:r>
          </w:p>
        </w:tc>
        <w:tc>
          <w:tcPr>
            <w:tcW w:w="29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21.2</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20.9</w:t>
            </w:r>
          </w:p>
        </w:tc>
      </w:tr>
      <w:tr>
        <w:trPr>
          <w:trHeight w:val="33"/>
        </w:trPr>
        <w:tc>
          <w:tcPr>
            <w:tcW w:w="55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contract liabilities</w:t>
            </w:r>
          </w:p>
        </w:tc>
        <w:tc>
          <w:tcPr>
            <w:tcW w:w="29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Other non-current liabilities</w:t>
            </w:r>
          </w:p>
        </w:tc>
        <w:tc>
          <w:tcPr>
            <w:tcW w:w="29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26.1</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22.2</w:t>
            </w:r>
          </w:p>
        </w:tc>
      </w:tr>
      <w:tr>
        <w:trPr>
          <w:trHeight w:val="33"/>
        </w:trPr>
        <w:tc>
          <w:tcPr>
            <w:tcW w:w="55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non-current liabilities</w:t>
            </w:r>
          </w:p>
        </w:tc>
        <w:tc>
          <w:tcPr>
            <w:tcW w:w="2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221.4</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168.2</w:t>
            </w:r>
          </w:p>
        </w:tc>
      </w:tr>
      <w:tr>
        <w:trPr>
          <w:trHeight w:val="20"/>
        </w:trPr>
        <w:tc>
          <w:tcPr>
            <w:tcW w:w="554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21" w:right="299" w:bottom="1440" w:gutter="0" w:footer="0" w:header="0"/>
        </w:sect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60"/>
          </w:cols>
          <w:pgMar w:left="240" w:top="121" w:right="29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Identifiable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reportable segment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December 31,</w:t>
            </w: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Foreign currency</w:t>
            </w:r>
          </w:p>
        </w:tc>
        <w:tc>
          <w:tcPr>
            <w:tcW w:w="320" w:type="dxa"/>
            <w:vAlign w:val="bottom"/>
          </w:tcPr>
          <w:p>
            <w:pPr>
              <w:spacing w:after="0"/>
              <w:rPr>
                <w:sz w:val="18"/>
                <w:szCs w:val="18"/>
                <w:color w:val="auto"/>
              </w:rPr>
            </w:pPr>
          </w:p>
        </w:tc>
        <w:tc>
          <w:tcPr>
            <w:tcW w:w="1520" w:type="dxa"/>
            <w:vAlign w:val="bottom"/>
          </w:tcPr>
          <w:p>
            <w:pPr>
              <w:jc w:val="right"/>
              <w:ind w:right="45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28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560" w:type="dxa"/>
            <w:vAlign w:val="bottom"/>
          </w:tcPr>
          <w:p>
            <w:pPr>
              <w:spacing w:after="0"/>
              <w:rPr>
                <w:sz w:val="20"/>
                <w:szCs w:val="20"/>
                <w:color w:val="auto"/>
              </w:rPr>
            </w:pPr>
          </w:p>
        </w:tc>
        <w:tc>
          <w:tcPr>
            <w:tcW w:w="15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1520" w:type="dxa"/>
            <w:vAlign w:val="bottom"/>
          </w:tcPr>
          <w:p>
            <w:pPr>
              <w:jc w:val="right"/>
              <w:ind w:right="310"/>
              <w:spacing w:after="0"/>
              <w:rPr>
                <w:sz w:val="20"/>
                <w:szCs w:val="20"/>
                <w:color w:val="auto"/>
              </w:rPr>
            </w:pPr>
            <w:r>
              <w:rPr>
                <w:rFonts w:ascii="Arial" w:cs="Arial" w:eastAsia="Arial" w:hAnsi="Arial"/>
                <w:sz w:val="18"/>
                <w:szCs w:val="18"/>
                <w:b w:val="1"/>
                <w:bCs w:val="1"/>
                <w:color w:val="auto"/>
              </w:rPr>
              <w:t>Acquisitions</w:t>
            </w:r>
          </w:p>
        </w:tc>
        <w:tc>
          <w:tcPr>
            <w:tcW w:w="20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translation/other</w:t>
            </w:r>
          </w:p>
        </w:tc>
        <w:tc>
          <w:tcPr>
            <w:tcW w:w="320" w:type="dxa"/>
            <w:vAlign w:val="bottom"/>
          </w:tcPr>
          <w:p>
            <w:pPr>
              <w:spacing w:after="0"/>
              <w:rPr>
                <w:sz w:val="20"/>
                <w:szCs w:val="20"/>
                <w:color w:val="auto"/>
              </w:rPr>
            </w:pPr>
          </w:p>
        </w:tc>
        <w:tc>
          <w:tcPr>
            <w:tcW w:w="15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2019</w:t>
            </w:r>
          </w:p>
        </w:tc>
      </w:tr>
      <w:tr>
        <w:trPr>
          <w:trHeight w:val="27"/>
        </w:trPr>
        <w:tc>
          <w:tcPr>
            <w:tcW w:w="28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Aquatic Systems</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965.9</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965.3</w:t>
            </w: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Filtration Solutions</w:t>
            </w:r>
          </w:p>
        </w:tc>
        <w:tc>
          <w:tcPr>
            <w:tcW w:w="15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643.5</w:t>
            </w: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216.5</w:t>
            </w: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855.5</w:t>
            </w:r>
          </w:p>
        </w:tc>
      </w:tr>
      <w:tr>
        <w:trPr>
          <w:trHeight w:val="27"/>
        </w:trPr>
        <w:tc>
          <w:tcPr>
            <w:tcW w:w="2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5"/>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Flow Technologies</w:t>
            </w:r>
          </w:p>
        </w:tc>
        <w:tc>
          <w:tcPr>
            <w:tcW w:w="15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463.3</w:t>
            </w: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462.2</w:t>
            </w:r>
          </w:p>
        </w:tc>
      </w:tr>
      <w:tr>
        <w:trPr>
          <w:trHeight w:val="237"/>
        </w:trPr>
        <w:tc>
          <w:tcPr>
            <w:tcW w:w="2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goodwill</w:t>
            </w: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2,072.7</w:t>
            </w:r>
          </w:p>
        </w:tc>
        <w:tc>
          <w:tcPr>
            <w:tcW w:w="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3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2,283.0</w:t>
            </w:r>
          </w:p>
        </w:tc>
      </w:tr>
      <w:tr>
        <w:trPr>
          <w:trHeight w:val="27"/>
        </w:trPr>
        <w:tc>
          <w:tcPr>
            <w:tcW w:w="28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consisted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March 31,</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December 31,</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3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Accumulated</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31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amortization</w:t>
            </w:r>
          </w:p>
        </w:tc>
        <w:tc>
          <w:tcPr>
            <w:tcW w:w="340" w:type="dxa"/>
            <w:vAlign w:val="bottom"/>
          </w:tcPr>
          <w:p>
            <w:pPr>
              <w:spacing w:after="0"/>
              <w:rPr>
                <w:sz w:val="20"/>
                <w:szCs w:val="20"/>
                <w:color w:val="auto"/>
              </w:rPr>
            </w:pPr>
          </w:p>
        </w:tc>
        <w:tc>
          <w:tcPr>
            <w:tcW w:w="1140" w:type="dxa"/>
            <w:vAlign w:val="bottom"/>
            <w:gridSpan w:val="2"/>
          </w:tcPr>
          <w:p>
            <w:pPr>
              <w:ind w:left="220"/>
              <w:spacing w:after="0"/>
              <w:rPr>
                <w:sz w:val="20"/>
                <w:szCs w:val="20"/>
                <w:color w:val="auto"/>
              </w:rPr>
            </w:pPr>
            <w:r>
              <w:rPr>
                <w:rFonts w:ascii="Arial" w:cs="Arial" w:eastAsia="Arial" w:hAnsi="Arial"/>
                <w:sz w:val="18"/>
                <w:szCs w:val="18"/>
                <w:b w:val="1"/>
                <w:bCs w:val="1"/>
                <w:color w:val="auto"/>
              </w:rPr>
              <w:t>Net</w:t>
            </w:r>
          </w:p>
        </w:tc>
        <w:tc>
          <w:tcPr>
            <w:tcW w:w="32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amortization</w:t>
            </w:r>
          </w:p>
        </w:tc>
        <w:tc>
          <w:tcPr>
            <w:tcW w:w="34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Net</w:t>
            </w:r>
          </w:p>
        </w:tc>
      </w:tr>
      <w:tr>
        <w:trPr>
          <w:trHeight w:val="27"/>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Definite-life intangibles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424.6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(253.3)</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171.3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347.1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(247.9)</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99.2</w:t>
            </w:r>
          </w:p>
        </w:tc>
      </w:tr>
      <w:tr>
        <w:trPr>
          <w:trHeight w:val="27"/>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Proprietary technology and patents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85.5</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(69.6)</w:t>
            </w: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86.2</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(68.4)</w:t>
            </w: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17.8</w:t>
            </w:r>
          </w:p>
        </w:tc>
      </w:tr>
      <w:tr>
        <w:trPr>
          <w:trHeight w:val="27"/>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definite-life intangibles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(316.7)</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117.0</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Indefinite-life intangibles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159.3</w:t>
            </w:r>
          </w:p>
        </w:tc>
      </w:tr>
      <w:tr>
        <w:trPr>
          <w:trHeight w:val="237"/>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intangibles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684.8</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(323.3)</w:t>
            </w:r>
          </w:p>
        </w:tc>
        <w:tc>
          <w:tcPr>
            <w:tcW w:w="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361.5</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(316.7)</w:t>
            </w:r>
          </w:p>
        </w:tc>
        <w:tc>
          <w:tcPr>
            <w:tcW w:w="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276.3</w:t>
            </w:r>
          </w:p>
        </w:tc>
      </w:tr>
      <w:tr>
        <w:trPr>
          <w:trHeight w:val="27"/>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Identifiable intangible asset amortization expense $8.2 million and $9.3 million for the three months ended March 31, 2019 and 2018,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identifiable intangible assets during the remainder of 2019 and the next five years is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Q2-Q4</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38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620" w:type="dxa"/>
            <w:vAlign w:val="bottom"/>
          </w:tcPr>
          <w:p>
            <w:pPr>
              <w:spacing w:after="0"/>
              <w:rPr>
                <w:sz w:val="23"/>
                <w:szCs w:val="23"/>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3"/>
                <w:szCs w:val="23"/>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3"/>
                <w:szCs w:val="23"/>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3"/>
                <w:szCs w:val="23"/>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2024</w:t>
            </w:r>
          </w:p>
        </w:tc>
      </w:tr>
      <w:tr>
        <w:trPr>
          <w:trHeight w:val="27"/>
        </w:trPr>
        <w:tc>
          <w:tcPr>
            <w:tcW w:w="38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amortization expense</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w:t>
            </w:r>
          </w:p>
        </w:tc>
      </w:tr>
      <w:tr>
        <w:trPr>
          <w:trHeight w:val="635"/>
        </w:trPr>
        <w:tc>
          <w:tcPr>
            <w:tcW w:w="3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Debt and the average interest rates on debt outstanding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740" w:type="dxa"/>
            <w:vAlign w:val="bottom"/>
          </w:tcPr>
          <w:p>
            <w:pPr>
              <w:jc w:val="center"/>
              <w:ind w:left="270"/>
              <w:spacing w:after="0"/>
              <w:rPr>
                <w:sz w:val="20"/>
                <w:szCs w:val="20"/>
                <w:color w:val="auto"/>
              </w:rPr>
            </w:pPr>
            <w:r>
              <w:rPr>
                <w:rFonts w:ascii="Arial" w:cs="Arial" w:eastAsia="Arial" w:hAnsi="Arial"/>
                <w:sz w:val="18"/>
                <w:szCs w:val="18"/>
                <w:b w:val="1"/>
                <w:bCs w:val="1"/>
                <w:color w:val="auto"/>
                <w:w w:val="89"/>
              </w:rPr>
              <w:t>Average interest rate as</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460" w:type="dxa"/>
            <w:vAlign w:val="bottom"/>
          </w:tcPr>
          <w:p>
            <w:pPr>
              <w:spacing w:after="0"/>
              <w:rPr>
                <w:sz w:val="18"/>
                <w:szCs w:val="18"/>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40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740" w:type="dxa"/>
            <w:vAlign w:val="bottom"/>
          </w:tcPr>
          <w:p>
            <w:pPr>
              <w:jc w:val="center"/>
              <w:ind w:left="270"/>
              <w:spacing w:after="0"/>
              <w:rPr>
                <w:sz w:val="20"/>
                <w:szCs w:val="20"/>
                <w:color w:val="auto"/>
              </w:rPr>
            </w:pPr>
            <w:r>
              <w:rPr>
                <w:rFonts w:ascii="Arial" w:cs="Arial" w:eastAsia="Arial" w:hAnsi="Arial"/>
                <w:sz w:val="18"/>
                <w:szCs w:val="18"/>
                <w:b w:val="1"/>
                <w:bCs w:val="1"/>
                <w:color w:val="auto"/>
                <w:w w:val="91"/>
              </w:rPr>
              <w:t>of March 31, 2019</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4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40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7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1"/>
              </w:rPr>
              <w:t>3.171%</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Revolving credit facilities</w:t>
            </w:r>
          </w:p>
        </w:tc>
        <w:tc>
          <w:tcPr>
            <w:tcW w:w="2740" w:type="dxa"/>
            <w:vAlign w:val="bottom"/>
          </w:tcPr>
          <w:p>
            <w:pPr>
              <w:jc w:val="center"/>
              <w:ind w:left="290"/>
              <w:spacing w:after="0"/>
              <w:rPr>
                <w:sz w:val="20"/>
                <w:szCs w:val="20"/>
                <w:color w:val="auto"/>
              </w:rPr>
            </w:pPr>
            <w:r>
              <w:rPr>
                <w:rFonts w:ascii="Arial" w:cs="Arial" w:eastAsia="Arial" w:hAnsi="Arial"/>
                <w:sz w:val="18"/>
                <w:szCs w:val="18"/>
                <w:color w:val="auto"/>
                <w:w w:val="91"/>
              </w:rPr>
              <w:t>3.595%</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4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26.2</w:t>
            </w:r>
          </w:p>
        </w:tc>
      </w:tr>
      <w:tr>
        <w:trPr>
          <w:trHeight w:val="27"/>
        </w:trPr>
        <w:tc>
          <w:tcPr>
            <w:tcW w:w="4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fixed rate (1)</w:t>
            </w:r>
          </w:p>
        </w:tc>
        <w:tc>
          <w:tcPr>
            <w:tcW w:w="27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1"/>
              </w:rPr>
              <w:t>2.650%</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Senior notes - fixed rate - Euro (1)</w:t>
            </w:r>
          </w:p>
        </w:tc>
        <w:tc>
          <w:tcPr>
            <w:tcW w:w="2740" w:type="dxa"/>
            <w:vAlign w:val="bottom"/>
          </w:tcPr>
          <w:p>
            <w:pPr>
              <w:jc w:val="center"/>
              <w:ind w:left="290"/>
              <w:spacing w:after="0"/>
              <w:rPr>
                <w:sz w:val="20"/>
                <w:szCs w:val="20"/>
                <w:color w:val="auto"/>
              </w:rPr>
            </w:pPr>
            <w:r>
              <w:rPr>
                <w:rFonts w:ascii="Arial" w:cs="Arial" w:eastAsia="Arial" w:hAnsi="Arial"/>
                <w:sz w:val="18"/>
                <w:szCs w:val="18"/>
                <w:color w:val="auto"/>
                <w:w w:val="91"/>
              </w:rPr>
              <w:t>2.450%</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4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153.6</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155.1</w:t>
            </w:r>
          </w:p>
        </w:tc>
      </w:tr>
      <w:tr>
        <w:trPr>
          <w:trHeight w:val="27"/>
        </w:trPr>
        <w:tc>
          <w:tcPr>
            <w:tcW w:w="4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fixed rate (1)</w:t>
            </w:r>
          </w:p>
        </w:tc>
        <w:tc>
          <w:tcPr>
            <w:tcW w:w="27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1"/>
              </w:rPr>
              <w:t>3.625%</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Senior notes - fixed rate (1)</w:t>
            </w:r>
          </w:p>
        </w:tc>
        <w:tc>
          <w:tcPr>
            <w:tcW w:w="2740" w:type="dxa"/>
            <w:vAlign w:val="bottom"/>
          </w:tcPr>
          <w:p>
            <w:pPr>
              <w:jc w:val="center"/>
              <w:ind w:left="290"/>
              <w:spacing w:after="0"/>
              <w:rPr>
                <w:sz w:val="20"/>
                <w:szCs w:val="20"/>
                <w:color w:val="auto"/>
              </w:rPr>
            </w:pPr>
            <w:r>
              <w:rPr>
                <w:rFonts w:ascii="Arial" w:cs="Arial" w:eastAsia="Arial" w:hAnsi="Arial"/>
                <w:sz w:val="18"/>
                <w:szCs w:val="18"/>
                <w:color w:val="auto"/>
                <w:w w:val="91"/>
              </w:rPr>
              <w:t>5.000%</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4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103.8</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103.8</w:t>
            </w:r>
          </w:p>
        </w:tc>
      </w:tr>
      <w:tr>
        <w:trPr>
          <w:trHeight w:val="27"/>
        </w:trPr>
        <w:tc>
          <w:tcPr>
            <w:tcW w:w="4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fixed rate (1)</w:t>
            </w:r>
          </w:p>
        </w:tc>
        <w:tc>
          <w:tcPr>
            <w:tcW w:w="27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1"/>
              </w:rPr>
              <w:t>3.150%</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Senior notes - fixed rate (1)</w:t>
            </w:r>
          </w:p>
        </w:tc>
        <w:tc>
          <w:tcPr>
            <w:tcW w:w="2740" w:type="dxa"/>
            <w:vAlign w:val="bottom"/>
          </w:tcPr>
          <w:p>
            <w:pPr>
              <w:jc w:val="center"/>
              <w:ind w:left="290"/>
              <w:spacing w:after="0"/>
              <w:rPr>
                <w:sz w:val="20"/>
                <w:szCs w:val="20"/>
                <w:color w:val="auto"/>
              </w:rPr>
            </w:pPr>
            <w:r>
              <w:rPr>
                <w:rFonts w:ascii="Arial" w:cs="Arial" w:eastAsia="Arial" w:hAnsi="Arial"/>
                <w:sz w:val="18"/>
                <w:szCs w:val="18"/>
                <w:color w:val="auto"/>
                <w:w w:val="91"/>
              </w:rPr>
              <w:t>4.650%</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4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19.3</w:t>
            </w:r>
          </w:p>
        </w:tc>
      </w:tr>
      <w:tr>
        <w:trPr>
          <w:trHeight w:val="27"/>
        </w:trPr>
        <w:tc>
          <w:tcPr>
            <w:tcW w:w="4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 and discounts</w:t>
            </w:r>
          </w:p>
        </w:tc>
        <w:tc>
          <w:tcPr>
            <w:tcW w:w="2740" w:type="dxa"/>
            <w:vAlign w:val="bottom"/>
            <w:tcBorders>
              <w:bottom w:val="single" w:sz="8" w:color="CCEEFF"/>
            </w:tcBorders>
            <w:shd w:val="clear" w:color="auto" w:fill="CCEEFF"/>
          </w:tcPr>
          <w:p>
            <w:pPr>
              <w:jc w:val="center"/>
              <w:ind w:left="270"/>
              <w:spacing w:after="0"/>
              <w:rPr>
                <w:sz w:val="20"/>
                <w:szCs w:val="20"/>
                <w:color w:val="auto"/>
              </w:rPr>
            </w:pPr>
            <w:r>
              <w:rPr>
                <w:rFonts w:ascii="Arial" w:cs="Arial" w:eastAsia="Arial" w:hAnsi="Arial"/>
                <w:sz w:val="18"/>
                <w:szCs w:val="18"/>
                <w:color w:val="auto"/>
                <w:w w:val="99"/>
              </w:rPr>
              <w:t>N/A</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4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7"/>
        </w:trPr>
        <w:tc>
          <w:tcPr>
            <w:tcW w:w="4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debt</w:t>
            </w:r>
          </w:p>
        </w:tc>
        <w:tc>
          <w:tcPr>
            <w:tcW w:w="27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1,370.7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0"/>
          <w:szCs w:val="20"/>
          <w:color w:val="auto"/>
        </w:rPr>
      </w:pPr>
    </w:p>
    <w:p>
      <w:pPr>
        <w:ind w:left="220" w:hanging="185"/>
        <w:spacing w:after="0"/>
        <w:tabs>
          <w:tab w:leader="none" w:pos="220" w:val="left"/>
        </w:tabs>
        <w:numPr>
          <w:ilvl w:val="0"/>
          <w:numId w:val="9"/>
        </w:numPr>
        <w:rPr>
          <w:rFonts w:ascii="Arial" w:cs="Arial" w:eastAsia="Arial" w:hAnsi="Arial"/>
          <w:sz w:val="22"/>
          <w:szCs w:val="22"/>
          <w:color w:val="auto"/>
          <w:vertAlign w:val="superscript"/>
        </w:rPr>
      </w:pPr>
      <w:r>
        <w:rPr>
          <w:rFonts w:ascii="Arial" w:cs="Arial" w:eastAsia="Arial" w:hAnsi="Arial"/>
          <w:sz w:val="14"/>
          <w:szCs w:val="14"/>
          <w:color w:val="auto"/>
        </w:rPr>
        <w:t>Senior notes are guaranteed as to payment by Pentair and PISG.</w:t>
      </w:r>
    </w:p>
    <w:p>
      <w:pPr>
        <w:spacing w:after="0" w:line="23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April 2018, Pentair, Pentair Investments Switzerland GmbH (“PISG”), Pentair Finance S.à r.l. (“PFSA”) and Pentair, Inc. entered into a credit agreement, providing for an $800.0 million senior unsecured revolving credit facility with a term of five years (the “Senior Credit Facility”), with Pentair and PISG as guarantors and PFSA and Pentair, Inc. as borrowers. The Senior Credit Facility replaced PFSA’s existing credit facility under that certain Amended and Restated Credit Agreement, dated as of October 3, 2014. The Senior Credit Facility has a maturity date of April 25, 2023. Borrowings under the Senior Credit Facility bear interest at a rate equal to an adjusted base rate or the London Interbank Offered Rate, plus, in each case, an applicable margin. The applicable margin is based on, at PFSA’s election, Pentair’s leverage level or PFSA’s public credit rating.</w:t>
      </w:r>
    </w:p>
    <w:p>
      <w:pPr>
        <w:spacing w:after="0" w:line="12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PFSA is authorized to sell short-term commercial paper notes to the extent availability exists under the Senior Credit Facility. PFSA uses the Senior Credit Facility as back-up liquidity to support 100% of commercial paper outstanding. PFSA had $681.2 million of commercial paper outstanding as of March 31, 2019 and $76.0 million as of December 31, 2018, all of which was classified as long-term debt as we have the intent and the ability to refinance such obligations on a long-term basis under the Senior Credit Facility.</w:t>
      </w:r>
    </w:p>
    <w:p>
      <w:pPr>
        <w:spacing w:after="0" w:line="133"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Total availability under the Senior Credit Facility was $113.8 million as of March 31, 2019. Additionally, PFSA has the option to request to increase the Senior Credit Facility in an aggregate amount of up to $300.0 million, subject to customary conditions, including the commitment of the participating lenders. We anticipate that, during the second quarter of 2019, PFSA will request an increase in the Senior Credit Facility of $100.0 million pursuant to such option.</w:t>
      </w:r>
    </w:p>
    <w:p>
      <w:pPr>
        <w:spacing w:after="0" w:line="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debt agreements contain various financial covenants, but the most restrictive covenants are contained in the Senior Credit Facility. The Senior Credit Facility contains covenants requiring us not to permit (i) the ratio of our consolidated debt (net of our consolidated unrestricted cash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to exceed 3.75 to 1.00 (the “Leverage Ratio”) and (ii) the ratio of our EBITDA to our consolidated interest expense, for the same period to be less than 3.00 to 1.00 as of the end of each fiscal quarter. For purposes of the Leverage Ratio, the Senior Credit Facility provides for the calculation of EBITDA giving pro forma effect to certain acquisitions, divestitures and liquidations during the period to which such calculation relates. As of March 31, 2019, we were in compliance with all financial covenants in our debt agreements.</w:t>
      </w:r>
    </w:p>
    <w:p>
      <w:pPr>
        <w:spacing w:after="0" w:line="13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addition to the Senior Credit Facility, we have various other credit facilities with an aggregate availability of $21.2 million, of which there were no outstanding borrowings at March 31, 2019. Borrowings under these credit facilities bear interest at variable rates.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We have $403.6 million aggregate principal amount of fixed rate senior notes maturing in the next twelve months. We classified this debt as long-term as of March 31, 2019 as we have the intent and ability to refinance such obligation on a long-term basis under the Senior Credit Facility.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Debt outstanding, excluding unamortized issuance costs and discounts, at March 31, 2019 matures on a calendar year basis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Q2-Q4</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29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23"/>
                <w:szCs w:val="23"/>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3"/>
                <w:szCs w:val="23"/>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3"/>
                <w:szCs w:val="23"/>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Thereafter</w:t>
            </w:r>
          </w:p>
        </w:tc>
        <w:tc>
          <w:tcPr>
            <w:tcW w:w="260" w:type="dxa"/>
            <w:vAlign w:val="bottom"/>
          </w:tcPr>
          <w:p>
            <w:pPr>
              <w:spacing w:after="0"/>
              <w:rPr>
                <w:sz w:val="23"/>
                <w:szCs w:val="23"/>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34"/>
        </w:trPr>
        <w:tc>
          <w:tcPr>
            <w:tcW w:w="2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29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Contractual debt obligation maturities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1,375.2</w:t>
            </w:r>
          </w:p>
        </w:tc>
      </w:tr>
      <w:tr>
        <w:trPr>
          <w:trHeight w:val="27"/>
        </w:trPr>
        <w:tc>
          <w:tcPr>
            <w:tcW w:w="29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157" w:lineRule="exact"/>
        <w:rPr>
          <w:sz w:val="20"/>
          <w:szCs w:val="20"/>
          <w:color w:val="auto"/>
        </w:rPr>
      </w:pPr>
    </w:p>
    <w:p>
      <w:pPr>
        <w:ind w:right="7800" w:firstLine="8"/>
        <w:spacing w:after="0" w:line="276" w:lineRule="auto"/>
        <w:tabs>
          <w:tab w:leader="none" w:pos="648"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Derivatives and Financial Instruments </w:t>
      </w:r>
      <w:r>
        <w:rPr>
          <w:rFonts w:ascii="Arial" w:cs="Arial" w:eastAsia="Arial" w:hAnsi="Arial"/>
          <w:sz w:val="17"/>
          <w:szCs w:val="17"/>
          <w:b w:val="1"/>
          <w:bCs w:val="1"/>
          <w:i w:val="1"/>
          <w:iCs w:val="1"/>
          <w:color w:val="auto"/>
        </w:rPr>
        <w:t>Derivative financial instruments</w:t>
      </w:r>
    </w:p>
    <w:p>
      <w:pPr>
        <w:ind w:right="180"/>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We are exposed to market risk related to changes in foreign currency exchange rates. To manage the volatility related to this exposure, we periodically enter into a variety of derivative financial instruments. Our objective is to reduce, where it is deemed appropriate to do so, fluctuations in earnings and cash flows associated with changes in foreign currency exchange rates. The derivative contracts contain credit risk to the extent that our bank counterparties may be unable to meet the terms of the agreements. The amount of such credit risk is generally limited to the unrealized gains, if any, in such contracts. Such risk is minimized by limiting those counterparties to major financial institutions of high credit quality.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contracts</w:t>
      </w:r>
    </w:p>
    <w:p>
      <w:pPr>
        <w:spacing w:after="0" w:line="2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We conduct business in various locations throughout the world and are subject to market risk due to changes in the value of foreign currencies in relation to our reporting currency, the U.S. dollar. We manage our economic and transaction exposure to certain market-based risks through the use of foreign currency derivative financial instruments. Our objective in holding these derivatives is to reduce the volatility of net earnings and cash flows associated with changes in foreign currency exchange rates. The majority of our foreign currency contracts have an original maturity date of less than one year.</w:t>
      </w:r>
    </w:p>
    <w:p>
      <w:pPr>
        <w:spacing w:after="0" w:line="16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At March 31, 2019 and December 31, 2018, we had outstanding foreign currency derivative contracts with gross notional U.S. dollar equivalent amounts of $313.6 million and $331.4 million, respectively. The impact of these contracts on the Condensed Consolidated Statements of Operations and Comprehensive Income was not material for any period presented.</w:t>
      </w:r>
    </w:p>
    <w:p>
      <w:pPr>
        <w:spacing w:after="0" w:line="12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Gains or losses on foreign currency contracts designated as hedges are reclassified out of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(“AOCI”) and into </w:t>
      </w:r>
      <w:r>
        <w:rPr>
          <w:rFonts w:ascii="Arial" w:cs="Arial" w:eastAsia="Arial" w:hAnsi="Arial"/>
          <w:sz w:val="18"/>
          <w:szCs w:val="18"/>
          <w:i w:val="1"/>
          <w:iCs w:val="1"/>
          <w:color w:val="auto"/>
        </w:rPr>
        <w:t>Selling,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in the Condensed Consolidated Statements of Operations and Comprehensive Income upon settlement. Such</w:t>
      </w:r>
      <w:r>
        <w:rPr>
          <w:rFonts w:ascii="Arial" w:cs="Arial" w:eastAsia="Arial" w:hAnsi="Arial"/>
          <w:sz w:val="18"/>
          <w:szCs w:val="18"/>
          <w:i w:val="1"/>
          <w:iCs w:val="1"/>
          <w:color w:val="auto"/>
        </w:rPr>
        <w:t xml:space="preserve"> </w:t>
      </w:r>
      <w:r>
        <w:rPr>
          <w:rFonts w:ascii="Arial" w:cs="Arial" w:eastAsia="Arial" w:hAnsi="Arial"/>
          <w:sz w:val="18"/>
          <w:szCs w:val="18"/>
          <w:color w:val="auto"/>
        </w:rPr>
        <w:t>reclassifications during the three months ended March 31, 2019 and 2018 were not material.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w:t>
      </w:r>
    </w:p>
    <w:p>
      <w:pPr>
        <w:spacing w:after="0" w:line="2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have net investments in foreign subsidiaries that are subject to changes in the foreign currency exchange rate. In September 2015, we designated the €500 million 2.45% Senior Notes due 2019 (the “2019 Euro Notes”) as a net investment hedge for a portion of our net investment in our Euro-denominated subsidiaries. In June 2018, the Company completed a tender offer for €363.4 million of the 2019 Euro Notes. The remaining €136.6 million of the 2019 Euro Notes have been re-designated as a net investment hedge in our Euro-denominated subsidiaries. The gains/losses on the 2019 Euro Notes have been included as a component of the cumulative translation adjustment account within AOCI. We had a deferred foreign currency gain of $0.7 million at March 31, 2019 and a deferred foreign currency loss of $0.8 million at December 31, 2018 in AOCI associated with the net investment hedge activity.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400" w:lineRule="exact"/>
        <w:rPr>
          <w:sz w:val="20"/>
          <w:szCs w:val="20"/>
          <w:color w:val="auto"/>
        </w:rPr>
      </w:pPr>
    </w:p>
    <w:p>
      <w:pPr>
        <w:ind w:left="640"/>
        <w:spacing w:after="0"/>
        <w:tabs>
          <w:tab w:leader="none" w:pos="14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Valuation is based on observable inputs such as quoted market prices (unadjusted) for identical assets or liabilities in active markets.</w:t>
      </w:r>
    </w:p>
    <w:p>
      <w:pPr>
        <w:spacing w:after="0" w:line="185" w:lineRule="exact"/>
        <w:rPr>
          <w:sz w:val="20"/>
          <w:szCs w:val="20"/>
          <w:color w:val="auto"/>
        </w:rPr>
      </w:pPr>
    </w:p>
    <w:p>
      <w:pPr>
        <w:ind w:left="1420" w:right="740" w:hanging="773"/>
        <w:spacing w:after="0" w:line="342" w:lineRule="auto"/>
        <w:tabs>
          <w:tab w:leader="none" w:pos="14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6"/>
          <w:szCs w:val="16"/>
          <w:color w:val="auto"/>
        </w:rPr>
        <w:t>Valuation is based on inputs such as quoted market prices for similar assets or liabilities in active markets or other inputs that are observable for the asset or liability, either directly or indirectly, for substantially the full term of the financial instrument.</w:t>
      </w:r>
    </w:p>
    <w:p>
      <w:pPr>
        <w:spacing w:after="0" w:line="83" w:lineRule="exact"/>
        <w:rPr>
          <w:sz w:val="20"/>
          <w:szCs w:val="20"/>
          <w:color w:val="auto"/>
        </w:rPr>
      </w:pPr>
    </w:p>
    <w:p>
      <w:pPr>
        <w:ind w:left="640"/>
        <w:spacing w:after="0"/>
        <w:tabs>
          <w:tab w:leader="none" w:pos="14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Valuation is based upon other unobservable inputs that are significant to the fair value measurement.</w:t>
      </w:r>
    </w:p>
    <w:p>
      <w:pPr>
        <w:spacing w:after="0" w:line="19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were used to estimate the fair values of each class of financial instruments:</w:t>
      </w:r>
    </w:p>
    <w:p>
      <w:pPr>
        <w:spacing w:after="0" w:line="157" w:lineRule="exact"/>
        <w:rPr>
          <w:sz w:val="20"/>
          <w:szCs w:val="20"/>
          <w:color w:val="auto"/>
        </w:rPr>
      </w:pPr>
    </w:p>
    <w:p>
      <w:pPr>
        <w:ind w:left="460" w:right="360" w:hanging="330"/>
        <w:spacing w:after="0" w:line="277" w:lineRule="auto"/>
        <w:tabs>
          <w:tab w:leader="none" w:pos="4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short-term financial instruments (cash and cash equivalents, accounts and notes receivable, accounts and notes payable and variable-rate debt) </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amount approximates fair value because of the short maturity period;</w:t>
      </w:r>
    </w:p>
    <w:p>
      <w:pPr>
        <w:spacing w:after="0" w:line="116" w:lineRule="exact"/>
        <w:rPr>
          <w:rFonts w:ascii="Arial" w:cs="Arial" w:eastAsia="Arial" w:hAnsi="Arial"/>
          <w:sz w:val="18"/>
          <w:szCs w:val="18"/>
          <w:i w:val="1"/>
          <w:iCs w:val="1"/>
          <w:color w:val="auto"/>
        </w:rPr>
      </w:pPr>
    </w:p>
    <w:p>
      <w:pPr>
        <w:ind w:left="500" w:right="100" w:hanging="330"/>
        <w:spacing w:after="0" w:line="277" w:lineRule="auto"/>
        <w:tabs>
          <w:tab w:leader="none" w:pos="500"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long-term fixed-rate debt, including current maturities </w:t>
      </w:r>
      <w:r>
        <w:rPr>
          <w:rFonts w:ascii="Arial" w:cs="Arial" w:eastAsia="Arial" w:hAnsi="Arial"/>
          <w:sz w:val="18"/>
          <w:szCs w:val="18"/>
          <w:color w:val="auto"/>
        </w:rPr>
        <w:t>— fair value is based on market quotes available for issuance of debt with similar terms, which</w:t>
      </w:r>
      <w:r>
        <w:rPr>
          <w:rFonts w:ascii="Arial" w:cs="Arial" w:eastAsia="Arial" w:hAnsi="Arial"/>
          <w:sz w:val="18"/>
          <w:szCs w:val="18"/>
          <w:i w:val="1"/>
          <w:iCs w:val="1"/>
          <w:color w:val="auto"/>
        </w:rPr>
        <w:t xml:space="preserve"> </w:t>
      </w:r>
      <w:r>
        <w:rPr>
          <w:rFonts w:ascii="Arial" w:cs="Arial" w:eastAsia="Arial" w:hAnsi="Arial"/>
          <w:sz w:val="18"/>
          <w:szCs w:val="18"/>
          <w:color w:val="auto"/>
        </w:rPr>
        <w:t>are inputs that are classified as Level 2 in the valuation hierarchy defined by the accounting guidance;</w:t>
      </w:r>
    </w:p>
    <w:p>
      <w:pPr>
        <w:spacing w:after="0" w:line="116" w:lineRule="exact"/>
        <w:rPr>
          <w:rFonts w:ascii="Arial" w:cs="Arial" w:eastAsia="Arial" w:hAnsi="Arial"/>
          <w:sz w:val="18"/>
          <w:szCs w:val="18"/>
          <w:color w:val="auto"/>
        </w:rPr>
      </w:pPr>
    </w:p>
    <w:p>
      <w:pPr>
        <w:ind w:left="500" w:right="60" w:hanging="330"/>
        <w:spacing w:after="0" w:line="264" w:lineRule="auto"/>
        <w:tabs>
          <w:tab w:leader="none" w:pos="500"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foreign currency contract agreements </w:t>
      </w:r>
      <w:r>
        <w:rPr>
          <w:rFonts w:ascii="Arial" w:cs="Arial" w:eastAsia="Arial" w:hAnsi="Arial"/>
          <w:sz w:val="18"/>
          <w:szCs w:val="18"/>
          <w:color w:val="auto"/>
        </w:rPr>
        <w:t>— fair values are determined through the use of models that consider various assumptions, including time value,</w:t>
      </w:r>
      <w:r>
        <w:rPr>
          <w:rFonts w:ascii="Arial" w:cs="Arial" w:eastAsia="Arial" w:hAnsi="Arial"/>
          <w:sz w:val="18"/>
          <w:szCs w:val="18"/>
          <w:i w:val="1"/>
          <w:iCs w:val="1"/>
          <w:color w:val="auto"/>
        </w:rPr>
        <w:t xml:space="preserve"> </w:t>
      </w:r>
      <w:r>
        <w:rPr>
          <w:rFonts w:ascii="Arial" w:cs="Arial" w:eastAsia="Arial" w:hAnsi="Arial"/>
          <w:sz w:val="18"/>
          <w:szCs w:val="18"/>
          <w:color w:val="auto"/>
        </w:rPr>
        <w:t>yield curves, as well as other relevant economic measures, which are inputs that are classified as Level 2 in the valuation hierarchy defined by the accounting guidance; and</w:t>
      </w:r>
    </w:p>
    <w:p>
      <w:pPr>
        <w:spacing w:after="0" w:line="127" w:lineRule="exact"/>
        <w:rPr>
          <w:rFonts w:ascii="Arial" w:cs="Arial" w:eastAsia="Arial" w:hAnsi="Arial"/>
          <w:sz w:val="18"/>
          <w:szCs w:val="18"/>
          <w:color w:val="auto"/>
        </w:rPr>
      </w:pPr>
    </w:p>
    <w:p>
      <w:pPr>
        <w:ind w:left="460" w:right="220" w:hanging="330"/>
        <w:spacing w:after="0" w:line="30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deferred compensation plan assets (mutual funds, common/collective trusts and cash equivalents for payment of certain non-qualified benefits for retired, terminated and active employees) </w:t>
      </w:r>
      <w:r>
        <w:rPr>
          <w:rFonts w:ascii="Arial" w:cs="Arial" w:eastAsia="Arial" w:hAnsi="Arial"/>
          <w:sz w:val="16"/>
          <w:szCs w:val="16"/>
          <w:color w:val="auto"/>
        </w:rPr>
        <w:t>— fair value of mutual funds and cash equivalents are based on quoted market prices in active markets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classified as Level 1 in the valuation hierarchy defined by the accounting guidance; fair value of common/collective trusts are valued at net asset value (“NAV”), which is based on the fair value of the underlying securities owned by the fund and divided by the number of shares outstanding.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recorded amounts and estimated fair values of total debt, excluding unamortized issuance costs and discounts,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March 31,</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3"/>
          </w:tcPr>
          <w:p>
            <w:pPr>
              <w:ind w:left="5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ind w:left="900"/>
              <w:spacing w:after="0"/>
              <w:rPr>
                <w:sz w:val="20"/>
                <w:szCs w:val="20"/>
                <w:color w:val="auto"/>
              </w:rPr>
            </w:pPr>
            <w:r>
              <w:rPr>
                <w:rFonts w:ascii="Arial" w:cs="Arial" w:eastAsia="Arial" w:hAnsi="Arial"/>
                <w:sz w:val="18"/>
                <w:szCs w:val="18"/>
                <w:b w:val="1"/>
                <w:bCs w:val="1"/>
                <w:color w:val="auto"/>
              </w:rPr>
              <w:t>2018</w:t>
            </w:r>
          </w:p>
        </w:tc>
        <w:tc>
          <w:tcPr>
            <w:tcW w:w="96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8"/>
        </w:trPr>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Recorded</w:t>
            </w:r>
          </w:p>
        </w:tc>
        <w:tc>
          <w:tcPr>
            <w:tcW w:w="440" w:type="dxa"/>
            <w:vAlign w:val="bottom"/>
          </w:tcPr>
          <w:p>
            <w:pPr>
              <w:spacing w:after="0"/>
              <w:rPr>
                <w:sz w:val="18"/>
                <w:szCs w:val="18"/>
                <w:color w:val="auto"/>
              </w:rPr>
            </w:pPr>
          </w:p>
        </w:tc>
        <w:tc>
          <w:tcPr>
            <w:tcW w:w="9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rPr>
              <w:t>Fair</w:t>
            </w:r>
          </w:p>
        </w:tc>
        <w:tc>
          <w:tcPr>
            <w:tcW w:w="200" w:type="dxa"/>
            <w:vAlign w:val="bottom"/>
          </w:tcPr>
          <w:p>
            <w:pPr>
              <w:spacing w:after="0"/>
              <w:rPr>
                <w:sz w:val="18"/>
                <w:szCs w:val="18"/>
                <w:color w:val="auto"/>
              </w:rPr>
            </w:pPr>
          </w:p>
        </w:tc>
        <w:tc>
          <w:tcPr>
            <w:tcW w:w="1020" w:type="dxa"/>
            <w:vAlign w:val="bottom"/>
          </w:tcPr>
          <w:p>
            <w:pPr>
              <w:ind w:left="60"/>
              <w:spacing w:after="0"/>
              <w:rPr>
                <w:sz w:val="20"/>
                <w:szCs w:val="20"/>
                <w:color w:val="auto"/>
              </w:rPr>
            </w:pPr>
            <w:r>
              <w:rPr>
                <w:rFonts w:ascii="Arial" w:cs="Arial" w:eastAsia="Arial" w:hAnsi="Arial"/>
                <w:sz w:val="18"/>
                <w:szCs w:val="18"/>
                <w:b w:val="1"/>
                <w:bCs w:val="1"/>
                <w:color w:val="auto"/>
              </w:rPr>
              <w:t>Recorded</w:t>
            </w:r>
          </w:p>
        </w:tc>
        <w:tc>
          <w:tcPr>
            <w:tcW w:w="340" w:type="dxa"/>
            <w:vAlign w:val="bottom"/>
          </w:tcPr>
          <w:p>
            <w:pPr>
              <w:spacing w:after="0"/>
              <w:rPr>
                <w:sz w:val="18"/>
                <w:szCs w:val="18"/>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Fair</w:t>
            </w:r>
          </w:p>
        </w:tc>
      </w:tr>
      <w:tr>
        <w:trPr>
          <w:trHeight w:val="234"/>
        </w:trPr>
        <w:tc>
          <w:tcPr>
            <w:tcW w:w="62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440" w:type="dxa"/>
            <w:vAlign w:val="bottom"/>
          </w:tcPr>
          <w:p>
            <w:pPr>
              <w:spacing w:after="0"/>
              <w:rPr>
                <w:sz w:val="20"/>
                <w:szCs w:val="20"/>
                <w:color w:val="auto"/>
              </w:rPr>
            </w:pPr>
          </w:p>
        </w:tc>
        <w:tc>
          <w:tcPr>
            <w:tcW w:w="9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Value</w:t>
            </w:r>
          </w:p>
        </w:tc>
        <w:tc>
          <w:tcPr>
            <w:tcW w:w="200" w:type="dxa"/>
            <w:vAlign w:val="bottom"/>
          </w:tcPr>
          <w:p>
            <w:pPr>
              <w:spacing w:after="0"/>
              <w:rPr>
                <w:sz w:val="20"/>
                <w:szCs w:val="20"/>
                <w:color w:val="auto"/>
              </w:rPr>
            </w:pPr>
          </w:p>
        </w:tc>
        <w:tc>
          <w:tcPr>
            <w:tcW w:w="1020" w:type="dxa"/>
            <w:vAlign w:val="bottom"/>
          </w:tcPr>
          <w:p>
            <w:pPr>
              <w:ind w:left="120"/>
              <w:spacing w:after="0"/>
              <w:rPr>
                <w:sz w:val="20"/>
                <w:szCs w:val="20"/>
                <w:color w:val="auto"/>
              </w:rPr>
            </w:pPr>
            <w:r>
              <w:rPr>
                <w:rFonts w:ascii="Arial" w:cs="Arial" w:eastAsia="Arial" w:hAnsi="Arial"/>
                <w:sz w:val="18"/>
                <w:szCs w:val="18"/>
                <w:b w:val="1"/>
                <w:bCs w:val="1"/>
                <w:color w:val="auto"/>
              </w:rPr>
              <w:t>Amount</w:t>
            </w:r>
          </w:p>
        </w:tc>
        <w:tc>
          <w:tcPr>
            <w:tcW w:w="34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Value</w:t>
            </w:r>
          </w:p>
        </w:tc>
      </w:tr>
      <w:tr>
        <w:trPr>
          <w:trHeight w:val="27"/>
        </w:trPr>
        <w:tc>
          <w:tcPr>
            <w:tcW w:w="6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rate debt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97"/>
              </w:rPr>
              <w:t>102.2</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Fixed rate debt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689.0</w:t>
            </w:r>
          </w:p>
        </w:tc>
        <w:tc>
          <w:tcPr>
            <w:tcW w:w="4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694.6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ind w:left="560"/>
              <w:spacing w:after="0"/>
              <w:rPr>
                <w:sz w:val="20"/>
                <w:szCs w:val="20"/>
                <w:color w:val="auto"/>
              </w:rPr>
            </w:pPr>
            <w:r>
              <w:rPr>
                <w:rFonts w:ascii="Arial" w:cs="Arial" w:eastAsia="Arial" w:hAnsi="Arial"/>
                <w:sz w:val="18"/>
                <w:szCs w:val="18"/>
                <w:color w:val="auto"/>
                <w:w w:val="97"/>
              </w:rPr>
              <w:t>690.5</w:t>
            </w:r>
          </w:p>
        </w:tc>
        <w:tc>
          <w:tcPr>
            <w:tcW w:w="3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691.8</w:t>
            </w:r>
          </w:p>
        </w:tc>
      </w:tr>
      <w:tr>
        <w:trPr>
          <w:trHeight w:val="27"/>
        </w:trPr>
        <w:tc>
          <w:tcPr>
            <w:tcW w:w="6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1,375.2</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1,380.8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97"/>
              </w:rPr>
              <w:t>792.7</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794.0</w:t>
            </w:r>
          </w:p>
        </w:tc>
      </w:tr>
      <w:tr>
        <w:trPr>
          <w:trHeight w:val="20"/>
        </w:trPr>
        <w:tc>
          <w:tcPr>
            <w:tcW w:w="6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measured at fair value on a recurring and nonrecurring basis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8"/>
                <w:szCs w:val="18"/>
                <w:b w:val="1"/>
                <w:bCs w:val="1"/>
                <w:color w:val="auto"/>
                <w:w w:val="92"/>
              </w:rPr>
              <w:t>March 31, 2019</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960" w:type="dxa"/>
            <w:vAlign w:val="bottom"/>
          </w:tcPr>
          <w:p>
            <w:pPr>
              <w:ind w:left="8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NAV</w:t>
            </w:r>
          </w:p>
        </w:tc>
        <w:tc>
          <w:tcPr>
            <w:tcW w:w="28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4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1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Foreign currency contract assets</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4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 liabilities</w:t>
            </w:r>
          </w:p>
        </w:tc>
        <w:tc>
          <w:tcPr>
            <w:tcW w:w="1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Deferred compensation plan assets</w:t>
            </w: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21.2</w:t>
            </w:r>
          </w:p>
        </w:tc>
      </w:tr>
      <w:tr>
        <w:trPr>
          <w:trHeight w:val="27"/>
        </w:trPr>
        <w:tc>
          <w:tcPr>
            <w:tcW w:w="4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recurring fair value measurements</w:t>
            </w:r>
          </w:p>
        </w:tc>
        <w:tc>
          <w:tcPr>
            <w:tcW w:w="1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4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260" w:type="dxa"/>
            <w:vAlign w:val="bottom"/>
          </w:tcPr>
          <w:p>
            <w:pPr>
              <w:spacing w:after="0"/>
              <w:rPr>
                <w:sz w:val="24"/>
                <w:szCs w:val="24"/>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4"/>
          </w:tcPr>
          <w:p>
            <w:pPr>
              <w:jc w:val="center"/>
              <w:ind w:left="570"/>
              <w:spacing w:after="0"/>
              <w:rPr>
                <w:sz w:val="20"/>
                <w:szCs w:val="20"/>
                <w:color w:val="auto"/>
              </w:rPr>
            </w:pPr>
            <w:r>
              <w:rPr>
                <w:rFonts w:ascii="Arial" w:cs="Arial" w:eastAsia="Arial" w:hAnsi="Arial"/>
                <w:sz w:val="18"/>
                <w:szCs w:val="18"/>
                <w:b w:val="1"/>
                <w:bCs w:val="1"/>
                <w:color w:val="auto"/>
                <w:w w:val="88"/>
              </w:rPr>
              <w:t>December 31, 2018</w:t>
            </w: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Level 3</w:t>
            </w:r>
          </w:p>
        </w:tc>
        <w:tc>
          <w:tcPr>
            <w:tcW w:w="3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NAV</w:t>
            </w:r>
          </w:p>
        </w:tc>
        <w:tc>
          <w:tcPr>
            <w:tcW w:w="28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5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Foreign currency contract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7"/>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plan assets</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recurring fair value measurements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5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manage our affairs so that we are centrally managed and controlled in the United Kingdom (“U.K.”) and therefore have our tax residency in the U.K. The provision for income taxes consists of provisions for the U.K. and international income taxes. We operate in an international environment with operations in various locations outside the U.K. Accordingly, the consolidated income tax rate is a composite rate reflecting the earnings in the various locations and the applicable rates.</w:t>
      </w:r>
    </w:p>
    <w:p>
      <w:pPr>
        <w:spacing w:after="0" w:line="13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effective income tax rate for the three months ended March 31, 2019 was 17.1%, compared to 20.5% for the three months ended March 31, 2018. We continue to actively pursue initiatives to reduce our effective tax rate. The tax rate in any quarter can be affected positively or negatively by adjustments that are required to be reported in the specific quarter of resolution.</w:t>
      </w:r>
    </w:p>
    <w:p>
      <w:pPr>
        <w:spacing w:after="0" w:line="12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The liability for uncertain tax positions was $49.6 million and $51.4 million at March 31, 2019 and December 31, 2018, respectively. We record penalties and interest related to unrecognized tax benefits in </w:t>
      </w:r>
      <w:r>
        <w:rPr>
          <w:rFonts w:ascii="Arial" w:cs="Arial" w:eastAsia="Arial" w:hAnsi="Arial"/>
          <w:sz w:val="18"/>
          <w:szCs w:val="18"/>
          <w:i w:val="1"/>
          <w:iCs w:val="1"/>
          <w:color w:val="auto"/>
        </w:rPr>
        <w:t>Provision for income taxes</w:t>
      </w:r>
      <w:r>
        <w:rPr>
          <w:rFonts w:ascii="Arial" w:cs="Arial" w:eastAsia="Arial" w:hAnsi="Arial"/>
          <w:sz w:val="18"/>
          <w:szCs w:val="18"/>
          <w:color w:val="auto"/>
        </w:rPr>
        <w:t xml:space="preserve"> and </w:t>
      </w:r>
      <w:r>
        <w:rPr>
          <w:rFonts w:ascii="Arial" w:cs="Arial" w:eastAsia="Arial" w:hAnsi="Arial"/>
          <w:sz w:val="18"/>
          <w:szCs w:val="18"/>
          <w:i w:val="1"/>
          <w:iCs w:val="1"/>
          <w:color w:val="auto"/>
        </w:rPr>
        <w:t>Net interest expense</w:t>
      </w:r>
      <w:r>
        <w:rPr>
          <w:rFonts w:ascii="Arial" w:cs="Arial" w:eastAsia="Arial" w:hAnsi="Arial"/>
          <w:sz w:val="18"/>
          <w:szCs w:val="18"/>
          <w:color w:val="auto"/>
        </w:rPr>
        <w:t>, respectively, on the Condensed Consolidated Statements of Operations and Comprehensive Income, which is consistent with our past practices.</w:t>
      </w:r>
    </w:p>
    <w:p>
      <w:pPr>
        <w:spacing w:after="0" w:line="137"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Components of net periodic benefit cost for our pension plans for the three months ended March 31, 2019 and 2018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8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8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84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7"/>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periodic benefit cost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8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Components of net periodic benefit cost for our other post-retirement plans for the three months ended March 31, 2019 and 2018 were not material.</w:t>
      </w:r>
    </w:p>
    <w:p>
      <w:pPr>
        <w:spacing w:after="0" w:line="192" w:lineRule="exact"/>
        <w:rPr>
          <w:sz w:val="20"/>
          <w:szCs w:val="20"/>
          <w:color w:val="auto"/>
        </w:rPr>
      </w:pPr>
    </w:p>
    <w:p>
      <w:pPr>
        <w:ind w:right="9140" w:firstLine="8"/>
        <w:spacing w:after="0" w:line="261" w:lineRule="auto"/>
        <w:tabs>
          <w:tab w:leader="none" w:pos="648"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Shareholders’ Equity </w:t>
      </w:r>
      <w:r>
        <w:rPr>
          <w:rFonts w:ascii="Arial" w:cs="Arial" w:eastAsia="Arial" w:hAnsi="Arial"/>
          <w:sz w:val="18"/>
          <w:szCs w:val="18"/>
          <w:b w:val="1"/>
          <w:bCs w:val="1"/>
          <w:i w:val="1"/>
          <w:iCs w:val="1"/>
          <w:color w:val="auto"/>
        </w:rPr>
        <w:t>Share repurchases</w:t>
      </w:r>
    </w:p>
    <w:p>
      <w:pPr>
        <w:ind w:right="3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May 2018, the Board of Directors authorized the repurchase of our ordinary shares up to a maximum dollar limit of $750.0 million. The authorization expires on May 31, 2021. There were no share repurchases during the three months ended March 31, 2019. As of March 31, 2019, we had $400.0 million available for share repurchases.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payable</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On December 10, 2018, the Board of Directors declared a quarterly cash dividend of $0.18, that was paid on February 8, 2019, to shareholders of record at the close of business on January 25, 2019. Additionally, the Board of Directors approved a plan to pay an annual cash dividend of $0.72 in 2019. Further, on February 19, 2019, the Board of Directors declared a quarterly cash dividend of $0.18 payable on May 3, 2019, to shareholders of record at the close of business on April 19, 2019. As a result, the balance of dividends payable included in </w:t>
      </w:r>
      <w:r>
        <w:rPr>
          <w:rFonts w:ascii="Arial" w:cs="Arial" w:eastAsia="Arial" w:hAnsi="Arial"/>
          <w:sz w:val="17"/>
          <w:szCs w:val="17"/>
          <w:i w:val="1"/>
          <w:iCs w:val="1"/>
          <w:color w:val="auto"/>
        </w:rPr>
        <w:t>Other current liabilities</w:t>
      </w:r>
      <w:r>
        <w:rPr>
          <w:rFonts w:ascii="Arial" w:cs="Arial" w:eastAsia="Arial" w:hAnsi="Arial"/>
          <w:sz w:val="17"/>
          <w:szCs w:val="17"/>
          <w:color w:val="auto"/>
        </w:rPr>
        <w:t xml:space="preserve"> on our Condensed Consolidated Balance Sheets was $30.9 million at March 31, 2019, compared to $30.8 million at December 31, 2018.</w:t>
      </w:r>
    </w:p>
    <w:p>
      <w:pPr>
        <w:spacing w:after="0" w:line="134"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7"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We evaluate performance based on net sales and segment income (loss) and use a variety of ratios to measure performance of our reporting segments. These results are not necessarily indicative of the results of operations that would have occurred had each segment been an independent, stand-alone entity during the periods presented. Segment income (loss) represents equity income of unconsolidated subsidiaries and operating income exclusive of intangible amortization, certain acquisition related expenses, costs of restructuring activities, impairments and other unusual non-operating items.</w:t>
      </w:r>
    </w:p>
    <w:p>
      <w:pPr>
        <w:sectPr>
          <w:pgSz w:w="11900" w:h="16838" w:orient="portrait"/>
          <w:cols w:equalWidth="0" w:num="1">
            <w:col w:w="11420"/>
          </w:cols>
          <w:pgMar w:left="240" w:top="122" w:right="239"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2" w:right="2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Financial information by reportable segment is as follows: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78"/>
        </w:trPr>
        <w:tc>
          <w:tcPr>
            <w:tcW w:w="8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8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8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84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Net sales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Aquatic Systems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240.4</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Filtration Solutions</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239.3</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251.6</w:t>
            </w:r>
          </w:p>
        </w:tc>
      </w:tr>
      <w:tr>
        <w:trPr>
          <w:trHeight w:val="27"/>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Flow Technologies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228.7</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240.3</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8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732.6</w:t>
            </w:r>
          </w:p>
        </w:tc>
      </w:tr>
      <w:tr>
        <w:trPr>
          <w:trHeight w:val="20"/>
        </w:trPr>
        <w:tc>
          <w:tcPr>
            <w:tcW w:w="8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Segment income (loss)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7"/>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Aquatic Systems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Filtration Solutions</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33.7</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33.7</w:t>
            </w:r>
          </w:p>
        </w:tc>
      </w:tr>
      <w:tr>
        <w:trPr>
          <w:trHeight w:val="27"/>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Flow Technologies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7"/>
        </w:trPr>
        <w:tc>
          <w:tcPr>
            <w:tcW w:w="8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117.0</w:t>
            </w:r>
          </w:p>
        </w:tc>
      </w:tr>
      <w:tr>
        <w:trPr>
          <w:trHeight w:val="20"/>
        </w:trPr>
        <w:tc>
          <w:tcPr>
            <w:tcW w:w="8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reconciliation of consolidated segment income to consolidated income from continuing operations before income taxes: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8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8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84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117.0</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Deal-related costs and expenses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step-up</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Restructuring and other</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Asset impairment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sale of business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Corporate allocations</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8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w:t>
            </w:r>
          </w:p>
        </w:tc>
      </w:tr>
      <w:tr>
        <w:trPr>
          <w:trHeight w:val="20"/>
        </w:trPr>
        <w:tc>
          <w:tcPr>
            <w:tcW w:w="8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Leases</w:t>
      </w:r>
    </w:p>
    <w:p>
      <w:pPr>
        <w:spacing w:after="0" w:line="9" w:lineRule="exact"/>
        <w:rPr>
          <w:rFonts w:ascii="Arial" w:cs="Arial" w:eastAsia="Arial" w:hAnsi="Arial"/>
          <w:sz w:val="18"/>
          <w:szCs w:val="18"/>
          <w:b w:val="1"/>
          <w:bCs w:val="1"/>
          <w:color w:val="auto"/>
        </w:rPr>
      </w:pPr>
    </w:p>
    <w:p>
      <w:pPr>
        <w:ind w:right="1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We determine if an arrangement is a lease at inception. Our lease portfolio principally consists of operating leases related to facilities, machinery, equipment and vehicles. Our lease terms do not include options to extend or terminate the lease until we are reasonably certain that we will exercise that option. Operating lease cost for lease payments is recognized on a straight-line basis over the lease term and principally consists of fixed payments for base rent.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The components of lease cost for the three months ended March 31, 2019 were as follows:</w:t>
            </w:r>
          </w:p>
        </w:tc>
        <w:tc>
          <w:tcPr>
            <w:tcW w:w="19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14"/>
        </w:trPr>
        <w:tc>
          <w:tcPr>
            <w:tcW w:w="8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81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90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7"/>
        </w:trPr>
        <w:tc>
          <w:tcPr>
            <w:tcW w:w="8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1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Sublease income</w:t>
            </w:r>
          </w:p>
        </w:tc>
        <w:tc>
          <w:tcPr>
            <w:tcW w:w="19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8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cost</w:t>
            </w:r>
          </w:p>
        </w:tc>
        <w:tc>
          <w:tcPr>
            <w:tcW w:w="1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0"/>
        </w:trPr>
        <w:tc>
          <w:tcPr>
            <w:tcW w:w="81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2" w:right="2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40" w:type="dxa"/>
            <w:vAlign w:val="bottom"/>
          </w:tcPr>
          <w:p>
            <w:pPr>
              <w:spacing w:after="0"/>
              <w:rPr>
                <w:sz w:val="20"/>
                <w:szCs w:val="20"/>
                <w:color w:val="auto"/>
              </w:rPr>
            </w:pPr>
            <w:r>
              <w:rPr>
                <w:rFonts w:ascii="Arial" w:cs="Arial" w:eastAsia="Arial" w:hAnsi="Arial"/>
                <w:sz w:val="18"/>
                <w:szCs w:val="18"/>
                <w:color w:val="auto"/>
                <w:w w:val="98"/>
              </w:rPr>
              <w:t>Supplemental cash flow information related to leases for the three months ended March 31, 2019 was as follows:</w:t>
            </w:r>
          </w:p>
        </w:tc>
        <w:tc>
          <w:tcPr>
            <w:tcW w:w="1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4"/>
        </w:trPr>
        <w:tc>
          <w:tcPr>
            <w:tcW w:w="8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jc w:val="center"/>
              <w:ind w:right="190"/>
              <w:spacing w:after="0"/>
              <w:rPr>
                <w:sz w:val="20"/>
                <w:szCs w:val="20"/>
                <w:color w:val="auto"/>
              </w:rPr>
            </w:pPr>
            <w:r>
              <w:rPr>
                <w:rFonts w:ascii="Arial" w:cs="Arial" w:eastAsia="Arial" w:hAnsi="Arial"/>
                <w:sz w:val="18"/>
                <w:szCs w:val="18"/>
                <w:b w:val="1"/>
                <w:bCs w:val="1"/>
                <w:color w:val="auto"/>
                <w:w w:val="96"/>
              </w:rPr>
              <w:t>March 31,</w:t>
            </w:r>
          </w:p>
        </w:tc>
      </w:tr>
      <w:tr>
        <w:trPr>
          <w:trHeight w:val="234"/>
        </w:trPr>
        <w:tc>
          <w:tcPr>
            <w:tcW w:w="88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220" w:type="dxa"/>
            <w:vAlign w:val="bottom"/>
          </w:tcPr>
          <w:p>
            <w:pPr>
              <w:spacing w:after="0"/>
              <w:rPr>
                <w:sz w:val="20"/>
                <w:szCs w:val="20"/>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8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flows from operating leases</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r>
      <w:tr>
        <w:trPr>
          <w:trHeight w:val="243"/>
        </w:trPr>
        <w:tc>
          <w:tcPr>
            <w:tcW w:w="8840" w:type="dxa"/>
            <w:vAlign w:val="bottom"/>
          </w:tcPr>
          <w:p>
            <w:pPr>
              <w:ind w:left="40"/>
              <w:spacing w:after="0"/>
              <w:rPr>
                <w:sz w:val="20"/>
                <w:szCs w:val="20"/>
                <w:color w:val="auto"/>
              </w:rPr>
            </w:pPr>
            <w:r>
              <w:rPr>
                <w:rFonts w:ascii="Arial" w:cs="Arial" w:eastAsia="Arial" w:hAnsi="Arial"/>
                <w:sz w:val="18"/>
                <w:szCs w:val="18"/>
                <w:color w:val="auto"/>
              </w:rPr>
              <w:t>Right-of-use assets obtained in exchange for lease obligations</w:t>
            </w:r>
          </w:p>
        </w:tc>
        <w:tc>
          <w:tcPr>
            <w:tcW w:w="1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79.5</w:t>
            </w:r>
          </w:p>
        </w:tc>
      </w:tr>
      <w:tr>
        <w:trPr>
          <w:trHeight w:val="459"/>
        </w:trPr>
        <w:tc>
          <w:tcPr>
            <w:tcW w:w="8840" w:type="dxa"/>
            <w:vAlign w:val="bottom"/>
          </w:tcPr>
          <w:p>
            <w:pPr>
              <w:spacing w:after="0"/>
              <w:rPr>
                <w:sz w:val="20"/>
                <w:szCs w:val="20"/>
                <w:color w:val="auto"/>
              </w:rPr>
            </w:pPr>
            <w:r>
              <w:rPr>
                <w:rFonts w:ascii="Arial" w:cs="Arial" w:eastAsia="Arial" w:hAnsi="Arial"/>
                <w:sz w:val="18"/>
                <w:szCs w:val="18"/>
                <w:color w:val="auto"/>
              </w:rPr>
              <w:t>Other information related to leases was as follows:</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60"/>
        </w:trPr>
        <w:tc>
          <w:tcPr>
            <w:tcW w:w="8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jc w:val="right"/>
              <w:ind w:right="37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8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6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8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of operating leases</w:t>
            </w:r>
          </w:p>
        </w:tc>
        <w:tc>
          <w:tcPr>
            <w:tcW w:w="1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 years</w:t>
            </w:r>
          </w:p>
        </w:tc>
      </w:tr>
      <w:tr>
        <w:trPr>
          <w:trHeight w:val="243"/>
        </w:trPr>
        <w:tc>
          <w:tcPr>
            <w:tcW w:w="8840" w:type="dxa"/>
            <w:vAlign w:val="bottom"/>
          </w:tcPr>
          <w:p>
            <w:pPr>
              <w:ind w:left="40"/>
              <w:spacing w:after="0"/>
              <w:rPr>
                <w:sz w:val="20"/>
                <w:szCs w:val="20"/>
                <w:color w:val="auto"/>
              </w:rPr>
            </w:pPr>
            <w:r>
              <w:rPr>
                <w:rFonts w:ascii="Arial" w:cs="Arial" w:eastAsia="Arial" w:hAnsi="Arial"/>
                <w:sz w:val="18"/>
                <w:szCs w:val="18"/>
                <w:color w:val="auto"/>
              </w:rPr>
              <w:t>Weighted-average discount rate of operating leases</w:t>
            </w:r>
          </w:p>
        </w:tc>
        <w:tc>
          <w:tcPr>
            <w:tcW w:w="1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59"/>
        </w:trPr>
        <w:tc>
          <w:tcPr>
            <w:tcW w:w="8840" w:type="dxa"/>
            <w:vAlign w:val="bottom"/>
          </w:tcPr>
          <w:p>
            <w:pPr>
              <w:spacing w:after="0"/>
              <w:rPr>
                <w:sz w:val="20"/>
                <w:szCs w:val="20"/>
                <w:color w:val="auto"/>
              </w:rPr>
            </w:pPr>
            <w:r>
              <w:rPr>
                <w:rFonts w:ascii="Arial" w:cs="Arial" w:eastAsia="Arial" w:hAnsi="Arial"/>
                <w:sz w:val="18"/>
                <w:szCs w:val="18"/>
                <w:color w:val="auto"/>
                <w:w w:val="96"/>
              </w:rPr>
              <w:t>Future minimum lease commitments under non-cancelable operating leases, as of March 31, 2019 were as follows:</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8"/>
        </w:trPr>
        <w:tc>
          <w:tcPr>
            <w:tcW w:w="88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58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Operating Leases</w:t>
            </w:r>
          </w:p>
        </w:tc>
      </w:tr>
      <w:tr>
        <w:trPr>
          <w:trHeight w:val="27"/>
        </w:trPr>
        <w:tc>
          <w:tcPr>
            <w:tcW w:w="8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Q2 through Q4 2019</w:t>
            </w:r>
          </w:p>
        </w:tc>
        <w:tc>
          <w:tcPr>
            <w:tcW w:w="122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r>
      <w:tr>
        <w:trPr>
          <w:trHeight w:val="243"/>
        </w:trPr>
        <w:tc>
          <w:tcPr>
            <w:tcW w:w="8840" w:type="dxa"/>
            <w:vAlign w:val="bottom"/>
          </w:tcPr>
          <w:p>
            <w:pPr>
              <w:ind w:left="40"/>
              <w:spacing w:after="0"/>
              <w:rPr>
                <w:sz w:val="20"/>
                <w:szCs w:val="20"/>
                <w:color w:val="auto"/>
              </w:rPr>
            </w:pPr>
            <w:r>
              <w:rPr>
                <w:rFonts w:ascii="Arial" w:cs="Arial" w:eastAsia="Arial" w:hAnsi="Arial"/>
                <w:sz w:val="18"/>
                <w:szCs w:val="18"/>
                <w:color w:val="auto"/>
              </w:rPr>
              <w:t>2020</w:t>
            </w:r>
          </w:p>
        </w:tc>
        <w:tc>
          <w:tcPr>
            <w:tcW w:w="1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19.6</w:t>
            </w:r>
          </w:p>
        </w:tc>
      </w:tr>
      <w:tr>
        <w:trPr>
          <w:trHeight w:val="27"/>
        </w:trPr>
        <w:tc>
          <w:tcPr>
            <w:tcW w:w="8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r>
      <w:tr>
        <w:trPr>
          <w:trHeight w:val="243"/>
        </w:trPr>
        <w:tc>
          <w:tcPr>
            <w:tcW w:w="8840" w:type="dxa"/>
            <w:vAlign w:val="bottom"/>
          </w:tcPr>
          <w:p>
            <w:pPr>
              <w:ind w:left="40"/>
              <w:spacing w:after="0"/>
              <w:rPr>
                <w:sz w:val="20"/>
                <w:szCs w:val="20"/>
                <w:color w:val="auto"/>
              </w:rPr>
            </w:pPr>
            <w:r>
              <w:rPr>
                <w:rFonts w:ascii="Arial" w:cs="Arial" w:eastAsia="Arial" w:hAnsi="Arial"/>
                <w:sz w:val="18"/>
                <w:szCs w:val="18"/>
                <w:color w:val="auto"/>
              </w:rPr>
              <w:t>2022</w:t>
            </w:r>
          </w:p>
        </w:tc>
        <w:tc>
          <w:tcPr>
            <w:tcW w:w="1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12.3</w:t>
            </w:r>
          </w:p>
        </w:tc>
      </w:tr>
      <w:tr>
        <w:trPr>
          <w:trHeight w:val="27"/>
        </w:trPr>
        <w:tc>
          <w:tcPr>
            <w:tcW w:w="8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43"/>
        </w:trPr>
        <w:tc>
          <w:tcPr>
            <w:tcW w:w="88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15.6</w:t>
            </w:r>
          </w:p>
        </w:tc>
      </w:tr>
      <w:tr>
        <w:trPr>
          <w:trHeight w:val="27"/>
        </w:trPr>
        <w:tc>
          <w:tcPr>
            <w:tcW w:w="8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1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91.2</w:t>
            </w:r>
          </w:p>
        </w:tc>
      </w:tr>
      <w:tr>
        <w:trPr>
          <w:trHeight w:val="243"/>
        </w:trPr>
        <w:tc>
          <w:tcPr>
            <w:tcW w:w="884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1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7"/>
        </w:trPr>
        <w:tc>
          <w:tcPr>
            <w:tcW w:w="8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8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w:t>
            </w:r>
          </w:p>
        </w:tc>
      </w:tr>
      <w:tr>
        <w:trPr>
          <w:trHeight w:val="20"/>
        </w:trPr>
        <w:tc>
          <w:tcPr>
            <w:tcW w:w="88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Future minimum lease commitments under non-cancelable operating leases based on accounting standards applicable as of December 31, 2018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4500" w:type="dxa"/>
            <w:vAlign w:val="bottom"/>
          </w:tcPr>
          <w:p>
            <w:pPr>
              <w:spacing w:after="0"/>
              <w:rPr>
                <w:sz w:val="20"/>
                <w:szCs w:val="20"/>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b w:val="1"/>
                <w:bCs w:val="1"/>
                <w:color w:val="auto"/>
                <w:w w:val="95"/>
              </w:rPr>
              <w:t>Operating Leases</w:t>
            </w:r>
          </w:p>
        </w:tc>
      </w:tr>
      <w:tr>
        <w:trPr>
          <w:trHeight w:val="27"/>
        </w:trPr>
        <w:tc>
          <w:tcPr>
            <w:tcW w:w="510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2020</w:t>
            </w:r>
          </w:p>
        </w:tc>
        <w:tc>
          <w:tcPr>
            <w:tcW w:w="45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17.6</w:t>
            </w:r>
          </w:p>
        </w:tc>
      </w:tr>
      <w:tr>
        <w:trPr>
          <w:trHeight w:val="27"/>
        </w:trPr>
        <w:tc>
          <w:tcPr>
            <w:tcW w:w="51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5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2022</w:t>
            </w:r>
          </w:p>
        </w:tc>
        <w:tc>
          <w:tcPr>
            <w:tcW w:w="45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11.1</w:t>
            </w:r>
          </w:p>
        </w:tc>
      </w:tr>
      <w:tr>
        <w:trPr>
          <w:trHeight w:val="27"/>
        </w:trPr>
        <w:tc>
          <w:tcPr>
            <w:tcW w:w="51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5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5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27"/>
        </w:trPr>
        <w:tc>
          <w:tcPr>
            <w:tcW w:w="510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w:t>
            </w:r>
          </w:p>
        </w:tc>
      </w:tr>
      <w:tr>
        <w:trPr>
          <w:trHeight w:val="20"/>
        </w:trPr>
        <w:tc>
          <w:tcPr>
            <w:tcW w:w="5100" w:type="dxa"/>
            <w:vAlign w:val="bottom"/>
            <w:tcBorders>
              <w:top w:val="single" w:sz="8" w:color="auto"/>
              <w:bottom w:val="single" w:sz="8" w:color="auto"/>
            </w:tcBorders>
          </w:tcPr>
          <w:p>
            <w:pPr>
              <w:spacing w:after="0" w:line="20" w:lineRule="exact"/>
              <w:rPr>
                <w:sz w:val="1"/>
                <w:szCs w:val="1"/>
                <w:color w:val="auto"/>
              </w:rPr>
            </w:pPr>
          </w:p>
        </w:tc>
        <w:tc>
          <w:tcPr>
            <w:tcW w:w="45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 and guarantees</w:t>
      </w:r>
    </w:p>
    <w:p>
      <w:pPr>
        <w:spacing w:after="0" w:line="23"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In connection with the disposition of our businesses or product lines, we may agree to indemnify purchasers for various potential liabilities relating to the sold business, such as pre-closing tax, product liability, warranty, environmental, or other obligations. The subject matter, amounts and duration of any such indemnification obligations vary for each type of liability indemnified and may vary widely from transaction to transaction.</w:t>
      </w:r>
    </w:p>
    <w:p>
      <w:pPr>
        <w:spacing w:after="0" w:line="173"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Generally, the maximum obligation under such indemnifications is not explicitly stated and as a result, the overall amount of these obligations cannot be reasonably estimated. Historically, we have not made significant payments for these indemnifications. We believe that if we were to incur a loss in any of these matters, the loss would not have a material adverse effect on our financial position, results of operations or cash flows.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40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recognize, at the inception of a guarantee, a liability for the fair value of the obligation undertaken in issuing the guarantee. In connection with the disposition of the Valves &amp; Controls business in 2017, we agreed to indemnify Emerson Electric Co. for certain pre-closing tax liabilities. We have recorded a liability representing the fair value of our expected future obligation for this matter.</w:t>
      </w:r>
    </w:p>
    <w:p>
      <w:pPr>
        <w:spacing w:after="0" w:line="12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provide service and warranty policies on our products. Liability under service and warranty policies is based upon a review of historical warranty and service claim experience. Adjustments are made to accruals as claim data and historical experience warrant.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the carrying amount of service and product warranties of continuing operations for the three months ended March 31, 2019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63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72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7"/>
        </w:trPr>
        <w:tc>
          <w:tcPr>
            <w:tcW w:w="636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Service and product warranty provision</w:t>
            </w:r>
          </w:p>
        </w:tc>
        <w:tc>
          <w:tcPr>
            <w:tcW w:w="37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7"/>
        </w:trPr>
        <w:tc>
          <w:tcPr>
            <w:tcW w:w="63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37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37"/>
        </w:trPr>
        <w:tc>
          <w:tcPr>
            <w:tcW w:w="63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Ending balance</w:t>
            </w:r>
          </w:p>
        </w:tc>
        <w:tc>
          <w:tcPr>
            <w:tcW w:w="37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34.6</w:t>
            </w:r>
          </w:p>
        </w:tc>
      </w:tr>
      <w:tr>
        <w:trPr>
          <w:trHeight w:val="27"/>
        </w:trPr>
        <w:tc>
          <w:tcPr>
            <w:tcW w:w="636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Stand-by letters of credit, bank guarantees and bonds</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certain situations, Tyco International Ltd., Pentair Ltd.’s former parent company (“Tyco”), guaranteed performance by the flow control business of Pentair Ltd. (“Flow Control”) to third parties or provided financial guarantees for financial commitments of Flow Control. In situations where Flow Control and Tyco were unable to obtain a release from these guarantees in connection with the spin-off of Flow Control from Tyco, we will indemnify Tyco for any losses it suffers as a result of such guarantees.</w:t>
      </w:r>
    </w:p>
    <w:p>
      <w:pPr>
        <w:spacing w:after="0" w:line="13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disposing of assets or businesses, we often provide representations, warranties and indemnities to cover various risks including unknown damage to the assets, environmental risks involved in the sale of real estate, liability to investigate and remediate environmental contamination at waste disposal sites and manufacturing facilities and unidentified tax liabilities and legal fees related to periods prior to disposition. We do not have the ability to reasonably estimate the potential liability due to the inchoate and unknown nature of these potential liabilities. However, we have no reason to believe that these uncertainties would have a material adverse effect on our financial position, results of operations or cash flows.</w:t>
      </w:r>
    </w:p>
    <w:p>
      <w:pPr>
        <w:spacing w:after="0" w:line="11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spacing w:after="0" w:line="11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As of March 31, 2019 and December 31, 2018, the outstanding value of bonds, letters of credit and bank guarantees totaled $121.6 million and $123.6 million, respectively.</w:t>
      </w:r>
    </w:p>
    <w:p>
      <w:pPr>
        <w:spacing w:after="0" w:line="126"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Guarantor Information</w:t>
      </w:r>
    </w:p>
    <w:p>
      <w:pPr>
        <w:spacing w:after="0" w:line="27" w:lineRule="exact"/>
        <w:rPr>
          <w:sz w:val="20"/>
          <w:szCs w:val="20"/>
          <w:color w:val="auto"/>
        </w:rPr>
      </w:pPr>
    </w:p>
    <w:p>
      <w:pPr>
        <w:ind w:right="440"/>
        <w:spacing w:after="0" w:line="273" w:lineRule="auto"/>
        <w:rPr>
          <w:sz w:val="20"/>
          <w:szCs w:val="20"/>
          <w:color w:val="auto"/>
        </w:rPr>
      </w:pPr>
      <w:r>
        <w:rPr>
          <w:rFonts w:ascii="Arial" w:cs="Arial" w:eastAsia="Arial" w:hAnsi="Arial"/>
          <w:sz w:val="17"/>
          <w:szCs w:val="17"/>
          <w:color w:val="auto"/>
        </w:rPr>
        <w:t>Pentair plc (the “Parent Company Guarantor”) and PISG (the “Subsidiary Guarantor”), fully and unconditionally, guarantee the Notes of PFSA (the “Subsidiary Issuer”). The Subsidiary Guarantor is a Switzerland limited liability company and 100 percent-owned subsidiary of the Parent Company Guarantor. The Subsidiary Issuer is a Luxembourg private limited liability company and 100 percent-owned subsidiary of the Subsidiary Guarantor. The guarantees provided by the Parent Company Guarantor and Subsidiary Guarantor are joint and several.</w:t>
      </w:r>
    </w:p>
    <w:p>
      <w:pPr>
        <w:spacing w:after="0" w:line="12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following supplemental financial information sets forth the Company’s Condensed Consolidating Statements of Operations and Comprehensive Income (Loss), Condensed Consolidating Balance Sheets and Condensed Consolidating Statements of Cash Flows by relevant group within the Company: Pentair plc and PISG as the guarantors, PFSA as issuer of the debt and all other non-guarantor subsidiaries. Condensed consolidating financial information for Pentair plc, PISG and PFSA on a stand-alone basis is presented using the equity method of accounting for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1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688.9</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453.3</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453.3</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235.6</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235.6</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4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143.9</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147.3</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(loss) income</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71.0</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67.6</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(Earnings) loss from continuing operations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investment in subsidiaries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170.0</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business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Net interest expense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22"/>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5"/>
              </w:rPr>
              <w:t>Income (loss) from continuing operations</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before income taxes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52.4</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55.4</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56.9</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68.5</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(170.0)</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63.2</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r>
      <w:tr>
        <w:trPr>
          <w:trHeight w:val="218"/>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 from continuing</w:t>
            </w: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34"/>
        </w:trPr>
        <w:tc>
          <w:tcPr>
            <w:tcW w:w="3180" w:type="dxa"/>
            <w:vAlign w:val="bottom"/>
          </w:tcPr>
          <w:p>
            <w:pPr>
              <w:ind w:left="200"/>
              <w:spacing w:after="0"/>
              <w:rPr>
                <w:sz w:val="20"/>
                <w:szCs w:val="20"/>
                <w:color w:val="auto"/>
              </w:rPr>
            </w:pPr>
            <w:r>
              <w:rPr>
                <w:rFonts w:ascii="Arial" w:cs="Arial" w:eastAsia="Arial" w:hAnsi="Arial"/>
                <w:sz w:val="18"/>
                <w:szCs w:val="18"/>
                <w:b w:val="1"/>
                <w:bCs w:val="1"/>
                <w:color w:val="auto"/>
              </w:rPr>
              <w:t>operations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52.4</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55.4</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56.9</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57.7</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(170.0)</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52.4</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Loss from discontinued operations, net of</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rPr>
              <w:t>(Loss) earnings from discontinued</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w w:val="93"/>
              </w:rPr>
              <w:t>operations of investment in subsidiaries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w:t>
            </w:r>
          </w:p>
        </w:tc>
      </w:tr>
      <w:tr>
        <w:trPr>
          <w:trHeight w:val="20"/>
        </w:trPr>
        <w:tc>
          <w:tcPr>
            <w:tcW w:w="3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w w:val="90"/>
              </w:rPr>
              <w:t>Comprehensive income (loss), net of tax</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rPr>
              <w:t>Changes in cumulative translation</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adjustment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market value of derivative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2"/>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financial instruments, net of tax</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58.5</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59.3</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54.0</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40"/>
        </w:trPr>
        <w:tc>
          <w:tcPr>
            <w:tcW w:w="3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Company</w:t>
            </w:r>
          </w:p>
        </w:tc>
        <w:tc>
          <w:tcPr>
            <w:tcW w:w="20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Subsidiary</w:t>
            </w:r>
          </w:p>
        </w:tc>
        <w:tc>
          <w:tcPr>
            <w:tcW w:w="20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Subsidiary</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Non-guarantor</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1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540" w:type="dxa"/>
            <w:vAlign w:val="bottom"/>
          </w:tcPr>
          <w:p>
            <w:pPr>
              <w:spacing w:after="0"/>
              <w:rPr>
                <w:sz w:val="20"/>
                <w:szCs w:val="20"/>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Guarantor</w:t>
            </w:r>
          </w:p>
        </w:tc>
        <w:tc>
          <w:tcPr>
            <w:tcW w:w="20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98"/>
              </w:rPr>
              <w:t>Guarantor</w:t>
            </w:r>
          </w:p>
        </w:tc>
        <w:tc>
          <w:tcPr>
            <w:tcW w:w="20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Issuer</w:t>
            </w:r>
          </w:p>
        </w:tc>
        <w:tc>
          <w:tcPr>
            <w:tcW w:w="22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Subsidiaries</w:t>
            </w:r>
          </w:p>
        </w:tc>
        <w:tc>
          <w:tcPr>
            <w:tcW w:w="18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3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b w:val="1"/>
                <w:bCs w:val="1"/>
                <w:color w:val="auto"/>
                <w:w w:val="81"/>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645.7</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645.7</w:t>
            </w: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421.8</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102.0</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105.2</w:t>
            </w:r>
          </w:p>
        </w:tc>
      </w:tr>
      <w:tr>
        <w:trPr>
          <w:trHeight w:val="27"/>
        </w:trPr>
        <w:tc>
          <w:tcPr>
            <w:tcW w:w="3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1,248.3</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1,251.6</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279.1</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279.1</w:t>
            </w: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Investments in subsidiaries</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1,965.9</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2,099.7</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2,740.2</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(6,805.8)</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2,283.0</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2,283.0</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361.5</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361.5</w:t>
            </w: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1,319.5</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813.1</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(1,949.0)</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207.0</w:t>
            </w:r>
          </w:p>
        </w:tc>
      </w:tr>
      <w:tr>
        <w:trPr>
          <w:trHeight w:val="237"/>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assets</w:t>
            </w:r>
          </w:p>
        </w:tc>
        <w:tc>
          <w:tcPr>
            <w:tcW w:w="5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1,989.3</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2,099.7</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4,059.7</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3,457.6</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(8,754.8)</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2,851.5</w:t>
            </w:r>
          </w:p>
        </w:tc>
      </w:tr>
      <w:tr>
        <w:trPr>
          <w:trHeight w:val="27"/>
        </w:trPr>
        <w:tc>
          <w:tcPr>
            <w:tcW w:w="3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2,099.7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4,066.1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4,985.0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(8,761.1)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4,382.2</w:t>
            </w:r>
          </w:p>
        </w:tc>
      </w:tr>
      <w:tr>
        <w:trPr>
          <w:trHeight w:val="20"/>
        </w:trPr>
        <w:tc>
          <w:tcPr>
            <w:tcW w:w="3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500" w:type="dxa"/>
            <w:vAlign w:val="bottom"/>
            <w:tcBorders>
              <w:top w:val="single" w:sz="8" w:color="auto"/>
              <w:bottom w:val="single" w:sz="8" w:color="auto"/>
            </w:tcBorders>
            <w:gridSpan w:val="4"/>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500" w:type="dxa"/>
            <w:vAlign w:val="bottom"/>
            <w:gridSpan w:val="4"/>
          </w:tcPr>
          <w:p>
            <w:pPr>
              <w:jc w:val="center"/>
              <w:ind w:right="550"/>
              <w:spacing w:after="0"/>
              <w:rPr>
                <w:sz w:val="20"/>
                <w:szCs w:val="20"/>
                <w:color w:val="auto"/>
              </w:rPr>
            </w:pPr>
            <w:r>
              <w:rPr>
                <w:rFonts w:ascii="Arial" w:cs="Arial" w:eastAsia="Arial" w:hAnsi="Arial"/>
                <w:sz w:val="18"/>
                <w:szCs w:val="18"/>
                <w:b w:val="1"/>
                <w:bCs w:val="1"/>
                <w:color w:val="auto"/>
                <w:w w:val="92"/>
              </w:rPr>
              <w:t>Liabilities and Equity</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265.3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265.3</w:t>
            </w: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compensation and benefits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35.7</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302.1</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345.8</w:t>
            </w:r>
          </w:p>
        </w:tc>
      </w:tr>
      <w:tr>
        <w:trPr>
          <w:trHeight w:val="27"/>
        </w:trPr>
        <w:tc>
          <w:tcPr>
            <w:tcW w:w="3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661.2</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705.3</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Other liabilities</w:t>
            </w: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1,959.9</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1,167.7</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(1,949.0)</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1,370.7</w:t>
            </w: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rPr>
              <w:t>Pension and other post-retirement</w:t>
            </w: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00" w:type="dxa"/>
            <w:vAlign w:val="bottom"/>
          </w:tcPr>
          <w:p>
            <w:pPr>
              <w:ind w:left="200"/>
              <w:spacing w:after="0"/>
              <w:rPr>
                <w:sz w:val="20"/>
                <w:szCs w:val="20"/>
                <w:color w:val="auto"/>
              </w:rPr>
            </w:pPr>
            <w:r>
              <w:rPr>
                <w:rFonts w:ascii="Arial" w:cs="Arial" w:eastAsia="Arial" w:hAnsi="Arial"/>
                <w:sz w:val="18"/>
                <w:szCs w:val="18"/>
                <w:color w:val="auto"/>
              </w:rPr>
              <w:t>compensation and benefits</w:t>
            </w: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89.8</w:t>
            </w:r>
          </w:p>
        </w:tc>
        <w:tc>
          <w:tcPr>
            <w:tcW w:w="1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89.8</w:t>
            </w: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124.6</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201.3</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221.4</w:t>
            </w:r>
          </w:p>
        </w:tc>
      </w:tr>
      <w:tr>
        <w:trPr>
          <w:trHeight w:val="27"/>
        </w:trPr>
        <w:tc>
          <w:tcPr>
            <w:tcW w:w="3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5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1,966.6</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2,244.6</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(1,955.3)</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2,511.8</w:t>
            </w:r>
          </w:p>
        </w:tc>
      </w:tr>
      <w:tr>
        <w:trPr>
          <w:trHeight w:val="237"/>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Equity</w:t>
            </w:r>
          </w:p>
        </w:tc>
        <w:tc>
          <w:tcPr>
            <w:tcW w:w="5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1,870.4</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1,965.9</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2,099.5</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2,740.4</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(6,805.8)</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1,870.4</w:t>
            </w:r>
          </w:p>
        </w:tc>
      </w:tr>
      <w:tr>
        <w:trPr>
          <w:trHeight w:val="27"/>
        </w:trPr>
        <w:tc>
          <w:tcPr>
            <w:tcW w:w="3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2,099.7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4,066.1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4,985.0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(8,761.1)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4,382.2</w:t>
            </w:r>
          </w:p>
        </w:tc>
      </w:tr>
      <w:tr>
        <w:trPr>
          <w:trHeight w:val="20"/>
        </w:trPr>
        <w:tc>
          <w:tcPr>
            <w:tcW w:w="3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818"/>
        </w:trPr>
        <w:tc>
          <w:tcPr>
            <w:tcW w:w="3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center"/>
              <w:ind w:left="310"/>
              <w:spacing w:after="0"/>
              <w:rPr>
                <w:sz w:val="20"/>
                <w:szCs w:val="20"/>
                <w:color w:val="auto"/>
              </w:rPr>
            </w:pPr>
            <w:r>
              <w:rPr>
                <w:rFonts w:ascii="Arial" w:cs="Arial" w:eastAsia="Arial" w:hAnsi="Arial"/>
                <w:sz w:val="18"/>
                <w:szCs w:val="18"/>
                <w:color w:val="auto"/>
                <w:w w:val="89"/>
              </w:rPr>
              <w:t>22</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center"/>
              <w:ind w:right="99"/>
              <w:spacing w:after="0"/>
              <w:rPr>
                <w:sz w:val="20"/>
                <w:szCs w:val="20"/>
                <w:color w:val="auto"/>
              </w:rPr>
            </w:pPr>
            <w:r>
              <w:rPr>
                <w:rFonts w:ascii="Arial" w:cs="Arial" w:eastAsia="Arial" w:hAnsi="Arial"/>
                <w:sz w:val="16"/>
                <w:szCs w:val="16"/>
                <w:b w:val="1"/>
                <w:bCs w:val="1"/>
                <w:color w:val="auto"/>
                <w:w w:val="92"/>
              </w:rPr>
              <w:t>Parent</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3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Company</w:t>
            </w:r>
          </w:p>
        </w:tc>
        <w:tc>
          <w:tcPr>
            <w:tcW w:w="240" w:type="dxa"/>
            <w:vAlign w:val="bottom"/>
          </w:tcPr>
          <w:p>
            <w:pPr>
              <w:spacing w:after="0"/>
              <w:rPr>
                <w:sz w:val="17"/>
                <w:szCs w:val="17"/>
                <w:color w:val="auto"/>
              </w:rPr>
            </w:pPr>
          </w:p>
        </w:tc>
        <w:tc>
          <w:tcPr>
            <w:tcW w:w="1160" w:type="dxa"/>
            <w:vAlign w:val="bottom"/>
          </w:tcPr>
          <w:p>
            <w:pPr>
              <w:jc w:val="right"/>
              <w:ind w:right="239"/>
              <w:spacing w:after="0"/>
              <w:rPr>
                <w:sz w:val="20"/>
                <w:szCs w:val="20"/>
                <w:color w:val="auto"/>
              </w:rPr>
            </w:pPr>
            <w:r>
              <w:rPr>
                <w:rFonts w:ascii="Arial" w:cs="Arial" w:eastAsia="Arial" w:hAnsi="Arial"/>
                <w:sz w:val="16"/>
                <w:szCs w:val="16"/>
                <w:b w:val="1"/>
                <w:bCs w:val="1"/>
                <w:color w:val="auto"/>
              </w:rPr>
              <w:t>Subsidiary</w:t>
            </w:r>
          </w:p>
        </w:tc>
        <w:tc>
          <w:tcPr>
            <w:tcW w:w="220" w:type="dxa"/>
            <w:vAlign w:val="bottom"/>
          </w:tcPr>
          <w:p>
            <w:pPr>
              <w:spacing w:after="0"/>
              <w:rPr>
                <w:sz w:val="17"/>
                <w:szCs w:val="17"/>
                <w:color w:val="auto"/>
              </w:rPr>
            </w:pPr>
          </w:p>
        </w:tc>
        <w:tc>
          <w:tcPr>
            <w:tcW w:w="1160" w:type="dxa"/>
            <w:vAlign w:val="bottom"/>
          </w:tcPr>
          <w:p>
            <w:pPr>
              <w:jc w:val="right"/>
              <w:ind w:right="219"/>
              <w:spacing w:after="0"/>
              <w:rPr>
                <w:sz w:val="20"/>
                <w:szCs w:val="20"/>
                <w:color w:val="auto"/>
              </w:rPr>
            </w:pPr>
            <w:r>
              <w:rPr>
                <w:rFonts w:ascii="Arial" w:cs="Arial" w:eastAsia="Arial" w:hAnsi="Arial"/>
                <w:sz w:val="16"/>
                <w:szCs w:val="16"/>
                <w:b w:val="1"/>
                <w:bCs w:val="1"/>
                <w:color w:val="auto"/>
              </w:rPr>
              <w:t>Subsidiary</w:t>
            </w:r>
          </w:p>
        </w:tc>
        <w:tc>
          <w:tcPr>
            <w:tcW w:w="14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w w:val="93"/>
              </w:rPr>
              <w:t>Non-guarantor</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210"/>
        </w:trPr>
        <w:tc>
          <w:tcPr>
            <w:tcW w:w="3160" w:type="dxa"/>
            <w:vAlign w:val="bottom"/>
          </w:tcPr>
          <w:p>
            <w:pPr>
              <w:ind w:left="40"/>
              <w:spacing w:after="0"/>
              <w:rPr>
                <w:sz w:val="20"/>
                <w:szCs w:val="20"/>
                <w:color w:val="auto"/>
              </w:rPr>
            </w:pPr>
            <w:r>
              <w:rPr>
                <w:rFonts w:ascii="Arial" w:cs="Arial" w:eastAsia="Arial" w:hAnsi="Arial"/>
                <w:sz w:val="16"/>
                <w:szCs w:val="16"/>
                <w:i w:val="1"/>
                <w:iCs w:val="1"/>
                <w:color w:val="auto"/>
              </w:rPr>
              <w:t>In millions</w:t>
            </w:r>
          </w:p>
        </w:tc>
        <w:tc>
          <w:tcPr>
            <w:tcW w:w="260" w:type="dxa"/>
            <w:vAlign w:val="bottom"/>
          </w:tcPr>
          <w:p>
            <w:pPr>
              <w:spacing w:after="0"/>
              <w:rPr>
                <w:sz w:val="18"/>
                <w:szCs w:val="18"/>
                <w:color w:val="auto"/>
              </w:rPr>
            </w:pPr>
          </w:p>
        </w:tc>
        <w:tc>
          <w:tcPr>
            <w:tcW w:w="1160" w:type="dxa"/>
            <w:vAlign w:val="bottom"/>
          </w:tcPr>
          <w:p>
            <w:pPr>
              <w:jc w:val="center"/>
              <w:ind w:right="99"/>
              <w:spacing w:after="0"/>
              <w:rPr>
                <w:sz w:val="20"/>
                <w:szCs w:val="20"/>
                <w:color w:val="auto"/>
              </w:rPr>
            </w:pPr>
            <w:r>
              <w:rPr>
                <w:rFonts w:ascii="Arial" w:cs="Arial" w:eastAsia="Arial" w:hAnsi="Arial"/>
                <w:sz w:val="16"/>
                <w:szCs w:val="16"/>
                <w:b w:val="1"/>
                <w:bCs w:val="1"/>
                <w:color w:val="auto"/>
                <w:w w:val="95"/>
              </w:rPr>
              <w:t>Guarantor</w:t>
            </w:r>
          </w:p>
        </w:tc>
        <w:tc>
          <w:tcPr>
            <w:tcW w:w="240" w:type="dxa"/>
            <w:vAlign w:val="bottom"/>
          </w:tcPr>
          <w:p>
            <w:pPr>
              <w:spacing w:after="0"/>
              <w:rPr>
                <w:sz w:val="18"/>
                <w:szCs w:val="18"/>
                <w:color w:val="auto"/>
              </w:rPr>
            </w:pPr>
          </w:p>
        </w:tc>
        <w:tc>
          <w:tcPr>
            <w:tcW w:w="1160" w:type="dxa"/>
            <w:vAlign w:val="bottom"/>
          </w:tcPr>
          <w:p>
            <w:pPr>
              <w:jc w:val="right"/>
              <w:ind w:right="239"/>
              <w:spacing w:after="0"/>
              <w:rPr>
                <w:sz w:val="20"/>
                <w:szCs w:val="20"/>
                <w:color w:val="auto"/>
              </w:rPr>
            </w:pPr>
            <w:r>
              <w:rPr>
                <w:rFonts w:ascii="Arial" w:cs="Arial" w:eastAsia="Arial" w:hAnsi="Arial"/>
                <w:sz w:val="16"/>
                <w:szCs w:val="16"/>
                <w:b w:val="1"/>
                <w:bCs w:val="1"/>
                <w:color w:val="auto"/>
              </w:rPr>
              <w:t>Guarantor</w:t>
            </w:r>
          </w:p>
        </w:tc>
        <w:tc>
          <w:tcPr>
            <w:tcW w:w="220" w:type="dxa"/>
            <w:vAlign w:val="bottom"/>
          </w:tcPr>
          <w:p>
            <w:pPr>
              <w:spacing w:after="0"/>
              <w:rPr>
                <w:sz w:val="18"/>
                <w:szCs w:val="18"/>
                <w:color w:val="auto"/>
              </w:rPr>
            </w:pPr>
          </w:p>
        </w:tc>
        <w:tc>
          <w:tcPr>
            <w:tcW w:w="1160" w:type="dxa"/>
            <w:vAlign w:val="bottom"/>
          </w:tcPr>
          <w:p>
            <w:pPr>
              <w:jc w:val="right"/>
              <w:ind w:right="379"/>
              <w:spacing w:after="0"/>
              <w:rPr>
                <w:sz w:val="20"/>
                <w:szCs w:val="20"/>
                <w:color w:val="auto"/>
              </w:rPr>
            </w:pPr>
            <w:r>
              <w:rPr>
                <w:rFonts w:ascii="Arial" w:cs="Arial" w:eastAsia="Arial" w:hAnsi="Arial"/>
                <w:sz w:val="16"/>
                <w:szCs w:val="16"/>
                <w:b w:val="1"/>
                <w:bCs w:val="1"/>
                <w:color w:val="auto"/>
              </w:rPr>
              <w:t>Issuer</w:t>
            </w:r>
          </w:p>
        </w:tc>
        <w:tc>
          <w:tcPr>
            <w:tcW w:w="14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Subsidiaries</w:t>
            </w:r>
          </w:p>
        </w:tc>
        <w:tc>
          <w:tcPr>
            <w:tcW w:w="200" w:type="dxa"/>
            <w:vAlign w:val="bottom"/>
          </w:tcPr>
          <w:p>
            <w:pPr>
              <w:spacing w:after="0"/>
              <w:rPr>
                <w:sz w:val="18"/>
                <w:szCs w:val="18"/>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b w:val="1"/>
                <w:bCs w:val="1"/>
                <w:color w:val="auto"/>
                <w:w w:val="96"/>
              </w:rPr>
              <w:t>Eliminations</w:t>
            </w:r>
          </w:p>
        </w:tc>
        <w:tc>
          <w:tcPr>
            <w:tcW w:w="180" w:type="dxa"/>
            <w:vAlign w:val="bottom"/>
          </w:tcPr>
          <w:p>
            <w:pPr>
              <w:spacing w:after="0"/>
              <w:rPr>
                <w:sz w:val="18"/>
                <w:szCs w:val="18"/>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33"/>
        </w:trPr>
        <w:tc>
          <w:tcPr>
            <w:tcW w:w="3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0"/>
        </w:trPr>
        <w:tc>
          <w:tcPr>
            <w:tcW w:w="3160" w:type="dxa"/>
            <w:vAlign w:val="bottom"/>
          </w:tcPr>
          <w:p>
            <w:pPr>
              <w:ind w:left="380"/>
              <w:spacing w:after="0"/>
              <w:rPr>
                <w:sz w:val="20"/>
                <w:szCs w:val="20"/>
                <w:color w:val="auto"/>
              </w:rPr>
            </w:pPr>
            <w:r>
              <w:rPr>
                <w:rFonts w:ascii="Arial" w:cs="Arial" w:eastAsia="Arial" w:hAnsi="Arial"/>
                <w:sz w:val="16"/>
                <w:szCs w:val="16"/>
                <w:color w:val="auto"/>
                <w:w w:val="93"/>
              </w:rPr>
              <w:t>Net cash provided by (used for) operating</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3160" w:type="dxa"/>
            <w:vAlign w:val="bottom"/>
          </w:tcPr>
          <w:p>
            <w:pPr>
              <w:ind w:left="540"/>
              <w:spacing w:after="0"/>
              <w:rPr>
                <w:sz w:val="20"/>
                <w:szCs w:val="20"/>
                <w:color w:val="auto"/>
              </w:rPr>
            </w:pPr>
            <w:r>
              <w:rPr>
                <w:rFonts w:ascii="Arial" w:cs="Arial" w:eastAsia="Arial" w:hAnsi="Arial"/>
                <w:sz w:val="16"/>
                <w:szCs w:val="16"/>
                <w:color w:val="auto"/>
              </w:rPr>
              <w:t>activities</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(31.8)</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57.1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54.6</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(172.8)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(163.4)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(256.3)</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4"/>
        </w:trPr>
        <w:tc>
          <w:tcPr>
            <w:tcW w:w="316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(16.8)</w:t>
            </w: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(16.8)</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rPr>
              <w:t>Proceeds from sale of property and equipment</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r>
      <w:tr>
        <w:trPr>
          <w:trHeight w:val="224"/>
        </w:trPr>
        <w:tc>
          <w:tcPr>
            <w:tcW w:w="3160" w:type="dxa"/>
            <w:vAlign w:val="bottom"/>
          </w:tcPr>
          <w:p>
            <w:pPr>
              <w:ind w:left="40"/>
              <w:spacing w:after="0"/>
              <w:rPr>
                <w:sz w:val="20"/>
                <w:szCs w:val="20"/>
                <w:color w:val="auto"/>
              </w:rPr>
            </w:pPr>
            <w:r>
              <w:rPr>
                <w:rFonts w:ascii="Arial" w:cs="Arial" w:eastAsia="Arial" w:hAnsi="Arial"/>
                <w:sz w:val="16"/>
                <w:szCs w:val="16"/>
                <w:color w:val="auto"/>
              </w:rPr>
              <w:t>Proceeds from the sale of businesses</w:t>
            </w:r>
          </w:p>
        </w:tc>
        <w:tc>
          <w:tcPr>
            <w:tcW w:w="2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0.7</w:t>
            </w: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0.7</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Acquisitions, net of cash acquired</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(287.2)</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(287.2)</w:t>
            </w:r>
          </w:p>
        </w:tc>
      </w:tr>
      <w:tr>
        <w:trPr>
          <w:trHeight w:val="224"/>
        </w:trPr>
        <w:tc>
          <w:tcPr>
            <w:tcW w:w="3160" w:type="dxa"/>
            <w:vAlign w:val="bottom"/>
          </w:tcPr>
          <w:p>
            <w:pPr>
              <w:ind w:left="40"/>
              <w:spacing w:after="0"/>
              <w:rPr>
                <w:sz w:val="20"/>
                <w:szCs w:val="20"/>
                <w:color w:val="auto"/>
              </w:rPr>
            </w:pPr>
            <w:r>
              <w:rPr>
                <w:rFonts w:ascii="Arial" w:cs="Arial" w:eastAsia="Arial" w:hAnsi="Arial"/>
                <w:sz w:val="16"/>
                <w:szCs w:val="16"/>
                <w:color w:val="auto"/>
              </w:rPr>
              <w:t>Net intercompany loan activity</w:t>
            </w:r>
          </w:p>
        </w:tc>
        <w:tc>
          <w:tcPr>
            <w:tcW w:w="2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(627.8)</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(21.9)</w:t>
            </w: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649.7</w:t>
            </w:r>
          </w:p>
        </w:tc>
        <w:tc>
          <w:tcPr>
            <w:tcW w:w="18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2"/>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316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w w:val="94"/>
              </w:rPr>
              <w:t>Net cash provided by (used for) investing</w:t>
            </w: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06"/>
        </w:trPr>
        <w:tc>
          <w:tcPr>
            <w:tcW w:w="3160" w:type="dxa"/>
            <w:vAlign w:val="bottom"/>
          </w:tcPr>
          <w:p>
            <w:pPr>
              <w:ind w:left="540"/>
              <w:spacing w:after="0"/>
              <w:rPr>
                <w:sz w:val="20"/>
                <w:szCs w:val="20"/>
                <w:color w:val="auto"/>
              </w:rPr>
            </w:pPr>
            <w:r>
              <w:rPr>
                <w:rFonts w:ascii="Arial" w:cs="Arial" w:eastAsia="Arial" w:hAnsi="Arial"/>
                <w:sz w:val="16"/>
                <w:szCs w:val="16"/>
                <w:color w:val="auto"/>
              </w:rPr>
              <w:t>activities</w:t>
            </w:r>
          </w:p>
        </w:tc>
        <w:tc>
          <w:tcPr>
            <w:tcW w:w="26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(627.8)</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(326.4)</w:t>
            </w:r>
          </w:p>
        </w:tc>
        <w:tc>
          <w:tcPr>
            <w:tcW w:w="20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649.7</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(304.5)</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0"/>
        </w:trPr>
        <w:tc>
          <w:tcPr>
            <w:tcW w:w="3160" w:type="dxa"/>
            <w:vAlign w:val="bottom"/>
          </w:tcPr>
          <w:p>
            <w:pPr>
              <w:ind w:left="40"/>
              <w:spacing w:after="0"/>
              <w:rPr>
                <w:sz w:val="20"/>
                <w:szCs w:val="20"/>
                <w:color w:val="auto"/>
              </w:rPr>
            </w:pPr>
            <w:r>
              <w:rPr>
                <w:rFonts w:ascii="Arial" w:cs="Arial" w:eastAsia="Arial" w:hAnsi="Arial"/>
                <w:sz w:val="16"/>
                <w:szCs w:val="16"/>
                <w:color w:val="auto"/>
                <w:w w:val="92"/>
              </w:rPr>
              <w:t>Net receipts (repayments) of commercial paper</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3160" w:type="dxa"/>
            <w:vAlign w:val="bottom"/>
          </w:tcPr>
          <w:p>
            <w:pPr>
              <w:ind w:left="200"/>
              <w:spacing w:after="0"/>
              <w:rPr>
                <w:sz w:val="20"/>
                <w:szCs w:val="20"/>
                <w:color w:val="auto"/>
              </w:rPr>
            </w:pPr>
            <w:r>
              <w:rPr>
                <w:rFonts w:ascii="Arial" w:cs="Arial" w:eastAsia="Arial" w:hAnsi="Arial"/>
                <w:sz w:val="16"/>
                <w:szCs w:val="16"/>
                <w:color w:val="auto"/>
              </w:rPr>
              <w:t>and revolving long-term debt</w:t>
            </w:r>
          </w:p>
        </w:tc>
        <w:tc>
          <w:tcPr>
            <w:tcW w:w="26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605.2</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(21.1)</w:t>
            </w:r>
          </w:p>
        </w:tc>
        <w:tc>
          <w:tcPr>
            <w:tcW w:w="20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584.1</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advances to subsidiaries</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56.9</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520.1</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(486.3)</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3160" w:type="dxa"/>
            <w:vAlign w:val="bottom"/>
          </w:tcPr>
          <w:p>
            <w:pPr>
              <w:ind w:left="40"/>
              <w:spacing w:after="0"/>
              <w:rPr>
                <w:sz w:val="20"/>
                <w:szCs w:val="20"/>
                <w:color w:val="auto"/>
              </w:rPr>
            </w:pPr>
            <w:r>
              <w:rPr>
                <w:rFonts w:ascii="Arial" w:cs="Arial" w:eastAsia="Arial" w:hAnsi="Arial"/>
                <w:sz w:val="16"/>
                <w:szCs w:val="16"/>
                <w:color w:val="auto"/>
              </w:rPr>
              <w:t>Shares issued to employees, net of shares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3160" w:type="dxa"/>
            <w:vAlign w:val="bottom"/>
          </w:tcPr>
          <w:p>
            <w:pPr>
              <w:ind w:left="200"/>
              <w:spacing w:after="0"/>
              <w:rPr>
                <w:sz w:val="20"/>
                <w:szCs w:val="20"/>
                <w:color w:val="auto"/>
              </w:rPr>
            </w:pPr>
            <w:r>
              <w:rPr>
                <w:rFonts w:ascii="Arial" w:cs="Arial" w:eastAsia="Arial" w:hAnsi="Arial"/>
                <w:sz w:val="16"/>
                <w:szCs w:val="16"/>
                <w:color w:val="auto"/>
              </w:rPr>
              <w:t>withheld</w:t>
            </w:r>
          </w:p>
        </w:tc>
        <w:tc>
          <w:tcPr>
            <w:tcW w:w="26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24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5.9</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2"/>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paid</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w:t>
            </w:r>
          </w:p>
        </w:tc>
      </w:tr>
      <w:tr>
        <w:trPr>
          <w:trHeight w:val="213"/>
        </w:trPr>
        <w:tc>
          <w:tcPr>
            <w:tcW w:w="316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w w:val="94"/>
              </w:rPr>
              <w:t>Net cash provided by (used for) financing</w:t>
            </w: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06"/>
        </w:trPr>
        <w:tc>
          <w:tcPr>
            <w:tcW w:w="3160" w:type="dxa"/>
            <w:vAlign w:val="bottom"/>
          </w:tcPr>
          <w:p>
            <w:pPr>
              <w:ind w:left="540"/>
              <w:spacing w:after="0"/>
              <w:rPr>
                <w:sz w:val="20"/>
                <w:szCs w:val="20"/>
                <w:color w:val="auto"/>
              </w:rPr>
            </w:pPr>
            <w:r>
              <w:rPr>
                <w:rFonts w:ascii="Arial" w:cs="Arial" w:eastAsia="Arial" w:hAnsi="Arial"/>
                <w:sz w:val="16"/>
                <w:szCs w:val="16"/>
                <w:color w:val="auto"/>
              </w:rPr>
              <w:t>activities</w:t>
            </w:r>
          </w:p>
        </w:tc>
        <w:tc>
          <w:tcPr>
            <w:tcW w:w="26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31.8</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(57.1)</w:t>
            </w:r>
          </w:p>
        </w:tc>
        <w:tc>
          <w:tcPr>
            <w:tcW w:w="2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571.6</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499.0</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(486.3)</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559.0</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0"/>
              </w:rPr>
              <w:t>Effect of exchange rate changes on cash and</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48"/>
        </w:trPr>
        <w:tc>
          <w:tcPr>
            <w:tcW w:w="3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w:t>
            </w:r>
          </w:p>
        </w:tc>
      </w:tr>
      <w:tr>
        <w:trPr>
          <w:trHeight w:val="217"/>
        </w:trPr>
        <w:tc>
          <w:tcPr>
            <w:tcW w:w="31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Change in cash and cash equivalents</w:t>
            </w: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9"/>
              </w:rPr>
              <w:t>Cash and cash equivalents, beginning of</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48"/>
        </w:trPr>
        <w:tc>
          <w:tcPr>
            <w:tcW w:w="3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period</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74.3</w:t>
            </w:r>
          </w:p>
        </w:tc>
      </w:tr>
      <w:tr>
        <w:trPr>
          <w:trHeight w:val="217"/>
        </w:trPr>
        <w:tc>
          <w:tcPr>
            <w:tcW w:w="31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w w:val="98"/>
              </w:rPr>
              <w:t>Cash and cash equivalents, end of period</w:t>
            </w:r>
          </w:p>
        </w:tc>
        <w:tc>
          <w:tcPr>
            <w:tcW w:w="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78.9</w:t>
            </w:r>
          </w:p>
        </w:tc>
      </w:tr>
      <w:tr>
        <w:trPr>
          <w:trHeight w:val="33"/>
        </w:trPr>
        <w:tc>
          <w:tcPr>
            <w:tcW w:w="3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3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1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732.6</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479.3</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479.3</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253.3</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253.3</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4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134.6</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141.8</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(loss) income</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99.9</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92.7</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(Earnings) loss from continuing operations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investment in subsidiaries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208.6</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business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Net interest (income) expense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13.5</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22"/>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5"/>
              </w:rPr>
              <w:t>Income (loss) from continuing operations</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before income taxes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58.4</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65.5</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65.2</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93.0</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(208.6)</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73.5</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18"/>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 from continuing</w:t>
            </w: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34"/>
        </w:trPr>
        <w:tc>
          <w:tcPr>
            <w:tcW w:w="3180" w:type="dxa"/>
            <w:vAlign w:val="bottom"/>
          </w:tcPr>
          <w:p>
            <w:pPr>
              <w:ind w:left="200"/>
              <w:spacing w:after="0"/>
              <w:rPr>
                <w:sz w:val="20"/>
                <w:szCs w:val="20"/>
                <w:color w:val="auto"/>
              </w:rPr>
            </w:pPr>
            <w:r>
              <w:rPr>
                <w:rFonts w:ascii="Arial" w:cs="Arial" w:eastAsia="Arial" w:hAnsi="Arial"/>
                <w:sz w:val="18"/>
                <w:szCs w:val="18"/>
                <w:b w:val="1"/>
                <w:bCs w:val="1"/>
                <w:color w:val="auto"/>
              </w:rPr>
              <w:t>operations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58.4</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65.5</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65.2</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77.9</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(208.6)</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58.4</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Income from discontinued operations, net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tax</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rPr>
              <w:t>Earnings (loss) from discontinued</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w w:val="93"/>
              </w:rPr>
              <w:t>operations of investment in subsidiaries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44.5</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44.5</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44.5</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(133.5)</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102.9</w:t>
            </w:r>
          </w:p>
        </w:tc>
      </w:tr>
      <w:tr>
        <w:trPr>
          <w:trHeight w:val="20"/>
        </w:trPr>
        <w:tc>
          <w:tcPr>
            <w:tcW w:w="3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w w:val="90"/>
              </w:rPr>
              <w:t>Comprehensive income (loss), net of tax</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102.9</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rPr>
              <w:t>Changes in cumulative translation</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adjustment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market value of derivative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2"/>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financial instruments, net of tax</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108.3</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101.5</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872"/>
        </w:trPr>
        <w:tc>
          <w:tcPr>
            <w:tcW w:w="3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Parent</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Company</w:t>
            </w:r>
          </w:p>
        </w:tc>
        <w:tc>
          <w:tcPr>
            <w:tcW w:w="2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Subsidiary</w:t>
            </w:r>
          </w:p>
        </w:tc>
        <w:tc>
          <w:tcPr>
            <w:tcW w:w="2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Subsidiary</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Non-guarantor</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r>
      <w:tr>
        <w:trPr>
          <w:trHeight w:val="234"/>
        </w:trPr>
        <w:tc>
          <w:tcPr>
            <w:tcW w:w="30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460" w:type="dxa"/>
            <w:vAlign w:val="bottom"/>
          </w:tcPr>
          <w:p>
            <w:pPr>
              <w:spacing w:after="0"/>
              <w:rPr>
                <w:sz w:val="20"/>
                <w:szCs w:val="20"/>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Guarantor</w:t>
            </w:r>
          </w:p>
        </w:tc>
        <w:tc>
          <w:tcPr>
            <w:tcW w:w="20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Guarantor</w:t>
            </w:r>
          </w:p>
        </w:tc>
        <w:tc>
          <w:tcPr>
            <w:tcW w:w="20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Issuer</w:t>
            </w:r>
          </w:p>
        </w:tc>
        <w:tc>
          <w:tcPr>
            <w:tcW w:w="20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Subsidiaries</w:t>
            </w:r>
          </w:p>
        </w:tc>
        <w:tc>
          <w:tcPr>
            <w:tcW w:w="20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8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3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center"/>
              <w:ind w:left="550"/>
              <w:spacing w:after="0"/>
              <w:rPr>
                <w:sz w:val="20"/>
                <w:szCs w:val="20"/>
                <w:color w:val="auto"/>
              </w:rPr>
            </w:pPr>
            <w:r>
              <w:rPr>
                <w:rFonts w:ascii="Arial" w:cs="Arial" w:eastAsia="Arial" w:hAnsi="Arial"/>
                <w:sz w:val="18"/>
                <w:szCs w:val="18"/>
                <w:b w:val="1"/>
                <w:bCs w:val="1"/>
                <w:color w:val="auto"/>
                <w:w w:val="81"/>
              </w:rPr>
              <w:t>Assets</w:t>
            </w: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483.6</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488.2</w:t>
            </w: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387.5</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387.5</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99.2</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89.4</w:t>
            </w:r>
          </w:p>
        </w:tc>
      </w:tr>
      <w:tr>
        <w:trPr>
          <w:trHeight w:val="27"/>
        </w:trPr>
        <w:tc>
          <w:tcPr>
            <w:tcW w:w="3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1,044.4</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1,039.4</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272.6</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272.6</w:t>
            </w: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Investments in subsidiaries</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1,903.8</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2,036.1</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2,675.7</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(6,615.6)</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2,072.7</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2,072.7</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276.3</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276.3</w:t>
            </w: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4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696.1</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729.7</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(1,303.6)</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145.5</w:t>
            </w:r>
          </w:p>
        </w:tc>
      </w:tr>
      <w:tr>
        <w:trPr>
          <w:trHeight w:val="237"/>
        </w:trPr>
        <w:tc>
          <w:tcPr>
            <w:tcW w:w="3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assets</w:t>
            </w:r>
          </w:p>
        </w:tc>
        <w:tc>
          <w:tcPr>
            <w:tcW w:w="4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1,927.1</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2,036.1</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3,371.8</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3,078.7</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(7,919.2)</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2,494.5</w:t>
            </w:r>
          </w:p>
        </w:tc>
      </w:tr>
      <w:tr>
        <w:trPr>
          <w:trHeight w:val="27"/>
        </w:trPr>
        <w:tc>
          <w:tcPr>
            <w:tcW w:w="3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2,036.1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3,374.1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4,395.7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(7,934.6)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3,806.5</w:t>
            </w:r>
          </w:p>
        </w:tc>
      </w:tr>
      <w:tr>
        <w:trPr>
          <w:trHeight w:val="20"/>
        </w:trPr>
        <w:tc>
          <w:tcPr>
            <w:tcW w:w="3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2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20" w:type="dxa"/>
            <w:vAlign w:val="bottom"/>
            <w:gridSpan w:val="3"/>
          </w:tcPr>
          <w:p>
            <w:pPr>
              <w:jc w:val="center"/>
              <w:ind w:right="430"/>
              <w:spacing w:after="0"/>
              <w:rPr>
                <w:sz w:val="20"/>
                <w:szCs w:val="20"/>
                <w:color w:val="auto"/>
              </w:rPr>
            </w:pPr>
            <w:r>
              <w:rPr>
                <w:rFonts w:ascii="Arial" w:cs="Arial" w:eastAsia="Arial" w:hAnsi="Arial"/>
                <w:sz w:val="18"/>
                <w:szCs w:val="18"/>
                <w:b w:val="1"/>
                <w:bCs w:val="1"/>
                <w:color w:val="auto"/>
                <w:w w:val="92"/>
              </w:rPr>
              <w:t>Liabilities and Equity</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377.7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378.6</w:t>
            </w: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Employee compensation and benefits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111.7</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47.6</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290.3</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328.4</w:t>
            </w:r>
          </w:p>
        </w:tc>
      </w:tr>
      <w:tr>
        <w:trPr>
          <w:trHeight w:val="27"/>
        </w:trPr>
        <w:tc>
          <w:tcPr>
            <w:tcW w:w="3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779.5</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818.7</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b w:val="1"/>
                <w:bCs w:val="1"/>
                <w:color w:val="auto"/>
              </w:rPr>
              <w:t>Other liabilities</w:t>
            </w: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130.8</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1,333.9</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(1,303.6)</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787.6</w:t>
            </w:r>
          </w:p>
        </w:tc>
      </w:tr>
      <w:tr>
        <w:trPr>
          <w:trHeight w:val="229"/>
        </w:trPr>
        <w:tc>
          <w:tcPr>
            <w:tcW w:w="3040" w:type="dxa"/>
            <w:vAlign w:val="bottom"/>
          </w:tcPr>
          <w:p>
            <w:pPr>
              <w:ind w:left="40"/>
              <w:spacing w:after="0"/>
              <w:rPr>
                <w:sz w:val="20"/>
                <w:szCs w:val="20"/>
                <w:color w:val="auto"/>
              </w:rPr>
            </w:pPr>
            <w:r>
              <w:rPr>
                <w:rFonts w:ascii="Arial" w:cs="Arial" w:eastAsia="Arial" w:hAnsi="Arial"/>
                <w:sz w:val="18"/>
                <w:szCs w:val="18"/>
                <w:color w:val="auto"/>
              </w:rPr>
              <w:t>Pension and other post-retirement</w:t>
            </w: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040" w:type="dxa"/>
            <w:vAlign w:val="bottom"/>
          </w:tcPr>
          <w:p>
            <w:pPr>
              <w:ind w:left="200"/>
              <w:spacing w:after="0"/>
              <w:rPr>
                <w:sz w:val="20"/>
                <w:szCs w:val="20"/>
                <w:color w:val="auto"/>
              </w:rPr>
            </w:pPr>
            <w:r>
              <w:rPr>
                <w:rFonts w:ascii="Arial" w:cs="Arial" w:eastAsia="Arial" w:hAnsi="Arial"/>
                <w:sz w:val="18"/>
                <w:szCs w:val="18"/>
                <w:color w:val="auto"/>
              </w:rPr>
              <w:t>compensation and benefits</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90.0</w:t>
            </w:r>
          </w:p>
        </w:tc>
        <w:tc>
          <w:tcPr>
            <w:tcW w:w="20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90.0</w:t>
            </w: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105.9</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147.7</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168.2</w:t>
            </w:r>
          </w:p>
        </w:tc>
      </w:tr>
      <w:tr>
        <w:trPr>
          <w:trHeight w:val="27"/>
        </w:trPr>
        <w:tc>
          <w:tcPr>
            <w:tcW w:w="3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4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132.3</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1,338.3</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1,719.7</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(1,319.0)</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1,970.4</w:t>
            </w:r>
          </w:p>
        </w:tc>
      </w:tr>
      <w:tr>
        <w:trPr>
          <w:trHeight w:val="237"/>
        </w:trPr>
        <w:tc>
          <w:tcPr>
            <w:tcW w:w="30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Equity</w:t>
            </w:r>
          </w:p>
        </w:tc>
        <w:tc>
          <w:tcPr>
            <w:tcW w:w="4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1,836.1</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1,903.8</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2,035.8</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2,676.0</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(6,615.6)</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1,836.1</w:t>
            </w:r>
          </w:p>
        </w:tc>
      </w:tr>
      <w:tr>
        <w:trPr>
          <w:trHeight w:val="27"/>
        </w:trPr>
        <w:tc>
          <w:tcPr>
            <w:tcW w:w="3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2,036.1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3,374.1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4,395.7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(7,934.6)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3,806.5</w:t>
            </w:r>
          </w:p>
        </w:tc>
      </w:tr>
      <w:tr>
        <w:trPr>
          <w:trHeight w:val="20"/>
        </w:trPr>
        <w:tc>
          <w:tcPr>
            <w:tcW w:w="3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3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center"/>
              <w:ind w:left="730"/>
              <w:spacing w:after="0"/>
              <w:rPr>
                <w:sz w:val="20"/>
                <w:szCs w:val="20"/>
                <w:color w:val="auto"/>
              </w:rPr>
            </w:pPr>
            <w:r>
              <w:rPr>
                <w:rFonts w:ascii="Arial" w:cs="Arial" w:eastAsia="Arial" w:hAnsi="Arial"/>
                <w:sz w:val="18"/>
                <w:szCs w:val="18"/>
                <w:color w:val="auto"/>
                <w:w w:val="89"/>
              </w:rPr>
              <w:t>25</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March 31, 2018</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center"/>
              <w:ind w:right="139"/>
              <w:spacing w:after="0"/>
              <w:rPr>
                <w:sz w:val="20"/>
                <w:szCs w:val="20"/>
                <w:color w:val="auto"/>
              </w:rPr>
            </w:pPr>
            <w:r>
              <w:rPr>
                <w:rFonts w:ascii="Arial" w:cs="Arial" w:eastAsia="Arial" w:hAnsi="Arial"/>
                <w:sz w:val="16"/>
                <w:szCs w:val="16"/>
                <w:b w:val="1"/>
                <w:bCs w:val="1"/>
                <w:color w:val="auto"/>
                <w:w w:val="92"/>
              </w:rPr>
              <w:t>Parent</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Company</w:t>
            </w:r>
          </w:p>
        </w:tc>
        <w:tc>
          <w:tcPr>
            <w:tcW w:w="220" w:type="dxa"/>
            <w:vAlign w:val="bottom"/>
          </w:tcPr>
          <w:p>
            <w:pPr>
              <w:spacing w:after="0"/>
              <w:rPr>
                <w:sz w:val="17"/>
                <w:szCs w:val="17"/>
                <w:color w:val="auto"/>
              </w:rPr>
            </w:pPr>
          </w:p>
        </w:tc>
        <w:tc>
          <w:tcPr>
            <w:tcW w:w="1160" w:type="dxa"/>
            <w:vAlign w:val="bottom"/>
          </w:tcPr>
          <w:p>
            <w:pPr>
              <w:jc w:val="right"/>
              <w:ind w:right="219"/>
              <w:spacing w:after="0"/>
              <w:rPr>
                <w:sz w:val="20"/>
                <w:szCs w:val="20"/>
                <w:color w:val="auto"/>
              </w:rPr>
            </w:pPr>
            <w:r>
              <w:rPr>
                <w:rFonts w:ascii="Arial" w:cs="Arial" w:eastAsia="Arial" w:hAnsi="Arial"/>
                <w:sz w:val="16"/>
                <w:szCs w:val="16"/>
                <w:b w:val="1"/>
                <w:bCs w:val="1"/>
                <w:color w:val="auto"/>
              </w:rPr>
              <w:t>Subsidiary</w:t>
            </w:r>
          </w:p>
        </w:tc>
        <w:tc>
          <w:tcPr>
            <w:tcW w:w="240" w:type="dxa"/>
            <w:vAlign w:val="bottom"/>
          </w:tcPr>
          <w:p>
            <w:pPr>
              <w:spacing w:after="0"/>
              <w:rPr>
                <w:sz w:val="17"/>
                <w:szCs w:val="17"/>
                <w:color w:val="auto"/>
              </w:rPr>
            </w:pP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Subsidiary</w:t>
            </w:r>
          </w:p>
        </w:tc>
        <w:tc>
          <w:tcPr>
            <w:tcW w:w="16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w w:val="93"/>
              </w:rPr>
              <w:t>Non-guarantor</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210"/>
        </w:trPr>
        <w:tc>
          <w:tcPr>
            <w:tcW w:w="3100" w:type="dxa"/>
            <w:vAlign w:val="bottom"/>
          </w:tcPr>
          <w:p>
            <w:pPr>
              <w:ind w:left="40"/>
              <w:spacing w:after="0"/>
              <w:rPr>
                <w:sz w:val="20"/>
                <w:szCs w:val="20"/>
                <w:color w:val="auto"/>
              </w:rPr>
            </w:pPr>
            <w:r>
              <w:rPr>
                <w:rFonts w:ascii="Arial" w:cs="Arial" w:eastAsia="Arial" w:hAnsi="Arial"/>
                <w:sz w:val="16"/>
                <w:szCs w:val="16"/>
                <w:i w:val="1"/>
                <w:iCs w:val="1"/>
                <w:color w:val="auto"/>
              </w:rPr>
              <w:t>In millions</w:t>
            </w:r>
          </w:p>
        </w:tc>
        <w:tc>
          <w:tcPr>
            <w:tcW w:w="220" w:type="dxa"/>
            <w:vAlign w:val="bottom"/>
          </w:tcPr>
          <w:p>
            <w:pPr>
              <w:spacing w:after="0"/>
              <w:rPr>
                <w:sz w:val="18"/>
                <w:szCs w:val="18"/>
                <w:color w:val="auto"/>
              </w:rPr>
            </w:pPr>
          </w:p>
        </w:tc>
        <w:tc>
          <w:tcPr>
            <w:tcW w:w="1160" w:type="dxa"/>
            <w:vAlign w:val="bottom"/>
          </w:tcPr>
          <w:p>
            <w:pPr>
              <w:jc w:val="center"/>
              <w:ind w:right="139"/>
              <w:spacing w:after="0"/>
              <w:rPr>
                <w:sz w:val="20"/>
                <w:szCs w:val="20"/>
                <w:color w:val="auto"/>
              </w:rPr>
            </w:pPr>
            <w:r>
              <w:rPr>
                <w:rFonts w:ascii="Arial" w:cs="Arial" w:eastAsia="Arial" w:hAnsi="Arial"/>
                <w:sz w:val="16"/>
                <w:szCs w:val="16"/>
                <w:b w:val="1"/>
                <w:bCs w:val="1"/>
                <w:color w:val="auto"/>
                <w:w w:val="95"/>
              </w:rPr>
              <w:t>Guarantor</w:t>
            </w:r>
          </w:p>
        </w:tc>
        <w:tc>
          <w:tcPr>
            <w:tcW w:w="220" w:type="dxa"/>
            <w:vAlign w:val="bottom"/>
          </w:tcPr>
          <w:p>
            <w:pPr>
              <w:spacing w:after="0"/>
              <w:rPr>
                <w:sz w:val="18"/>
                <w:szCs w:val="18"/>
                <w:color w:val="auto"/>
              </w:rPr>
            </w:pPr>
          </w:p>
        </w:tc>
        <w:tc>
          <w:tcPr>
            <w:tcW w:w="1160" w:type="dxa"/>
            <w:vAlign w:val="bottom"/>
          </w:tcPr>
          <w:p>
            <w:pPr>
              <w:jc w:val="right"/>
              <w:ind w:right="219"/>
              <w:spacing w:after="0"/>
              <w:rPr>
                <w:sz w:val="20"/>
                <w:szCs w:val="20"/>
                <w:color w:val="auto"/>
              </w:rPr>
            </w:pPr>
            <w:r>
              <w:rPr>
                <w:rFonts w:ascii="Arial" w:cs="Arial" w:eastAsia="Arial" w:hAnsi="Arial"/>
                <w:sz w:val="16"/>
                <w:szCs w:val="16"/>
                <w:b w:val="1"/>
                <w:bCs w:val="1"/>
                <w:color w:val="auto"/>
              </w:rPr>
              <w:t>Guarantor</w:t>
            </w:r>
          </w:p>
        </w:tc>
        <w:tc>
          <w:tcPr>
            <w:tcW w:w="240" w:type="dxa"/>
            <w:vAlign w:val="bottom"/>
          </w:tcPr>
          <w:p>
            <w:pPr>
              <w:spacing w:after="0"/>
              <w:rPr>
                <w:sz w:val="18"/>
                <w:szCs w:val="18"/>
                <w:color w:val="auto"/>
              </w:rPr>
            </w:pPr>
          </w:p>
        </w:tc>
        <w:tc>
          <w:tcPr>
            <w:tcW w:w="1140" w:type="dxa"/>
            <w:vAlign w:val="bottom"/>
          </w:tcPr>
          <w:p>
            <w:pPr>
              <w:jc w:val="right"/>
              <w:ind w:right="379"/>
              <w:spacing w:after="0"/>
              <w:rPr>
                <w:sz w:val="20"/>
                <w:szCs w:val="20"/>
                <w:color w:val="auto"/>
              </w:rPr>
            </w:pPr>
            <w:r>
              <w:rPr>
                <w:rFonts w:ascii="Arial" w:cs="Arial" w:eastAsia="Arial" w:hAnsi="Arial"/>
                <w:sz w:val="16"/>
                <w:szCs w:val="16"/>
                <w:b w:val="1"/>
                <w:bCs w:val="1"/>
                <w:color w:val="auto"/>
              </w:rPr>
              <w:t>Issuer</w:t>
            </w:r>
          </w:p>
        </w:tc>
        <w:tc>
          <w:tcPr>
            <w:tcW w:w="16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Subsidiaries</w:t>
            </w:r>
          </w:p>
        </w:tc>
        <w:tc>
          <w:tcPr>
            <w:tcW w:w="180" w:type="dxa"/>
            <w:vAlign w:val="bottom"/>
          </w:tcPr>
          <w:p>
            <w:pPr>
              <w:spacing w:after="0"/>
              <w:rPr>
                <w:sz w:val="18"/>
                <w:szCs w:val="18"/>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b w:val="1"/>
                <w:bCs w:val="1"/>
                <w:color w:val="auto"/>
                <w:w w:val="96"/>
              </w:rPr>
              <w:t>Eliminations</w:t>
            </w:r>
          </w:p>
        </w:tc>
        <w:tc>
          <w:tcPr>
            <w:tcW w:w="220" w:type="dxa"/>
            <w:vAlign w:val="bottom"/>
          </w:tcPr>
          <w:p>
            <w:pPr>
              <w:spacing w:after="0"/>
              <w:rPr>
                <w:sz w:val="18"/>
                <w:szCs w:val="18"/>
                <w:color w:val="auto"/>
              </w:rPr>
            </w:pPr>
          </w:p>
        </w:tc>
        <w:tc>
          <w:tcPr>
            <w:tcW w:w="126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33"/>
        </w:trPr>
        <w:tc>
          <w:tcPr>
            <w:tcW w:w="3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0"/>
        </w:trPr>
        <w:tc>
          <w:tcPr>
            <w:tcW w:w="3100" w:type="dxa"/>
            <w:vAlign w:val="bottom"/>
          </w:tcPr>
          <w:p>
            <w:pPr>
              <w:ind w:left="380"/>
              <w:spacing w:after="0"/>
              <w:rPr>
                <w:sz w:val="20"/>
                <w:szCs w:val="20"/>
                <w:color w:val="auto"/>
              </w:rPr>
            </w:pPr>
            <w:r>
              <w:rPr>
                <w:rFonts w:ascii="Arial" w:cs="Arial" w:eastAsia="Arial" w:hAnsi="Arial"/>
                <w:sz w:val="16"/>
                <w:szCs w:val="16"/>
                <w:color w:val="auto"/>
              </w:rPr>
              <w:t>Net cash provided by (used for)</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100" w:type="dxa"/>
            <w:vAlign w:val="bottom"/>
          </w:tcPr>
          <w:p>
            <w:pPr>
              <w:ind w:left="540"/>
              <w:spacing w:after="0"/>
              <w:rPr>
                <w:sz w:val="20"/>
                <w:szCs w:val="20"/>
                <w:color w:val="auto"/>
              </w:rPr>
            </w:pPr>
            <w:r>
              <w:rPr>
                <w:rFonts w:ascii="Arial" w:cs="Arial" w:eastAsia="Arial" w:hAnsi="Arial"/>
                <w:sz w:val="16"/>
                <w:szCs w:val="16"/>
                <w:color w:val="auto"/>
              </w:rPr>
              <w:t>operating activities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82.8</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111.6</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109.3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(475.6)</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(167.6)</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(11.5)</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2"/>
              </w:rPr>
              <w:t>Proceeds from sale of property and equipment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color w:val="auto"/>
              </w:rPr>
              <w:t>Proceeds from sale of businesses, net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(13.8)</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(13.8)</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Acquisitions, net of cash acquired</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color w:val="auto"/>
              </w:rPr>
              <w:t>Net intercompany loan activity</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(262.6)</w:t>
            </w: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103.1</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161.4</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3"/>
        </w:trPr>
        <w:tc>
          <w:tcPr>
            <w:tcW w:w="3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cash provided by (used for)</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3"/>
        </w:trPr>
        <w:tc>
          <w:tcPr>
            <w:tcW w:w="31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investing activities of continuing</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9"/>
        </w:trPr>
        <w:tc>
          <w:tcPr>
            <w:tcW w:w="3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operations</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(262.6)</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76.9</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161.4</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w:t>
            </w:r>
          </w:p>
        </w:tc>
      </w:tr>
      <w:tr>
        <w:trPr>
          <w:trHeight w:val="220"/>
        </w:trPr>
        <w:tc>
          <w:tcPr>
            <w:tcW w:w="3100" w:type="dxa"/>
            <w:vAlign w:val="bottom"/>
          </w:tcPr>
          <w:p>
            <w:pPr>
              <w:ind w:left="380"/>
              <w:spacing w:after="0"/>
              <w:rPr>
                <w:sz w:val="20"/>
                <w:szCs w:val="20"/>
                <w:color w:val="auto"/>
              </w:rPr>
            </w:pPr>
            <w:r>
              <w:rPr>
                <w:rFonts w:ascii="Arial" w:cs="Arial" w:eastAsia="Arial" w:hAnsi="Arial"/>
                <w:sz w:val="16"/>
                <w:szCs w:val="16"/>
                <w:color w:val="auto"/>
              </w:rPr>
              <w:t>Net cash provided by (used for)</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3"/>
        </w:trPr>
        <w:tc>
          <w:tcPr>
            <w:tcW w:w="3100" w:type="dxa"/>
            <w:vAlign w:val="bottom"/>
          </w:tcPr>
          <w:p>
            <w:pPr>
              <w:ind w:left="540"/>
              <w:spacing w:after="0"/>
              <w:rPr>
                <w:sz w:val="20"/>
                <w:szCs w:val="20"/>
                <w:color w:val="auto"/>
              </w:rPr>
            </w:pPr>
            <w:r>
              <w:rPr>
                <w:rFonts w:ascii="Arial" w:cs="Arial" w:eastAsia="Arial" w:hAnsi="Arial"/>
                <w:sz w:val="16"/>
                <w:szCs w:val="16"/>
                <w:color w:val="auto"/>
              </w:rPr>
              <w:t>investing activities of discontinued</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6"/>
        </w:trPr>
        <w:tc>
          <w:tcPr>
            <w:tcW w:w="3100" w:type="dxa"/>
            <w:vAlign w:val="bottom"/>
          </w:tcPr>
          <w:p>
            <w:pPr>
              <w:ind w:left="540"/>
              <w:spacing w:after="0"/>
              <w:rPr>
                <w:sz w:val="20"/>
                <w:szCs w:val="20"/>
                <w:color w:val="auto"/>
              </w:rPr>
            </w:pPr>
            <w:r>
              <w:rPr>
                <w:rFonts w:ascii="Arial" w:cs="Arial" w:eastAsia="Arial" w:hAnsi="Arial"/>
                <w:sz w:val="16"/>
                <w:szCs w:val="16"/>
                <w:color w:val="auto"/>
              </w:rPr>
              <w:t>operations</w:t>
            </w:r>
          </w:p>
        </w:tc>
        <w:tc>
          <w:tcPr>
            <w:tcW w:w="2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33"/>
        </w:trPr>
        <w:tc>
          <w:tcPr>
            <w:tcW w:w="3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3"/>
        </w:trPr>
        <w:tc>
          <w:tcPr>
            <w:tcW w:w="3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cash provided by (used for)</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9"/>
        </w:trPr>
        <w:tc>
          <w:tcPr>
            <w:tcW w:w="3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investing activities</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(262.6)</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71.9</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161.4</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w:t>
            </w: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repayments of commercial paper and</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revolving long-term debt</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223.8</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193.7</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417.5</w:t>
            </w: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color w:val="auto"/>
              </w:rPr>
              <w:t>Net change in advances to subsidiaries</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129.8</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(109.7)</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(91.6)</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(242.7)</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314.2</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issued to employees, net of shares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withheld</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color w:val="auto"/>
              </w:rPr>
              <w:t>Repurchases of ordinary shares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(150.0)</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(150.0)</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2"/>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paid</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(63.3)</w:t>
            </w:r>
          </w:p>
        </w:tc>
      </w:tr>
      <w:tr>
        <w:trPr>
          <w:trHeight w:val="213"/>
        </w:trPr>
        <w:tc>
          <w:tcPr>
            <w:tcW w:w="310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Net cash provided by (used for)</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03"/>
        </w:trPr>
        <w:tc>
          <w:tcPr>
            <w:tcW w:w="3100" w:type="dxa"/>
            <w:vAlign w:val="bottom"/>
          </w:tcPr>
          <w:p>
            <w:pPr>
              <w:ind w:left="540"/>
              <w:spacing w:after="0"/>
              <w:rPr>
                <w:sz w:val="20"/>
                <w:szCs w:val="20"/>
                <w:color w:val="auto"/>
              </w:rPr>
            </w:pPr>
            <w:r>
              <w:rPr>
                <w:rFonts w:ascii="Arial" w:cs="Arial" w:eastAsia="Arial" w:hAnsi="Arial"/>
                <w:sz w:val="16"/>
                <w:szCs w:val="16"/>
                <w:color w:val="auto"/>
              </w:rPr>
              <w:t>financing activities of continuing</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6"/>
        </w:trPr>
        <w:tc>
          <w:tcPr>
            <w:tcW w:w="3100" w:type="dxa"/>
            <w:vAlign w:val="bottom"/>
          </w:tcPr>
          <w:p>
            <w:pPr>
              <w:ind w:left="540"/>
              <w:spacing w:after="0"/>
              <w:rPr>
                <w:sz w:val="20"/>
                <w:szCs w:val="20"/>
                <w:color w:val="auto"/>
              </w:rPr>
            </w:pPr>
            <w:r>
              <w:rPr>
                <w:rFonts w:ascii="Arial" w:cs="Arial" w:eastAsia="Arial" w:hAnsi="Arial"/>
                <w:sz w:val="16"/>
                <w:szCs w:val="16"/>
                <w:color w:val="auto"/>
              </w:rPr>
              <w:t>operations</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(82.6)</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(109.7)</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132.2</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(49.0)</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314.2</w:t>
            </w:r>
          </w:p>
        </w:tc>
        <w:tc>
          <w:tcPr>
            <w:tcW w:w="2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205.1</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310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4"/>
              </w:rPr>
              <w:t>Net cash provided by financing activities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44"/>
        </w:trPr>
        <w:tc>
          <w:tcPr>
            <w:tcW w:w="3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of discontinued operations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792.7</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792.7</w:t>
            </w:r>
          </w:p>
        </w:tc>
      </w:tr>
      <w:tr>
        <w:trPr>
          <w:trHeight w:val="213"/>
        </w:trPr>
        <w:tc>
          <w:tcPr>
            <w:tcW w:w="310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Net cash provided by (used for)</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06"/>
        </w:trPr>
        <w:tc>
          <w:tcPr>
            <w:tcW w:w="3100" w:type="dxa"/>
            <w:vAlign w:val="bottom"/>
          </w:tcPr>
          <w:p>
            <w:pPr>
              <w:ind w:left="540"/>
              <w:spacing w:after="0"/>
              <w:rPr>
                <w:sz w:val="20"/>
                <w:szCs w:val="20"/>
                <w:color w:val="auto"/>
              </w:rPr>
            </w:pPr>
            <w:r>
              <w:rPr>
                <w:rFonts w:ascii="Arial" w:cs="Arial" w:eastAsia="Arial" w:hAnsi="Arial"/>
                <w:sz w:val="16"/>
                <w:szCs w:val="16"/>
                <w:color w:val="auto"/>
              </w:rPr>
              <w:t>financing activities</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(82.6)</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(109.7)</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132.2</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743.7</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314.2</w:t>
            </w:r>
          </w:p>
        </w:tc>
        <w:tc>
          <w:tcPr>
            <w:tcW w:w="2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997.8</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cash held for sale</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(809.7)</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(809.7)</w:t>
            </w:r>
          </w:p>
        </w:tc>
      </w:tr>
      <w:tr>
        <w:trPr>
          <w:trHeight w:val="216"/>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w w:val="88"/>
              </w:rPr>
              <w:t>Effect of exchange rate changes on cash and</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3100" w:type="dxa"/>
            <w:vAlign w:val="bottom"/>
          </w:tcPr>
          <w:p>
            <w:pPr>
              <w:ind w:left="200"/>
              <w:spacing w:after="0"/>
              <w:rPr>
                <w:sz w:val="20"/>
                <w:szCs w:val="20"/>
                <w:color w:val="auto"/>
              </w:rPr>
            </w:pPr>
            <w:r>
              <w:rPr>
                <w:rFonts w:ascii="Arial" w:cs="Arial" w:eastAsia="Arial" w:hAnsi="Arial"/>
                <w:sz w:val="16"/>
                <w:szCs w:val="16"/>
                <w:b w:val="1"/>
                <w:bCs w:val="1"/>
                <w:color w:val="auto"/>
              </w:rPr>
              <w:t>cash equivalents</w:t>
            </w:r>
          </w:p>
        </w:tc>
        <w:tc>
          <w:tcPr>
            <w:tcW w:w="2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21.1</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(25.9)</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33"/>
        </w:trPr>
        <w:tc>
          <w:tcPr>
            <w:tcW w:w="3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cash and cash equivalents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r>
      <w:tr>
        <w:trPr>
          <w:trHeight w:val="216"/>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w w:val="97"/>
              </w:rPr>
              <w:t>Cash and cash equivalents, beginning of</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3100" w:type="dxa"/>
            <w:vAlign w:val="bottom"/>
          </w:tcPr>
          <w:p>
            <w:pPr>
              <w:ind w:left="200"/>
              <w:spacing w:after="0"/>
              <w:rPr>
                <w:sz w:val="20"/>
                <w:szCs w:val="20"/>
                <w:color w:val="auto"/>
              </w:rPr>
            </w:pPr>
            <w:r>
              <w:rPr>
                <w:rFonts w:ascii="Arial" w:cs="Arial" w:eastAsia="Arial" w:hAnsi="Arial"/>
                <w:sz w:val="16"/>
                <w:szCs w:val="16"/>
                <w:b w:val="1"/>
                <w:bCs w:val="1"/>
                <w:color w:val="auto"/>
              </w:rPr>
              <w:t>period</w:t>
            </w:r>
          </w:p>
        </w:tc>
        <w:tc>
          <w:tcPr>
            <w:tcW w:w="2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86.3</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86.3</w:t>
            </w:r>
          </w:p>
        </w:tc>
      </w:tr>
      <w:tr>
        <w:trPr>
          <w:trHeight w:val="33"/>
        </w:trPr>
        <w:tc>
          <w:tcPr>
            <w:tcW w:w="3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5"/>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6"/>
              </w:rPr>
              <w:t>Cash and cash equivalents, end of period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70.8</w:t>
            </w:r>
          </w:p>
        </w:tc>
      </w:tr>
      <w:tr>
        <w:trPr>
          <w:trHeight w:val="20"/>
        </w:trPr>
        <w:tc>
          <w:tcPr>
            <w:tcW w:w="3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3"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This report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“positioned,” “strategy,” “future” or words, phrases or terms of similar substance or the negative thereof,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overall global economic and business conditions impacting our business, including the strength of housing and related markets; demand, competition and pricing pressures in the markets we serve; volatility in currency exchange rates; failure of markets to accept new product introductions and enhancements; the ability to successfully identify, finance, complete and integrate acquisitions; the ability to successfully integrate the Aquion, Inc. (“Aquion”) and Pelican Water Systems (“Pelican”) acquisitions; the ability to achieve the benefits of our restructuring plans and cost reduction initiatives; risks associated with operating foreign businesses; the impact of material cost and other inflation; the impact of seasonality of sales and weather conditions; our ability to comply with laws and regulations; the impact of changes in laws, regulations and administrative policy, including those that limit U.S. tax benefits or impact trade agreements and tariffs; the outcome of litigation and governmental proceedings; the ability to realize the anticipated benefits from the Separation (as defined below); and the ability to achieve our long-term strategic operating goals. Additional information concerning these and other factors is contained in our filings with the U.S. Securities and Exchange Commission (the “SEC”), including this Quarterly Report on Form 10-Q. All forward-looking statements speak only as of the date of this report. Pentair assumes no obligation, and disclaims any obligation, to update the information contained in this report.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terms “us,” “we,” “our” or “Pentair” refer to Pentair plc and its consolidated subsidiaries. At Pentair, we believe the health of our world depends on reliable access to clean water. We deliver a comprehensive range of smart, sustainable water solutions to homes, business and industry around the world. Our industry leading and proven portfolio of solutions enables our customers to access clean, safe water, reduce water consumption, and recover and reuse it. Whether it’s improving, moving or helping people enjoy water, we help manage the world’s most precious resource. We are comprised of three reporting segments: Aquatic Systems, Filtration Solutions and Flow Technologies. For the first three months of 2019, the Aquatic Systems, Filtration Solutions and Flow Technologies segments represented approximately 32%, 35% and 33% of total revenues, respectively. We classify our operations into business segments based primarily on types of products offered and markets served:</w:t>
      </w:r>
    </w:p>
    <w:p>
      <w:pPr>
        <w:spacing w:after="0" w:line="133" w:lineRule="exact"/>
        <w:rPr>
          <w:sz w:val="20"/>
          <w:szCs w:val="20"/>
          <w:color w:val="auto"/>
        </w:rPr>
      </w:pPr>
    </w:p>
    <w:p>
      <w:pPr>
        <w:ind w:left="660" w:right="600" w:hanging="328"/>
        <w:spacing w:after="0" w:line="302" w:lineRule="auto"/>
        <w:tabs>
          <w:tab w:leader="none" w:pos="6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Aquatic Systems </w:t>
      </w:r>
      <w:r>
        <w:rPr>
          <w:rFonts w:ascii="Arial" w:cs="Arial" w:eastAsia="Arial" w:hAnsi="Arial"/>
          <w:sz w:val="21"/>
          <w:szCs w:val="2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manufactures and sells a complete line of energy-efficient residential and commercial pool equipment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accessories including pumps, filters, heaters, lights, automatic controls, automatic cleaners, maintenance equipment and pool accessories. Applications for our Aquatic Systems products include residential and commercial pool maintenance, pool repair, renovation, service and construction and aquaculture solutions.</w:t>
      </w:r>
    </w:p>
    <w:p>
      <w:pPr>
        <w:spacing w:after="0" w:line="116" w:lineRule="exact"/>
        <w:rPr>
          <w:rFonts w:ascii="Arial" w:cs="Arial" w:eastAsia="Arial" w:hAnsi="Arial"/>
          <w:sz w:val="18"/>
          <w:szCs w:val="18"/>
          <w:b w:val="1"/>
          <w:bCs w:val="1"/>
          <w:i w:val="1"/>
          <w:iCs w:val="1"/>
          <w:color w:val="auto"/>
        </w:rPr>
      </w:pPr>
    </w:p>
    <w:p>
      <w:pPr>
        <w:ind w:left="660" w:right="60" w:hanging="328"/>
        <w:spacing w:after="0" w:line="30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Filtration Solutions </w:t>
      </w:r>
      <w:r>
        <w:rPr>
          <w:rFonts w:ascii="Arial" w:cs="Arial" w:eastAsia="Arial" w:hAnsi="Arial"/>
          <w:sz w:val="21"/>
          <w:szCs w:val="2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manufactures and sells water and fluid treatment products and systems, including pressure tanks and vessels,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valves, activated carbon products, conventional filtration products, point-of-entry and point-of-use systems, gas recovery solutions, membrane bioreactors, wastewater reuse systems and advanced membrane filtration and separation systems into the global residential, industrial and commercial markets. These products are used in a range of applications, including use in fluid filtration, ion exchange, desalination, food and beverage, food service and separation technologies for the oil and gas industry.</w:t>
      </w:r>
    </w:p>
    <w:p>
      <w:pPr>
        <w:spacing w:after="0" w:line="117" w:lineRule="exact"/>
        <w:rPr>
          <w:rFonts w:ascii="Arial" w:cs="Arial" w:eastAsia="Arial" w:hAnsi="Arial"/>
          <w:sz w:val="18"/>
          <w:szCs w:val="18"/>
          <w:color w:val="auto"/>
        </w:rPr>
      </w:pPr>
    </w:p>
    <w:p>
      <w:pPr>
        <w:ind w:left="660" w:right="40" w:hanging="328"/>
        <w:spacing w:after="0" w:line="30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Flow Technologies </w:t>
      </w:r>
      <w:r>
        <w:rPr>
          <w:rFonts w:ascii="Arial" w:cs="Arial" w:eastAsia="Arial" w:hAnsi="Arial"/>
          <w:sz w:val="21"/>
          <w:szCs w:val="2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manufactures and sells products ranging from light-duty diaphragm pumps to high-flow turbine pumps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solid handling pumps while serving the global residential, commercial and industrial markets. These pumps are used in a range of applications, including residential and municipal wells, water treatment, wastewater solids handling, pressure boosting, fluid delivery, circulation and transfer, fire suppression, flood control, agricultural irrigation and crop spray.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April 30, 2018, we completed the previously announced separation of our Electrical business from the rest of Pentair (the “Separation”) by means of a dividend in specie of the Electrical business, which was effected by the transfer of the Electrical business from Pentair to nVent and the issuance by nVent of nVent ordinary shares directly to Pentair shareholders (the “Distribution”). We did not retain an equity interest in nVent. The results of the Electrical business have been presented as discontinued operations for all periods presented. The Electrical business was previously disclosed as a stand-alone reporting segment.</w:t>
      </w:r>
    </w:p>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February 2019, as part of Filtration Solutions, we completed the acquisitions of Aquion and Pelican for $164.7 million and $122.5 million in cash, net of cash acquired, respectively. Aquion offers a diverse line of water conditioners, water filters, drinking-water purifiers, ozone and ultraviolet disinfection systems, reverse osmosis systems and acid neutralizers for the residential and commercial water treatment industry. Pelican provides residential whole home water treatment systems.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Trends and Uncertainties Regarding Our Existing Business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trends and uncertainties affected our financial performance in the first three months of 2019 and may impact our results in the future:</w:t>
      </w:r>
    </w:p>
    <w:p>
      <w:pPr>
        <w:spacing w:after="0" w:line="168" w:lineRule="exact"/>
        <w:rPr>
          <w:sz w:val="20"/>
          <w:szCs w:val="20"/>
          <w:color w:val="auto"/>
        </w:rPr>
      </w:pPr>
    </w:p>
    <w:p>
      <w:pPr>
        <w:ind w:left="660" w:right="60" w:hanging="328"/>
        <w:spacing w:after="0" w:line="255"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Wet and cold weather delayed pool construction activity in several key markets during the three months ended March 31, 2019. In addition, we have seen moderating growth in several of our end markets, primarily in our Filtration Solutions end markets in Europe. We have not seen any significant changes in demand trends within the important Aquatic Systems markets. The inclement weather also impacted our higher margin Specialty Ag Spray business within our Flow Technologies segment. As a result of slower sell-through during the first quarter of 2019, inventory levels were not reduced to the levels we originally anticipated. We expect inventory levels in the channel to come down as stronger sell-through resumes in the second and third quarters of 2019. Our financial results for future quarters may be negatively impacted if stronger inventory sell-through or end market growth does not resume in future quarters.</w:t>
      </w:r>
    </w:p>
    <w:p>
      <w:pPr>
        <w:spacing w:after="0" w:line="135" w:lineRule="exact"/>
        <w:rPr>
          <w:rFonts w:ascii="Arial" w:cs="Arial" w:eastAsia="Arial" w:hAnsi="Arial"/>
          <w:sz w:val="18"/>
          <w:szCs w:val="18"/>
          <w:color w:val="auto"/>
        </w:rPr>
      </w:pPr>
    </w:p>
    <w:p>
      <w:pPr>
        <w:ind w:left="660" w:right="160" w:hanging="328"/>
        <w:spacing w:after="0" w:line="31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have identified specific product and geographic market opportunities that we find attractive and continue to pursue, both within and outside the U.S. We are reinforcing our businesses to more effectively address these opportunities through research and development and additional sales and marketing resources. Unless we successfully penetrate these markets, our core sales growth will likely be limited or may decline.</w:t>
      </w:r>
    </w:p>
    <w:p>
      <w:pPr>
        <w:spacing w:after="0" w:line="92" w:lineRule="exact"/>
        <w:rPr>
          <w:rFonts w:ascii="Arial" w:cs="Arial" w:eastAsia="Arial" w:hAnsi="Arial"/>
          <w:sz w:val="16"/>
          <w:szCs w:val="16"/>
          <w:color w:val="auto"/>
        </w:rPr>
      </w:pPr>
    </w:p>
    <w:p>
      <w:pPr>
        <w:ind w:left="6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experienced material and other cost inflation. We strive for productivity improvements, and we implement increases in selling prices to help mitigate this inflation. We expect the current economic environment will result in continuing price volatility for many of our raw materials, and we are uncertain as to the timing and impact of these market changes.</w:t>
      </w:r>
    </w:p>
    <w:p>
      <w:pPr>
        <w:spacing w:after="0" w:line="127" w:lineRule="exact"/>
        <w:rPr>
          <w:rFonts w:ascii="Arial" w:cs="Arial" w:eastAsia="Arial" w:hAnsi="Arial"/>
          <w:sz w:val="18"/>
          <w:szCs w:val="18"/>
          <w:color w:val="auto"/>
        </w:rPr>
      </w:pPr>
    </w:p>
    <w:p>
      <w:pPr>
        <w:ind w:left="660" w:right="48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Proposed regulations as part of the Tax Cuts and Jobs Act, enacted in the U.S. in December 2017, may place limitations on the deductibility of certain interest expense for U.S. tax purposes. These proposed regulations could materially adversely affect our financial condition, results of operations, cash flows or our effective tax rate in future reporting periods when enacted.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2019, our operating objectives include the following:</w:t>
      </w:r>
    </w:p>
    <w:p>
      <w:pPr>
        <w:spacing w:after="0" w:line="171" w:lineRule="exact"/>
        <w:rPr>
          <w:sz w:val="20"/>
          <w:szCs w:val="20"/>
          <w:color w:val="auto"/>
        </w:rPr>
      </w:pPr>
    </w:p>
    <w:p>
      <w:pPr>
        <w:ind w:left="660" w:right="6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Accelerating the Pentair Integrated Management System (“PIMS”), with specific focus on the area of commercial excellence and acquisition integrations;</w:t>
      </w:r>
    </w:p>
    <w:p>
      <w:pPr>
        <w:spacing w:after="0" w:line="116"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Delivering our growth priorities through new products and global and market expansion, specifically in the areas of pool and residential and commercial water treatment especially through acquisitions and focus on China and Southeast Asia;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Optimizing our technological capabilities to increasingly generate innovative new products and advance digital transformation;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Building a growth culture and delivering on our commitments while living our Win Right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results of operations for the three months ended March 31, 2019 and March 31, 2018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Three months ended</w:t>
            </w:r>
          </w:p>
        </w:tc>
        <w:tc>
          <w:tcPr>
            <w:tcW w:w="1400" w:type="dxa"/>
            <w:vAlign w:val="bottom"/>
          </w:tcPr>
          <w:p>
            <w:pPr>
              <w:spacing w:after="0"/>
              <w:rPr>
                <w:sz w:val="20"/>
                <w:szCs w:val="20"/>
                <w:color w:val="auto"/>
              </w:rPr>
            </w:pPr>
          </w:p>
        </w:tc>
      </w:tr>
      <w:tr>
        <w:trPr>
          <w:trHeight w:val="27"/>
        </w:trPr>
        <w:tc>
          <w:tcPr>
            <w:tcW w:w="5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8"/>
        </w:trPr>
        <w:tc>
          <w:tcPr>
            <w:tcW w:w="5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8"/>
                <w:szCs w:val="18"/>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8"/>
                <w:szCs w:val="18"/>
                <w:color w:val="auto"/>
              </w:rPr>
            </w:pPr>
          </w:p>
        </w:tc>
        <w:tc>
          <w:tcPr>
            <w:tcW w:w="1260" w:type="dxa"/>
            <w:vAlign w:val="bottom"/>
          </w:tcPr>
          <w:p>
            <w:pPr>
              <w:jc w:val="right"/>
              <w:ind w:right="730"/>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350"/>
              <w:spacing w:after="0"/>
              <w:rPr>
                <w:sz w:val="20"/>
                <w:szCs w:val="20"/>
                <w:color w:val="auto"/>
              </w:rPr>
            </w:pPr>
            <w:r>
              <w:rPr>
                <w:rFonts w:ascii="Arial" w:cs="Arial" w:eastAsia="Arial" w:hAnsi="Arial"/>
                <w:sz w:val="18"/>
                <w:szCs w:val="18"/>
                <w:b w:val="1"/>
                <w:bCs w:val="1"/>
                <w:color w:val="auto"/>
              </w:rPr>
              <w:t>% / Point</w:t>
            </w:r>
          </w:p>
        </w:tc>
      </w:tr>
      <w:tr>
        <w:trPr>
          <w:trHeight w:val="234"/>
        </w:trPr>
        <w:tc>
          <w:tcPr>
            <w:tcW w:w="54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Change</w:t>
            </w:r>
          </w:p>
        </w:tc>
        <w:tc>
          <w:tcPr>
            <w:tcW w:w="1400" w:type="dxa"/>
            <w:vAlign w:val="bottom"/>
          </w:tcPr>
          <w:p>
            <w:pPr>
              <w:jc w:val="right"/>
              <w:ind w:right="390"/>
              <w:spacing w:after="0"/>
              <w:rPr>
                <w:sz w:val="20"/>
                <w:szCs w:val="20"/>
                <w:color w:val="auto"/>
              </w:rPr>
            </w:pPr>
            <w:r>
              <w:rPr>
                <w:rFonts w:ascii="Arial" w:cs="Arial" w:eastAsia="Arial" w:hAnsi="Arial"/>
                <w:sz w:val="18"/>
                <w:szCs w:val="18"/>
                <w:b w:val="1"/>
                <w:bCs w:val="1"/>
                <w:color w:val="auto"/>
              </w:rPr>
              <w:t>Change</w:t>
            </w:r>
          </w:p>
        </w:tc>
      </w:tr>
      <w:tr>
        <w:trPr>
          <w:trHeight w:val="27"/>
        </w:trPr>
        <w:tc>
          <w:tcPr>
            <w:tcW w:w="5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688.9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732.6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(43.7)</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453.3</w:t>
            </w:r>
          </w:p>
        </w:tc>
        <w:tc>
          <w:tcPr>
            <w:tcW w:w="2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479.3</w:t>
            </w:r>
          </w:p>
        </w:tc>
        <w:tc>
          <w:tcPr>
            <w:tcW w:w="24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(26.0)</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(5.4)%</w:t>
            </w:r>
          </w:p>
        </w:tc>
      </w:tr>
      <w:tr>
        <w:trPr>
          <w:trHeight w:val="27"/>
        </w:trPr>
        <w:tc>
          <w:tcPr>
            <w:tcW w:w="5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235.6</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253.3</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(17.7)</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(7.0)%</w:t>
            </w:r>
          </w:p>
        </w:tc>
      </w:tr>
      <w:tr>
        <w:trPr>
          <w:trHeight w:val="243"/>
        </w:trPr>
        <w:tc>
          <w:tcPr>
            <w:tcW w:w="5460" w:type="dxa"/>
            <w:vAlign w:val="bottom"/>
          </w:tcPr>
          <w:p>
            <w:pPr>
              <w:ind w:left="300"/>
              <w:spacing w:after="0"/>
              <w:rPr>
                <w:sz w:val="20"/>
                <w:szCs w:val="20"/>
                <w:color w:val="auto"/>
              </w:rPr>
            </w:pPr>
            <w:r>
              <w:rPr>
                <w:rFonts w:ascii="Arial" w:cs="Arial" w:eastAsia="Arial" w:hAnsi="Arial"/>
                <w:sz w:val="18"/>
                <w:szCs w:val="18"/>
                <w:i w:val="1"/>
                <w:iCs w:val="1"/>
                <w:color w:val="auto"/>
              </w:rPr>
              <w:t>% of net sales</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34.2%</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34.6%</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0" w:type="dxa"/>
            <w:vAlign w:val="bottom"/>
          </w:tcPr>
          <w:p>
            <w:pPr>
              <w:jc w:val="center"/>
              <w:ind w:left="630"/>
              <w:spacing w:after="0"/>
              <w:rPr>
                <w:sz w:val="20"/>
                <w:szCs w:val="20"/>
                <w:color w:val="auto"/>
              </w:rPr>
            </w:pPr>
            <w:r>
              <w:rPr>
                <w:rFonts w:ascii="Arial" w:cs="Arial" w:eastAsia="Arial" w:hAnsi="Arial"/>
                <w:sz w:val="18"/>
                <w:szCs w:val="18"/>
                <w:i w:val="1"/>
                <w:iCs w:val="1"/>
                <w:color w:val="auto"/>
                <w:w w:val="90"/>
              </w:rPr>
              <w:t>(0.4) pts</w:t>
            </w:r>
          </w:p>
        </w:tc>
      </w:tr>
      <w:tr>
        <w:trPr>
          <w:trHeight w:val="27"/>
        </w:trPr>
        <w:tc>
          <w:tcPr>
            <w:tcW w:w="5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0"/>
        </w:trPr>
        <w:tc>
          <w:tcPr>
            <w:tcW w:w="5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147.3</w:t>
            </w:r>
          </w:p>
        </w:tc>
        <w:tc>
          <w:tcPr>
            <w:tcW w:w="2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141.8</w:t>
            </w:r>
          </w:p>
        </w:tc>
        <w:tc>
          <w:tcPr>
            <w:tcW w:w="24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5.5</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3.9 %</w:t>
            </w:r>
          </w:p>
        </w:tc>
      </w:tr>
      <w:tr>
        <w:trPr>
          <w:trHeight w:val="27"/>
        </w:trPr>
        <w:tc>
          <w:tcPr>
            <w:tcW w:w="5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21.4%</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19.4%</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ind w:left="670"/>
              <w:spacing w:after="0"/>
              <w:rPr>
                <w:sz w:val="20"/>
                <w:szCs w:val="20"/>
                <w:color w:val="auto"/>
              </w:rPr>
            </w:pPr>
            <w:r>
              <w:rPr>
                <w:rFonts w:ascii="Arial" w:cs="Arial" w:eastAsia="Arial" w:hAnsi="Arial"/>
                <w:sz w:val="18"/>
                <w:szCs w:val="18"/>
                <w:i w:val="1"/>
                <w:iCs w:val="1"/>
                <w:color w:val="auto"/>
                <w:w w:val="96"/>
              </w:rPr>
              <w:t>2.0 pts</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20.7</w:t>
            </w:r>
          </w:p>
        </w:tc>
        <w:tc>
          <w:tcPr>
            <w:tcW w:w="2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18.8</w:t>
            </w:r>
          </w:p>
        </w:tc>
        <w:tc>
          <w:tcPr>
            <w:tcW w:w="24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1.9</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10.1 %</w:t>
            </w:r>
          </w:p>
        </w:tc>
      </w:tr>
      <w:tr>
        <w:trPr>
          <w:trHeight w:val="27"/>
        </w:trPr>
        <w:tc>
          <w:tcPr>
            <w:tcW w:w="5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3.0%</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2.6%</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ind w:left="670"/>
              <w:spacing w:after="0"/>
              <w:rPr>
                <w:sz w:val="20"/>
                <w:szCs w:val="20"/>
                <w:color w:val="auto"/>
              </w:rPr>
            </w:pPr>
            <w:r>
              <w:rPr>
                <w:rFonts w:ascii="Arial" w:cs="Arial" w:eastAsia="Arial" w:hAnsi="Arial"/>
                <w:sz w:val="18"/>
                <w:szCs w:val="18"/>
                <w:i w:val="1"/>
                <w:iCs w:val="1"/>
                <w:color w:val="auto"/>
                <w:w w:val="96"/>
              </w:rPr>
              <w:t>0.4 pts</w:t>
            </w:r>
          </w:p>
        </w:tc>
      </w:tr>
      <w:tr>
        <w:trPr>
          <w:trHeight w:val="230"/>
        </w:trPr>
        <w:tc>
          <w:tcPr>
            <w:tcW w:w="5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67.6</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92.7</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(25.1)</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(27.1)%</w:t>
            </w:r>
          </w:p>
        </w:tc>
      </w:tr>
      <w:tr>
        <w:trPr>
          <w:trHeight w:val="243"/>
        </w:trPr>
        <w:tc>
          <w:tcPr>
            <w:tcW w:w="5460" w:type="dxa"/>
            <w:vAlign w:val="bottom"/>
          </w:tcPr>
          <w:p>
            <w:pPr>
              <w:ind w:left="300"/>
              <w:spacing w:after="0"/>
              <w:rPr>
                <w:sz w:val="20"/>
                <w:szCs w:val="20"/>
                <w:color w:val="auto"/>
              </w:rPr>
            </w:pPr>
            <w:r>
              <w:rPr>
                <w:rFonts w:ascii="Arial" w:cs="Arial" w:eastAsia="Arial" w:hAnsi="Arial"/>
                <w:sz w:val="18"/>
                <w:szCs w:val="18"/>
                <w:i w:val="1"/>
                <w:iCs w:val="1"/>
                <w:color w:val="auto"/>
              </w:rPr>
              <w:t>% of net sales</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9.8%</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12.7%</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0" w:type="dxa"/>
            <w:vAlign w:val="bottom"/>
          </w:tcPr>
          <w:p>
            <w:pPr>
              <w:jc w:val="center"/>
              <w:ind w:left="630"/>
              <w:spacing w:after="0"/>
              <w:rPr>
                <w:sz w:val="20"/>
                <w:szCs w:val="20"/>
                <w:color w:val="auto"/>
              </w:rPr>
            </w:pPr>
            <w:r>
              <w:rPr>
                <w:rFonts w:ascii="Arial" w:cs="Arial" w:eastAsia="Arial" w:hAnsi="Arial"/>
                <w:sz w:val="18"/>
                <w:szCs w:val="18"/>
                <w:i w:val="1"/>
                <w:iCs w:val="1"/>
                <w:color w:val="auto"/>
                <w:w w:val="90"/>
              </w:rPr>
              <w:t>(2.9) pts</w:t>
            </w:r>
          </w:p>
        </w:tc>
      </w:tr>
      <w:tr>
        <w:trPr>
          <w:trHeight w:val="27"/>
        </w:trPr>
        <w:tc>
          <w:tcPr>
            <w:tcW w:w="5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0"/>
        </w:trPr>
        <w:tc>
          <w:tcPr>
            <w:tcW w:w="5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(Gain) loss on sale of business</w:t>
            </w:r>
          </w:p>
        </w:tc>
        <w:tc>
          <w:tcPr>
            <w:tcW w:w="2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(8.8)</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(166.0)%</w:t>
            </w:r>
          </w:p>
        </w:tc>
      </w:tr>
      <w:tr>
        <w:trPr>
          <w:trHeight w:val="27"/>
        </w:trPr>
        <w:tc>
          <w:tcPr>
            <w:tcW w:w="5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0.4</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50.0 %</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Net interest expense</w:t>
            </w:r>
          </w:p>
        </w:tc>
        <w:tc>
          <w:tcPr>
            <w:tcW w:w="2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(6.2)</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(45.9)%</w:t>
            </w:r>
          </w:p>
        </w:tc>
      </w:tr>
      <w:tr>
        <w:trPr>
          <w:trHeight w:val="27"/>
        </w:trPr>
        <w:tc>
          <w:tcPr>
            <w:tcW w:w="5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0"/>
        </w:trPr>
        <w:tc>
          <w:tcPr>
            <w:tcW w:w="5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63.2</w:t>
            </w:r>
          </w:p>
        </w:tc>
        <w:tc>
          <w:tcPr>
            <w:tcW w:w="2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73.5</w:t>
            </w:r>
          </w:p>
        </w:tc>
        <w:tc>
          <w:tcPr>
            <w:tcW w:w="24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(10.3)</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(14.0)%</w:t>
            </w:r>
          </w:p>
        </w:tc>
      </w:tr>
      <w:tr>
        <w:trPr>
          <w:trHeight w:val="27"/>
        </w:trPr>
        <w:tc>
          <w:tcPr>
            <w:tcW w:w="5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10.8</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15.1</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(4.3)</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(28.5)%</w:t>
            </w:r>
          </w:p>
        </w:tc>
      </w:tr>
      <w:tr>
        <w:trPr>
          <w:trHeight w:val="243"/>
        </w:trPr>
        <w:tc>
          <w:tcPr>
            <w:tcW w:w="5460" w:type="dxa"/>
            <w:vAlign w:val="bottom"/>
          </w:tcPr>
          <w:p>
            <w:pPr>
              <w:ind w:left="300"/>
              <w:spacing w:after="0"/>
              <w:rPr>
                <w:sz w:val="20"/>
                <w:szCs w:val="20"/>
                <w:color w:val="auto"/>
              </w:rPr>
            </w:pPr>
            <w:r>
              <w:rPr>
                <w:rFonts w:ascii="Arial" w:cs="Arial" w:eastAsia="Arial" w:hAnsi="Arial"/>
                <w:sz w:val="18"/>
                <w:szCs w:val="18"/>
                <w:i w:val="1"/>
                <w:iCs w:val="1"/>
                <w:color w:val="auto"/>
              </w:rPr>
              <w:t>Effective tax rate</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17.1%</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20.5%</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0" w:type="dxa"/>
            <w:vAlign w:val="bottom"/>
          </w:tcPr>
          <w:p>
            <w:pPr>
              <w:jc w:val="center"/>
              <w:ind w:left="630"/>
              <w:spacing w:after="0"/>
              <w:rPr>
                <w:sz w:val="20"/>
                <w:szCs w:val="20"/>
                <w:color w:val="auto"/>
              </w:rPr>
            </w:pPr>
            <w:r>
              <w:rPr>
                <w:rFonts w:ascii="Arial" w:cs="Arial" w:eastAsia="Arial" w:hAnsi="Arial"/>
                <w:sz w:val="18"/>
                <w:szCs w:val="18"/>
                <w:i w:val="1"/>
                <w:iCs w:val="1"/>
                <w:color w:val="auto"/>
                <w:w w:val="90"/>
              </w:rPr>
              <w:t>(3.4) pts</w:t>
            </w:r>
          </w:p>
        </w:tc>
      </w:tr>
      <w:tr>
        <w:trPr>
          <w:trHeight w:val="404"/>
        </w:trPr>
        <w:tc>
          <w:tcPr>
            <w:tcW w:w="5460" w:type="dxa"/>
            <w:vAlign w:val="bottom"/>
          </w:tcPr>
          <w:p>
            <w:pPr>
              <w:spacing w:after="0"/>
              <w:rPr>
                <w:sz w:val="20"/>
                <w:szCs w:val="20"/>
                <w:color w:val="auto"/>
              </w:rPr>
            </w:pPr>
            <w:r>
              <w:rPr>
                <w:rFonts w:ascii="Arial" w:cs="Arial" w:eastAsia="Arial" w:hAnsi="Arial"/>
                <w:sz w:val="18"/>
                <w:szCs w:val="18"/>
                <w:b w:val="1"/>
                <w:bCs w:val="1"/>
                <w:i w:val="1"/>
                <w:iCs w:val="1"/>
                <w:color w:val="auto"/>
              </w:rPr>
              <w:t>Net sales</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30"/>
        </w:trPr>
        <w:tc>
          <w:tcPr>
            <w:tcW w:w="6980" w:type="dxa"/>
            <w:vAlign w:val="bottom"/>
            <w:gridSpan w:val="3"/>
          </w:tcPr>
          <w:p>
            <w:pPr>
              <w:spacing w:after="0"/>
              <w:rPr>
                <w:sz w:val="20"/>
                <w:szCs w:val="20"/>
                <w:color w:val="auto"/>
              </w:rPr>
            </w:pPr>
            <w:r>
              <w:rPr>
                <w:rFonts w:ascii="Arial" w:cs="Arial" w:eastAsia="Arial" w:hAnsi="Arial"/>
                <w:sz w:val="18"/>
                <w:szCs w:val="18"/>
                <w:color w:val="auto"/>
                <w:w w:val="95"/>
              </w:rPr>
              <w:t>The components of the consolidated net sales change from the prior period were as follows: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6540" w:type="dxa"/>
            <w:vAlign w:val="bottom"/>
          </w:tcPr>
          <w:p>
            <w:pPr>
              <w:jc w:val="right"/>
              <w:ind w:right="550"/>
              <w:spacing w:after="0"/>
              <w:rPr>
                <w:sz w:val="20"/>
                <w:szCs w:val="20"/>
                <w:color w:val="auto"/>
              </w:rPr>
            </w:pPr>
            <w:r>
              <w:rPr>
                <w:rFonts w:ascii="Arial" w:cs="Arial" w:eastAsia="Arial" w:hAnsi="Arial"/>
                <w:sz w:val="18"/>
                <w:szCs w:val="18"/>
                <w:b w:val="1"/>
                <w:bCs w:val="1"/>
                <w:color w:val="auto"/>
              </w:rPr>
              <w:t>Three months ended March 31, 2019</w:t>
            </w:r>
          </w:p>
        </w:tc>
      </w:tr>
      <w:tr>
        <w:trPr>
          <w:trHeight w:val="270"/>
        </w:trPr>
        <w:tc>
          <w:tcPr>
            <w:tcW w:w="4880" w:type="dxa"/>
            <w:vAlign w:val="bottom"/>
          </w:tcPr>
          <w:p>
            <w:pPr>
              <w:spacing w:after="0"/>
              <w:rPr>
                <w:sz w:val="23"/>
                <w:szCs w:val="23"/>
                <w:color w:val="auto"/>
              </w:rPr>
            </w:pPr>
          </w:p>
        </w:tc>
        <w:tc>
          <w:tcPr>
            <w:tcW w:w="6540" w:type="dxa"/>
            <w:vAlign w:val="bottom"/>
          </w:tcPr>
          <w:p>
            <w:pPr>
              <w:jc w:val="right"/>
              <w:ind w:right="950"/>
              <w:spacing w:after="0"/>
              <w:rPr>
                <w:sz w:val="20"/>
                <w:szCs w:val="20"/>
                <w:color w:val="auto"/>
              </w:rPr>
            </w:pPr>
            <w:r>
              <w:rPr>
                <w:rFonts w:ascii="Arial" w:cs="Arial" w:eastAsia="Arial" w:hAnsi="Arial"/>
                <w:sz w:val="18"/>
                <w:szCs w:val="18"/>
                <w:b w:val="1"/>
                <w:bCs w:val="1"/>
                <w:color w:val="auto"/>
              </w:rPr>
              <w:t>over the prior year period</w:t>
            </w:r>
          </w:p>
        </w:tc>
      </w:tr>
      <w:tr>
        <w:trPr>
          <w:trHeight w:val="27"/>
        </w:trPr>
        <w:tc>
          <w:tcPr>
            <w:tcW w:w="4880" w:type="dxa"/>
            <w:vAlign w:val="bottom"/>
            <w:tcBorders>
              <w:bottom w:val="single" w:sz="8" w:color="auto"/>
            </w:tcBorders>
          </w:tcPr>
          <w:p>
            <w:pPr>
              <w:spacing w:after="0"/>
              <w:rPr>
                <w:sz w:val="2"/>
                <w:szCs w:val="2"/>
                <w:color w:val="auto"/>
              </w:rPr>
            </w:pPr>
          </w:p>
        </w:tc>
        <w:tc>
          <w:tcPr>
            <w:tcW w:w="654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6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Price</w:t>
            </w:r>
          </w:p>
        </w:tc>
        <w:tc>
          <w:tcPr>
            <w:tcW w:w="6540" w:type="dxa"/>
            <w:vAlign w:val="bottom"/>
          </w:tcPr>
          <w:p>
            <w:pPr>
              <w:jc w:val="right"/>
              <w:ind w:right="150"/>
              <w:spacing w:after="0"/>
              <w:rPr>
                <w:sz w:val="20"/>
                <w:szCs w:val="20"/>
                <w:color w:val="auto"/>
              </w:rPr>
            </w:pPr>
            <w:r>
              <w:rPr>
                <w:rFonts w:ascii="Arial" w:cs="Arial" w:eastAsia="Arial" w:hAnsi="Arial"/>
                <w:sz w:val="18"/>
                <w:szCs w:val="18"/>
                <w:color w:val="auto"/>
              </w:rPr>
              <w:t>2.0</w:t>
            </w:r>
          </w:p>
        </w:tc>
      </w:tr>
      <w:tr>
        <w:trPr>
          <w:trHeight w:val="27"/>
        </w:trPr>
        <w:tc>
          <w:tcPr>
            <w:tcW w:w="4880" w:type="dxa"/>
            <w:vAlign w:val="bottom"/>
            <w:tcBorders>
              <w:bottom w:val="single" w:sz="8" w:color="auto"/>
            </w:tcBorders>
          </w:tcPr>
          <w:p>
            <w:pPr>
              <w:spacing w:after="0"/>
              <w:rPr>
                <w:sz w:val="2"/>
                <w:szCs w:val="2"/>
                <w:color w:val="auto"/>
              </w:rPr>
            </w:pPr>
          </w:p>
        </w:tc>
        <w:tc>
          <w:tcPr>
            <w:tcW w:w="654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Core growth</w:t>
            </w:r>
          </w:p>
        </w:tc>
        <w:tc>
          <w:tcPr>
            <w:tcW w:w="6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Acquisition (divestiture)</w:t>
            </w:r>
          </w:p>
        </w:tc>
        <w:tc>
          <w:tcPr>
            <w:tcW w:w="6540" w:type="dxa"/>
            <w:vAlign w:val="bottom"/>
          </w:tcPr>
          <w:p>
            <w:pPr>
              <w:jc w:val="right"/>
              <w:ind w:right="150"/>
              <w:spacing w:after="0"/>
              <w:rPr>
                <w:sz w:val="20"/>
                <w:szCs w:val="20"/>
                <w:color w:val="auto"/>
              </w:rPr>
            </w:pPr>
            <w:r>
              <w:rPr>
                <w:rFonts w:ascii="Arial" w:cs="Arial" w:eastAsia="Arial" w:hAnsi="Arial"/>
                <w:sz w:val="18"/>
                <w:szCs w:val="18"/>
                <w:color w:val="auto"/>
              </w:rPr>
              <w:t>0.6</w:t>
            </w:r>
          </w:p>
        </w:tc>
      </w:tr>
      <w:tr>
        <w:trPr>
          <w:trHeight w:val="27"/>
        </w:trPr>
        <w:tc>
          <w:tcPr>
            <w:tcW w:w="4880" w:type="dxa"/>
            <w:vAlign w:val="bottom"/>
          </w:tcPr>
          <w:p>
            <w:pPr>
              <w:spacing w:after="0"/>
              <w:rPr>
                <w:sz w:val="2"/>
                <w:szCs w:val="2"/>
                <w:color w:val="auto"/>
              </w:rPr>
            </w:pPr>
          </w:p>
        </w:tc>
        <w:tc>
          <w:tcPr>
            <w:tcW w:w="6540" w:type="dxa"/>
            <w:vAlign w:val="bottom"/>
          </w:tcPr>
          <w:p>
            <w:pPr>
              <w:spacing w:after="0"/>
              <w:rPr>
                <w:sz w:val="2"/>
                <w:szCs w:val="2"/>
                <w:color w:val="auto"/>
              </w:rPr>
            </w:pPr>
          </w:p>
        </w:tc>
      </w:tr>
      <w:tr>
        <w:trPr>
          <w:trHeight w:val="275"/>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6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w:t>
            </w:r>
          </w:p>
        </w:tc>
      </w:tr>
      <w:tr>
        <w:trPr>
          <w:trHeight w:val="237"/>
        </w:trPr>
        <w:tc>
          <w:tcPr>
            <w:tcW w:w="48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6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4880" w:type="dxa"/>
            <w:vAlign w:val="bottom"/>
            <w:tcBorders>
              <w:bottom w:val="single" w:sz="8" w:color="auto"/>
            </w:tcBorders>
          </w:tcPr>
          <w:p>
            <w:pPr>
              <w:spacing w:after="0"/>
              <w:rPr>
                <w:sz w:val="2"/>
                <w:szCs w:val="2"/>
                <w:color w:val="auto"/>
              </w:rPr>
            </w:pPr>
          </w:p>
        </w:tc>
        <w:tc>
          <w:tcPr>
            <w:tcW w:w="6540" w:type="dxa"/>
            <w:vAlign w:val="bottom"/>
            <w:tcBorders>
              <w:bottom w:val="single" w:sz="8" w:color="auto"/>
            </w:tcBorders>
          </w:tcPr>
          <w:p>
            <w:pPr>
              <w:spacing w:after="0"/>
              <w:rPr>
                <w:sz w:val="2"/>
                <w:szCs w:val="2"/>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65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6.0 percentage point decrease in net sales in the first quarter of 2019 from 2018 was primarily driven by:</w:t>
      </w:r>
    </w:p>
    <w:p>
      <w:pPr>
        <w:spacing w:after="0" w:line="171" w:lineRule="exact"/>
        <w:rPr>
          <w:sz w:val="20"/>
          <w:szCs w:val="20"/>
          <w:color w:val="auto"/>
        </w:rPr>
      </w:pPr>
    </w:p>
    <w:p>
      <w:pPr>
        <w:ind w:left="500" w:right="540" w:hanging="330"/>
        <w:spacing w:after="0" w:line="27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sales volume in our Aquatic Systems segment and agriculture-related business in our Flow Technologies segment due to cold and wet weather and higher than anticipated inventory levels in some of our key distribution channels; and</w:t>
      </w:r>
    </w:p>
    <w:p>
      <w:pPr>
        <w:spacing w:after="0" w:line="116" w:lineRule="exact"/>
        <w:rPr>
          <w:rFonts w:ascii="Arial" w:cs="Arial" w:eastAsia="Arial" w:hAnsi="Arial"/>
          <w:sz w:val="18"/>
          <w:szCs w:val="18"/>
          <w:color w:val="auto"/>
        </w:rPr>
      </w:pPr>
    </w:p>
    <w:p>
      <w:pPr>
        <w:ind w:left="500" w:hanging="330"/>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unfavorable foreign currency effects for the three months ended March 31,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decrease was partially offset by:</w:t>
      </w:r>
    </w:p>
    <w:p>
      <w:pPr>
        <w:spacing w:after="0" w:line="171" w:lineRule="exact"/>
        <w:rPr>
          <w:sz w:val="20"/>
          <w:szCs w:val="20"/>
          <w:color w:val="auto"/>
        </w:rPr>
      </w:pPr>
    </w:p>
    <w:p>
      <w:pPr>
        <w:ind w:left="500" w:hanging="330"/>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selective increases in selling prices;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the Aquion and Pelican acquisitions.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0.4 percentage point decrease in gross profit as a percentage of sales in the first quarter of 2019 from 2018 was primarily driven by:</w:t>
      </w:r>
    </w:p>
    <w:p>
      <w:pPr>
        <w:spacing w:after="0" w:line="157" w:lineRule="exact"/>
        <w:rPr>
          <w:sz w:val="20"/>
          <w:szCs w:val="20"/>
          <w:color w:val="auto"/>
        </w:rPr>
      </w:pPr>
    </w:p>
    <w:p>
      <w:pPr>
        <w:ind w:left="500" w:hanging="330"/>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mix as a result of a 6.4 percent core growth decrease in the higher margin Aquatic Systems segment;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inflationary increases related to labor costs and certain raw materials.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This decrease was partially offset by:</w:t>
      </w:r>
    </w:p>
    <w:p>
      <w:pPr>
        <w:spacing w:after="0" w:line="171" w:lineRule="exact"/>
        <w:rPr>
          <w:sz w:val="20"/>
          <w:szCs w:val="20"/>
          <w:color w:val="auto"/>
        </w:rPr>
      </w:pPr>
    </w:p>
    <w:p>
      <w:pPr>
        <w:ind w:left="500" w:hanging="330"/>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contribution margin as a result of savings generated from our PIMS initiatives including lean and supply management practices.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expenses (“SG&amp;A”)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2.0 percentage point increase in SG&amp;A as a percentage of sales in the first quarter of 2019 from 2018 was primarily driven by:</w:t>
      </w:r>
    </w:p>
    <w:p>
      <w:pPr>
        <w:spacing w:after="0" w:line="157" w:lineRule="exact"/>
        <w:rPr>
          <w:sz w:val="20"/>
          <w:szCs w:val="20"/>
          <w:color w:val="auto"/>
        </w:rPr>
      </w:pPr>
    </w:p>
    <w:p>
      <w:pPr>
        <w:ind w:left="500" w:hanging="330"/>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one-time asset impairment of $15.3 million;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investment in sales and marketing to drive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increase was partially offset by:</w:t>
      </w:r>
    </w:p>
    <w:p>
      <w:pPr>
        <w:spacing w:after="0" w:line="171" w:lineRule="exact"/>
        <w:rPr>
          <w:sz w:val="20"/>
          <w:szCs w:val="20"/>
          <w:color w:val="auto"/>
        </w:rPr>
      </w:pPr>
    </w:p>
    <w:p>
      <w:pPr>
        <w:ind w:left="500" w:hanging="330"/>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restructuring and other costs of $1.1 million in the first quarter of 2019 compared to $5.6 million in the first quarter of 2018;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savings generated from restructuring and other lean initiatives.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 45.9 percent decrease in net interest expense in the first quarter of 2019 from 2018 was primarily driven by:</w:t>
      </w:r>
    </w:p>
    <w:p>
      <w:pPr>
        <w:spacing w:after="0" w:line="157" w:lineRule="exact"/>
        <w:rPr>
          <w:sz w:val="20"/>
          <w:szCs w:val="20"/>
          <w:color w:val="auto"/>
        </w:rPr>
      </w:pPr>
    </w:p>
    <w:p>
      <w:pPr>
        <w:ind w:left="500" w:right="260" w:hanging="330"/>
        <w:spacing w:after="0" w:line="286"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impact of lower debt levels during the first quarter of 2019, compared to the comparable periods in 2018. In June 2018, the proceeds from the Separation were utilized to repay the remaining $255.3 million aggregate principal amount of our 2.9% fixed rate senior notes due 2018 and for the early extinguishment of €363.4 million aggregate principal amount of our 2.45% senior notes due 2019.</w:t>
      </w:r>
    </w:p>
    <w:p>
      <w:pPr>
        <w:spacing w:after="0" w:line="27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This decrease was partially offset by:</w:t>
      </w:r>
    </w:p>
    <w:p>
      <w:pPr>
        <w:spacing w:after="0" w:line="171" w:lineRule="exact"/>
        <w:rPr>
          <w:sz w:val="20"/>
          <w:szCs w:val="20"/>
          <w:color w:val="auto"/>
        </w:rPr>
      </w:pPr>
    </w:p>
    <w:p>
      <w:pPr>
        <w:ind w:left="500" w:right="20" w:hanging="330"/>
        <w:spacing w:after="0" w:line="277"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expense due to a higher outstanding commercial paper balance in 2019 compared to 2018, which was primarily used to fund the Aquion and Pelican acquisitions.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3.4 percentage point decrease in the effective tax rate in the first quarter of 2019 from 2018 was primarily driven by:</w:t>
      </w:r>
    </w:p>
    <w:p>
      <w:pPr>
        <w:spacing w:after="0" w:line="184" w:lineRule="exact"/>
        <w:rPr>
          <w:sz w:val="20"/>
          <w:szCs w:val="20"/>
          <w:color w:val="auto"/>
        </w:rPr>
      </w:pPr>
    </w:p>
    <w:p>
      <w:pPr>
        <w:ind w:left="560" w:hanging="390"/>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mix of global earnings; and</w:t>
      </w:r>
    </w:p>
    <w:p>
      <w:pPr>
        <w:spacing w:after="0" w:line="211" w:lineRule="exact"/>
        <w:rPr>
          <w:rFonts w:ascii="Arial" w:cs="Arial" w:eastAsia="Arial" w:hAnsi="Arial"/>
          <w:sz w:val="18"/>
          <w:szCs w:val="18"/>
          <w:color w:val="auto"/>
        </w:rPr>
      </w:pPr>
    </w:p>
    <w:p>
      <w:pPr>
        <w:ind w:left="560" w:hanging="390"/>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less nondeductible interest expense in 2019 compared to 2018.</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2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summary that follows provides a discussion of the results of operations of each of our three reportable segments (Aquatic Systems, Filtration Solutions and Flow Technologies). Each of these segments is comprised of various product offerings that serve multiple end users.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evaluate performance based on sales and segment income and use a variety of ratios to measure performance of our reporting segments. Segment income represents equity income of unconsolidated subsidiaries and operating income exclusive of intangible amortization, certain acquisition related expenses, costs of restructuring activities, impairments and other unusual non-operating items.</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121" w:right="29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ind w:left="60"/>
              <w:spacing w:after="0"/>
              <w:rPr>
                <w:sz w:val="20"/>
                <w:szCs w:val="20"/>
                <w:color w:val="auto"/>
              </w:rPr>
            </w:pPr>
            <w:r>
              <w:rPr>
                <w:rFonts w:ascii="Arial" w:cs="Arial" w:eastAsia="Arial" w:hAnsi="Arial"/>
                <w:sz w:val="18"/>
                <w:szCs w:val="18"/>
                <w:b w:val="1"/>
                <w:bCs w:val="1"/>
                <w:color w:val="auto"/>
              </w:rPr>
              <w:t>Aquatic Systems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8"/>
        </w:trPr>
        <w:tc>
          <w:tcPr>
            <w:tcW w:w="6780" w:type="dxa"/>
            <w:vAlign w:val="bottom"/>
          </w:tcPr>
          <w:p>
            <w:pPr>
              <w:spacing w:after="0"/>
              <w:rPr>
                <w:sz w:val="20"/>
                <w:szCs w:val="20"/>
                <w:color w:val="auto"/>
              </w:rPr>
            </w:pPr>
            <w:r>
              <w:rPr>
                <w:rFonts w:ascii="Arial" w:cs="Arial" w:eastAsia="Arial" w:hAnsi="Arial"/>
                <w:sz w:val="18"/>
                <w:szCs w:val="18"/>
                <w:color w:val="auto"/>
              </w:rPr>
              <w:t>The net sales and segment income for Aquatic Systems were as follows: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8"/>
        </w:trPr>
        <w:tc>
          <w:tcPr>
            <w:tcW w:w="6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60" w:type="dxa"/>
            <w:vAlign w:val="bottom"/>
            <w:gridSpan w:val="4"/>
          </w:tcPr>
          <w:p>
            <w:pPr>
              <w:ind w:left="500"/>
              <w:spacing w:after="0"/>
              <w:rPr>
                <w:sz w:val="20"/>
                <w:szCs w:val="20"/>
                <w:color w:val="auto"/>
              </w:rPr>
            </w:pPr>
            <w:r>
              <w:rPr>
                <w:rFonts w:ascii="Arial" w:cs="Arial" w:eastAsia="Arial" w:hAnsi="Arial"/>
                <w:sz w:val="18"/>
                <w:szCs w:val="18"/>
                <w:b w:val="1"/>
                <w:bCs w:val="1"/>
                <w:color w:val="auto"/>
              </w:rPr>
              <w:t>Three months ended</w:t>
            </w:r>
          </w:p>
        </w:tc>
        <w:tc>
          <w:tcPr>
            <w:tcW w:w="1020" w:type="dxa"/>
            <w:vAlign w:val="bottom"/>
          </w:tcPr>
          <w:p>
            <w:pPr>
              <w:spacing w:after="0"/>
              <w:rPr>
                <w:sz w:val="24"/>
                <w:szCs w:val="24"/>
                <w:color w:val="auto"/>
              </w:rPr>
            </w:pPr>
          </w:p>
        </w:tc>
      </w:tr>
      <w:tr>
        <w:trPr>
          <w:trHeight w:val="27"/>
        </w:trPr>
        <w:tc>
          <w:tcPr>
            <w:tcW w:w="67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8"/>
        </w:trPr>
        <w:tc>
          <w:tcPr>
            <w:tcW w:w="6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w w:val="96"/>
              </w:rPr>
              <w:t>March 31,</w:t>
            </w:r>
          </w:p>
        </w:tc>
        <w:tc>
          <w:tcPr>
            <w:tcW w:w="30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 / Point</w:t>
            </w:r>
          </w:p>
        </w:tc>
      </w:tr>
      <w:tr>
        <w:trPr>
          <w:trHeight w:val="234"/>
        </w:trPr>
        <w:tc>
          <w:tcPr>
            <w:tcW w:w="67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27"/>
        </w:trPr>
        <w:tc>
          <w:tcPr>
            <w:tcW w:w="6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220.5</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240.4</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(8.3)%</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3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52.4</w:t>
            </w:r>
          </w:p>
        </w:tc>
        <w:tc>
          <w:tcPr>
            <w:tcW w:w="30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60.0</w:t>
            </w:r>
          </w:p>
        </w:tc>
        <w:tc>
          <w:tcPr>
            <w:tcW w:w="3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(12.7)%</w:t>
            </w:r>
          </w:p>
        </w:tc>
      </w:tr>
      <w:tr>
        <w:trPr>
          <w:trHeight w:val="27"/>
        </w:trPr>
        <w:tc>
          <w:tcPr>
            <w:tcW w:w="6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23.8%</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25.0%</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 pts</w:t>
            </w:r>
          </w:p>
        </w:tc>
      </w:tr>
      <w:tr>
        <w:trPr>
          <w:trHeight w:val="364"/>
        </w:trPr>
        <w:tc>
          <w:tcPr>
            <w:tcW w:w="6780" w:type="dxa"/>
            <w:vAlign w:val="bottom"/>
          </w:tcPr>
          <w:p>
            <w:pPr>
              <w:spacing w:after="0"/>
              <w:rPr>
                <w:sz w:val="20"/>
                <w:szCs w:val="20"/>
                <w:color w:val="auto"/>
              </w:rPr>
            </w:pPr>
            <w:r>
              <w:rPr>
                <w:rFonts w:ascii="Arial" w:cs="Arial" w:eastAsia="Arial" w:hAnsi="Arial"/>
                <w:sz w:val="18"/>
                <w:szCs w:val="18"/>
                <w:b w:val="1"/>
                <w:bCs w:val="1"/>
                <w:i w:val="1"/>
                <w:iCs w:val="1"/>
                <w:color w:val="auto"/>
              </w:rPr>
              <w:t>Net sales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0"/>
        </w:trPr>
        <w:tc>
          <w:tcPr>
            <w:tcW w:w="7140" w:type="dxa"/>
            <w:vAlign w:val="bottom"/>
            <w:gridSpan w:val="2"/>
          </w:tcPr>
          <w:p>
            <w:pPr>
              <w:spacing w:after="0"/>
              <w:rPr>
                <w:sz w:val="20"/>
                <w:szCs w:val="20"/>
                <w:color w:val="auto"/>
              </w:rPr>
            </w:pPr>
            <w:r>
              <w:rPr>
                <w:rFonts w:ascii="Arial" w:cs="Arial" w:eastAsia="Arial" w:hAnsi="Arial"/>
                <w:sz w:val="18"/>
                <w:szCs w:val="18"/>
                <w:color w:val="auto"/>
                <w:w w:val="90"/>
              </w:rPr>
              <w:t>The components of the change in Aquatic Systems net sales from the prior period were as follows:</w:t>
            </w: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86"/>
        </w:trPr>
        <w:tc>
          <w:tcPr>
            <w:tcW w:w="6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80" w:type="dxa"/>
            <w:vAlign w:val="bottom"/>
            <w:gridSpan w:val="5"/>
          </w:tcPr>
          <w:p>
            <w:pPr>
              <w:jc w:val="center"/>
              <w:ind w:left="110"/>
              <w:spacing w:after="0"/>
              <w:rPr>
                <w:sz w:val="20"/>
                <w:szCs w:val="20"/>
                <w:color w:val="auto"/>
              </w:rPr>
            </w:pPr>
            <w:r>
              <w:rPr>
                <w:rFonts w:ascii="Arial" w:cs="Arial" w:eastAsia="Arial" w:hAnsi="Arial"/>
                <w:sz w:val="18"/>
                <w:szCs w:val="18"/>
                <w:b w:val="1"/>
                <w:bCs w:val="1"/>
                <w:color w:val="auto"/>
                <w:w w:val="90"/>
              </w:rPr>
              <w:t>Three months ended March 31, 2019</w:t>
            </w:r>
          </w:p>
        </w:tc>
      </w:tr>
      <w:tr>
        <w:trPr>
          <w:trHeight w:val="270"/>
        </w:trPr>
        <w:tc>
          <w:tcPr>
            <w:tcW w:w="6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1"/>
              </w:rPr>
              <w:t>over the prior year period</w:t>
            </w:r>
          </w:p>
        </w:tc>
        <w:tc>
          <w:tcPr>
            <w:tcW w:w="1020" w:type="dxa"/>
            <w:vAlign w:val="bottom"/>
          </w:tcPr>
          <w:p>
            <w:pPr>
              <w:spacing w:after="0"/>
              <w:rPr>
                <w:sz w:val="23"/>
                <w:szCs w:val="23"/>
                <w:color w:val="auto"/>
              </w:rPr>
            </w:pPr>
          </w:p>
        </w:tc>
      </w:tr>
      <w:tr>
        <w:trPr>
          <w:trHeight w:val="27"/>
        </w:trPr>
        <w:tc>
          <w:tcPr>
            <w:tcW w:w="6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Price</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3.6</w:t>
            </w:r>
          </w:p>
        </w:tc>
      </w:tr>
      <w:tr>
        <w:trPr>
          <w:trHeight w:val="27"/>
        </w:trPr>
        <w:tc>
          <w:tcPr>
            <w:tcW w:w="6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Core growth</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(6.4)</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Acquisition (divestiture)</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(1.1)</w:t>
            </w:r>
          </w:p>
        </w:tc>
      </w:tr>
      <w:tr>
        <w:trPr>
          <w:trHeight w:val="27"/>
        </w:trPr>
        <w:tc>
          <w:tcPr>
            <w:tcW w:w="6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(0.8)</w:t>
            </w:r>
          </w:p>
        </w:tc>
      </w:tr>
      <w:tr>
        <w:trPr>
          <w:trHeight w:val="237"/>
        </w:trPr>
        <w:tc>
          <w:tcPr>
            <w:tcW w:w="67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6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6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8.3 percent decrease in net sales for Aquatic Systems in the first quarter of 2019 from 2018 was primarily driven by:</w:t>
      </w:r>
    </w:p>
    <w:p>
      <w:pPr>
        <w:spacing w:after="0" w:line="171" w:lineRule="exact"/>
        <w:rPr>
          <w:sz w:val="20"/>
          <w:szCs w:val="20"/>
          <w:color w:val="auto"/>
        </w:rPr>
      </w:pPr>
    </w:p>
    <w:p>
      <w:pPr>
        <w:ind w:left="500" w:right="360" w:hanging="330"/>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volume declines due to cold, wet weather and higher than anticipated inventory levels in some of our key distribution channels impacting our residential and commercial businesses;</w:t>
      </w:r>
    </w:p>
    <w:p>
      <w:pPr>
        <w:spacing w:after="0" w:line="116" w:lineRule="exact"/>
        <w:rPr>
          <w:rFonts w:ascii="Arial" w:cs="Arial" w:eastAsia="Arial" w:hAnsi="Arial"/>
          <w:sz w:val="18"/>
          <w:szCs w:val="18"/>
          <w:color w:val="auto"/>
        </w:rPr>
      </w:pPr>
    </w:p>
    <w:p>
      <w:pPr>
        <w:ind w:left="500" w:hanging="330"/>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divestitures;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unfavorable foreign currency effects compared to the same period of the prior year.</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This decrease was partially offset by:</w:t>
      </w:r>
    </w:p>
    <w:p>
      <w:pPr>
        <w:spacing w:after="0" w:line="171" w:lineRule="exact"/>
        <w:rPr>
          <w:sz w:val="20"/>
          <w:szCs w:val="20"/>
          <w:color w:val="auto"/>
        </w:rPr>
      </w:pPr>
    </w:p>
    <w:p>
      <w:pPr>
        <w:ind w:left="500" w:hanging="330"/>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selective increases in selling prices.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Aquatic Systems segment income as a percentage of net sales from the prior period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6780" w:type="dxa"/>
            <w:vAlign w:val="bottom"/>
          </w:tcPr>
          <w:p>
            <w:pPr>
              <w:jc w:val="center"/>
              <w:ind w:left="2510"/>
              <w:spacing w:after="0"/>
              <w:rPr>
                <w:sz w:val="20"/>
                <w:szCs w:val="20"/>
                <w:color w:val="auto"/>
              </w:rPr>
            </w:pPr>
            <w:r>
              <w:rPr>
                <w:rFonts w:ascii="Arial" w:cs="Arial" w:eastAsia="Arial" w:hAnsi="Arial"/>
                <w:sz w:val="18"/>
                <w:szCs w:val="18"/>
                <w:b w:val="1"/>
                <w:bCs w:val="1"/>
                <w:color w:val="auto"/>
                <w:w w:val="90"/>
              </w:rPr>
              <w:t>Three months ended March 31, 2019</w:t>
            </w:r>
          </w:p>
        </w:tc>
      </w:tr>
      <w:tr>
        <w:trPr>
          <w:trHeight w:val="270"/>
        </w:trPr>
        <w:tc>
          <w:tcPr>
            <w:tcW w:w="4640" w:type="dxa"/>
            <w:vAlign w:val="bottom"/>
          </w:tcPr>
          <w:p>
            <w:pPr>
              <w:spacing w:after="0"/>
              <w:rPr>
                <w:sz w:val="23"/>
                <w:szCs w:val="23"/>
                <w:color w:val="auto"/>
              </w:rPr>
            </w:pPr>
          </w:p>
        </w:tc>
        <w:tc>
          <w:tcPr>
            <w:tcW w:w="6780" w:type="dxa"/>
            <w:vAlign w:val="bottom"/>
          </w:tcPr>
          <w:p>
            <w:pPr>
              <w:jc w:val="center"/>
              <w:ind w:left="2530"/>
              <w:spacing w:after="0"/>
              <w:rPr>
                <w:sz w:val="20"/>
                <w:szCs w:val="20"/>
                <w:color w:val="auto"/>
              </w:rPr>
            </w:pPr>
            <w:r>
              <w:rPr>
                <w:rFonts w:ascii="Arial" w:cs="Arial" w:eastAsia="Arial" w:hAnsi="Arial"/>
                <w:sz w:val="18"/>
                <w:szCs w:val="18"/>
                <w:b w:val="1"/>
                <w:bCs w:val="1"/>
                <w:color w:val="auto"/>
                <w:w w:val="91"/>
              </w:rPr>
              <w:t>over the prior year period</w:t>
            </w:r>
          </w:p>
        </w:tc>
      </w:tr>
      <w:tr>
        <w:trPr>
          <w:trHeight w:val="27"/>
        </w:trPr>
        <w:tc>
          <w:tcPr>
            <w:tcW w:w="4640" w:type="dxa"/>
            <w:vAlign w:val="bottom"/>
            <w:tcBorders>
              <w:bottom w:val="single" w:sz="8" w:color="auto"/>
            </w:tcBorders>
          </w:tcPr>
          <w:p>
            <w:pPr>
              <w:spacing w:after="0"/>
              <w:rPr>
                <w:sz w:val="2"/>
                <w:szCs w:val="2"/>
                <w:color w:val="auto"/>
              </w:rPr>
            </w:pPr>
          </w:p>
        </w:tc>
        <w:tc>
          <w:tcPr>
            <w:tcW w:w="6780" w:type="dxa"/>
            <w:vAlign w:val="bottom"/>
            <w:tcBorders>
              <w:bottom w:val="single" w:sz="8" w:color="auto"/>
            </w:tcBorders>
          </w:tcPr>
          <w:p>
            <w:pPr>
              <w:spacing w:after="0"/>
              <w:rPr>
                <w:sz w:val="2"/>
                <w:szCs w:val="2"/>
                <w:color w:val="auto"/>
              </w:rPr>
            </w:pPr>
          </w:p>
        </w:tc>
      </w:tr>
      <w:tr>
        <w:trPr>
          <w:trHeight w:val="244"/>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Growth</w:t>
            </w:r>
          </w:p>
        </w:tc>
        <w:tc>
          <w:tcPr>
            <w:tcW w:w="6780" w:type="dxa"/>
            <w:vAlign w:val="bottom"/>
            <w:tcBorders>
              <w:bottom w:val="single" w:sz="8" w:color="CCEEFF"/>
            </w:tcBorders>
            <w:shd w:val="clear" w:color="auto" w:fill="CCEEFF"/>
          </w:tcPr>
          <w:p>
            <w:pPr>
              <w:ind w:left="6100"/>
              <w:spacing w:after="0"/>
              <w:rPr>
                <w:sz w:val="20"/>
                <w:szCs w:val="20"/>
                <w:color w:val="auto"/>
              </w:rPr>
            </w:pPr>
            <w:r>
              <w:rPr>
                <w:rFonts w:ascii="Arial" w:cs="Arial" w:eastAsia="Arial" w:hAnsi="Arial"/>
                <w:sz w:val="18"/>
                <w:szCs w:val="18"/>
                <w:color w:val="auto"/>
                <w:w w:val="99"/>
              </w:rPr>
              <w:t>(2.2) pts</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Inflation</w:t>
            </w:r>
          </w:p>
        </w:tc>
        <w:tc>
          <w:tcPr>
            <w:tcW w:w="6780" w:type="dxa"/>
            <w:vAlign w:val="bottom"/>
          </w:tcPr>
          <w:p>
            <w:pPr>
              <w:jc w:val="right"/>
              <w:ind w:right="250"/>
              <w:spacing w:after="0"/>
              <w:rPr>
                <w:sz w:val="20"/>
                <w:szCs w:val="20"/>
                <w:color w:val="auto"/>
              </w:rPr>
            </w:pPr>
            <w:r>
              <w:rPr>
                <w:rFonts w:ascii="Arial" w:cs="Arial" w:eastAsia="Arial" w:hAnsi="Arial"/>
                <w:sz w:val="18"/>
                <w:szCs w:val="18"/>
                <w:color w:val="auto"/>
              </w:rPr>
              <w:t>(3.2)</w:t>
            </w:r>
          </w:p>
        </w:tc>
      </w:tr>
      <w:tr>
        <w:trPr>
          <w:trHeight w:val="27"/>
        </w:trPr>
        <w:tc>
          <w:tcPr>
            <w:tcW w:w="4640" w:type="dxa"/>
            <w:vAlign w:val="bottom"/>
          </w:tcPr>
          <w:p>
            <w:pPr>
              <w:spacing w:after="0"/>
              <w:rPr>
                <w:sz w:val="2"/>
                <w:szCs w:val="2"/>
                <w:color w:val="auto"/>
              </w:rPr>
            </w:pPr>
          </w:p>
        </w:tc>
        <w:tc>
          <w:tcPr>
            <w:tcW w:w="6780" w:type="dxa"/>
            <w:vAlign w:val="bottom"/>
          </w:tcPr>
          <w:p>
            <w:pPr>
              <w:spacing w:after="0"/>
              <w:rPr>
                <w:sz w:val="2"/>
                <w:szCs w:val="2"/>
                <w:color w:val="auto"/>
              </w:rPr>
            </w:pPr>
          </w:p>
        </w:tc>
      </w:tr>
      <w:tr>
        <w:trPr>
          <w:trHeight w:val="275"/>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Productivity/Price</w:t>
            </w:r>
          </w:p>
        </w:tc>
        <w:tc>
          <w:tcPr>
            <w:tcW w:w="67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4.2</w:t>
            </w:r>
          </w:p>
        </w:tc>
      </w:tr>
      <w:tr>
        <w:trPr>
          <w:trHeight w:val="237"/>
        </w:trPr>
        <w:tc>
          <w:tcPr>
            <w:tcW w:w="46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6780" w:type="dxa"/>
            <w:vAlign w:val="bottom"/>
            <w:tcBorders>
              <w:top w:val="single" w:sz="8" w:color="auto"/>
            </w:tcBorders>
          </w:tcPr>
          <w:p>
            <w:pPr>
              <w:ind w:left="6100"/>
              <w:spacing w:after="0"/>
              <w:rPr>
                <w:sz w:val="20"/>
                <w:szCs w:val="20"/>
                <w:color w:val="auto"/>
              </w:rPr>
            </w:pPr>
            <w:r>
              <w:rPr>
                <w:rFonts w:ascii="Arial" w:cs="Arial" w:eastAsia="Arial" w:hAnsi="Arial"/>
                <w:sz w:val="18"/>
                <w:szCs w:val="18"/>
                <w:color w:val="auto"/>
                <w:w w:val="99"/>
              </w:rPr>
              <w:t>(1.2) pts</w:t>
            </w:r>
          </w:p>
        </w:tc>
      </w:tr>
      <w:tr>
        <w:trPr>
          <w:trHeight w:val="27"/>
        </w:trPr>
        <w:tc>
          <w:tcPr>
            <w:tcW w:w="4640" w:type="dxa"/>
            <w:vAlign w:val="bottom"/>
            <w:tcBorders>
              <w:bottom w:val="single" w:sz="8" w:color="auto"/>
            </w:tcBorders>
          </w:tcPr>
          <w:p>
            <w:pPr>
              <w:spacing w:after="0"/>
              <w:rPr>
                <w:sz w:val="2"/>
                <w:szCs w:val="2"/>
                <w:color w:val="auto"/>
              </w:rPr>
            </w:pPr>
          </w:p>
        </w:tc>
        <w:tc>
          <w:tcPr>
            <w:tcW w:w="6780" w:type="dxa"/>
            <w:vAlign w:val="bottom"/>
            <w:tcBorders>
              <w:bottom w:val="single" w:sz="8" w:color="auto"/>
            </w:tcBorders>
          </w:tcPr>
          <w:p>
            <w:pPr>
              <w:spacing w:after="0"/>
              <w:rPr>
                <w:sz w:val="2"/>
                <w:szCs w:val="2"/>
                <w:color w:val="auto"/>
              </w:rPr>
            </w:pP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67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0" w:right="200"/>
        <w:spacing w:after="0" w:line="277" w:lineRule="auto"/>
        <w:rPr>
          <w:sz w:val="20"/>
          <w:szCs w:val="20"/>
          <w:color w:val="auto"/>
        </w:rPr>
      </w:pPr>
      <w:r>
        <w:rPr>
          <w:rFonts w:ascii="Arial" w:cs="Arial" w:eastAsia="Arial" w:hAnsi="Arial"/>
          <w:sz w:val="18"/>
          <w:szCs w:val="18"/>
          <w:i w:val="1"/>
          <w:iCs w:val="1"/>
          <w:color w:val="auto"/>
        </w:rPr>
        <w:t>The 1.2 percentage point decrease in segment income for Aquatic Systems as a percentage of net sales in the first quarter of 2019 from 2018 was primarily driven by:</w:t>
      </w:r>
    </w:p>
    <w:p>
      <w:pPr>
        <w:spacing w:after="0" w:line="116" w:lineRule="exact"/>
        <w:rPr>
          <w:sz w:val="20"/>
          <w:szCs w:val="20"/>
          <w:color w:val="auto"/>
        </w:rPr>
      </w:pPr>
    </w:p>
    <w:p>
      <w:pPr>
        <w:ind w:left="500" w:hanging="330"/>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inflationary increases related to labor costs and certain raw materials;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declines in our residential and commercial businesses.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This decrease was partially offset by:</w:t>
      </w:r>
    </w:p>
    <w:p>
      <w:pPr>
        <w:spacing w:after="0" w:line="171" w:lineRule="exact"/>
        <w:rPr>
          <w:sz w:val="20"/>
          <w:szCs w:val="20"/>
          <w:color w:val="auto"/>
        </w:rPr>
      </w:pPr>
    </w:p>
    <w:p>
      <w:pPr>
        <w:ind w:left="500" w:hanging="330"/>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impacts of inflation;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productivity.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ind w:left="60"/>
              <w:spacing w:after="0"/>
              <w:rPr>
                <w:sz w:val="20"/>
                <w:szCs w:val="20"/>
                <w:color w:val="auto"/>
              </w:rPr>
            </w:pPr>
            <w:r>
              <w:rPr>
                <w:rFonts w:ascii="Arial" w:cs="Arial" w:eastAsia="Arial" w:hAnsi="Arial"/>
                <w:sz w:val="18"/>
                <w:szCs w:val="18"/>
                <w:b w:val="1"/>
                <w:bCs w:val="1"/>
                <w:color w:val="auto"/>
              </w:rPr>
              <w:t>Filtration Solutions</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8"/>
        </w:trPr>
        <w:tc>
          <w:tcPr>
            <w:tcW w:w="6780" w:type="dxa"/>
            <w:vAlign w:val="bottom"/>
          </w:tcPr>
          <w:p>
            <w:pPr>
              <w:spacing w:after="0"/>
              <w:rPr>
                <w:sz w:val="20"/>
                <w:szCs w:val="20"/>
                <w:color w:val="auto"/>
              </w:rPr>
            </w:pPr>
            <w:r>
              <w:rPr>
                <w:rFonts w:ascii="Arial" w:cs="Arial" w:eastAsia="Arial" w:hAnsi="Arial"/>
                <w:sz w:val="18"/>
                <w:szCs w:val="18"/>
                <w:color w:val="auto"/>
              </w:rPr>
              <w:t>The net sales and segment income for Filtration Solutions were as follows: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8"/>
        </w:trPr>
        <w:tc>
          <w:tcPr>
            <w:tcW w:w="6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60" w:type="dxa"/>
            <w:vAlign w:val="bottom"/>
            <w:gridSpan w:val="4"/>
          </w:tcPr>
          <w:p>
            <w:pPr>
              <w:ind w:left="600"/>
              <w:spacing w:after="0"/>
              <w:rPr>
                <w:sz w:val="20"/>
                <w:szCs w:val="20"/>
                <w:color w:val="auto"/>
              </w:rPr>
            </w:pPr>
            <w:r>
              <w:rPr>
                <w:rFonts w:ascii="Arial" w:cs="Arial" w:eastAsia="Arial" w:hAnsi="Arial"/>
                <w:sz w:val="18"/>
                <w:szCs w:val="18"/>
                <w:b w:val="1"/>
                <w:bCs w:val="1"/>
                <w:color w:val="auto"/>
              </w:rPr>
              <w:t>Three months ended</w:t>
            </w:r>
          </w:p>
        </w:tc>
        <w:tc>
          <w:tcPr>
            <w:tcW w:w="1000" w:type="dxa"/>
            <w:vAlign w:val="bottom"/>
          </w:tcPr>
          <w:p>
            <w:pPr>
              <w:spacing w:after="0"/>
              <w:rPr>
                <w:sz w:val="24"/>
                <w:szCs w:val="24"/>
                <w:color w:val="auto"/>
              </w:rPr>
            </w:pPr>
          </w:p>
        </w:tc>
      </w:tr>
      <w:tr>
        <w:trPr>
          <w:trHeight w:val="27"/>
        </w:trPr>
        <w:tc>
          <w:tcPr>
            <w:tcW w:w="6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8"/>
        </w:trPr>
        <w:tc>
          <w:tcPr>
            <w:tcW w:w="6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31,</w:t>
            </w:r>
          </w:p>
        </w:tc>
        <w:tc>
          <w:tcPr>
            <w:tcW w:w="38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00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 / Point</w:t>
            </w:r>
          </w:p>
        </w:tc>
      </w:tr>
      <w:tr>
        <w:trPr>
          <w:trHeight w:val="234"/>
        </w:trPr>
        <w:tc>
          <w:tcPr>
            <w:tcW w:w="67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0"/>
                <w:szCs w:val="20"/>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Change</w:t>
            </w:r>
          </w:p>
        </w:tc>
      </w:tr>
      <w:tr>
        <w:trPr>
          <w:trHeight w:val="27"/>
        </w:trPr>
        <w:tc>
          <w:tcPr>
            <w:tcW w:w="6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251.6</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33.7</w:t>
            </w:r>
          </w:p>
        </w:tc>
        <w:tc>
          <w:tcPr>
            <w:tcW w:w="38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33.7</w:t>
            </w:r>
          </w:p>
        </w:tc>
        <w:tc>
          <w:tcPr>
            <w:tcW w:w="340" w:type="dxa"/>
            <w:vAlign w:val="bottom"/>
          </w:tcPr>
          <w:p>
            <w:pPr>
              <w:spacing w:after="0"/>
              <w:rPr>
                <w:sz w:val="21"/>
                <w:szCs w:val="21"/>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7"/>
        </w:trPr>
        <w:tc>
          <w:tcPr>
            <w:tcW w:w="6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i w:val="1"/>
                <w:iCs w:val="1"/>
                <w:color w:val="auto"/>
              </w:rPr>
              <w:t>14.1%</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13.4%</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0.7 pts</w:t>
            </w:r>
          </w:p>
        </w:tc>
      </w:tr>
      <w:tr>
        <w:trPr>
          <w:trHeight w:val="364"/>
        </w:trPr>
        <w:tc>
          <w:tcPr>
            <w:tcW w:w="678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Net sales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8320" w:type="dxa"/>
            <w:vAlign w:val="bottom"/>
            <w:gridSpan w:val="3"/>
          </w:tcPr>
          <w:p>
            <w:pPr>
              <w:spacing w:after="0"/>
              <w:rPr>
                <w:sz w:val="20"/>
                <w:szCs w:val="20"/>
                <w:color w:val="auto"/>
              </w:rPr>
            </w:pPr>
            <w:r>
              <w:rPr>
                <w:rFonts w:ascii="Arial" w:cs="Arial" w:eastAsia="Arial" w:hAnsi="Arial"/>
                <w:sz w:val="18"/>
                <w:szCs w:val="18"/>
                <w:color w:val="auto"/>
              </w:rPr>
              <w:t>The components of the change in Filtration Solutions net sales from the prior period were as follows:</w:t>
            </w:r>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8"/>
        </w:trPr>
        <w:tc>
          <w:tcPr>
            <w:tcW w:w="6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60" w:type="dxa"/>
            <w:vAlign w:val="bottom"/>
            <w:gridSpan w:val="5"/>
          </w:tcPr>
          <w:p>
            <w:pPr>
              <w:jc w:val="center"/>
              <w:ind w:left="190"/>
              <w:spacing w:after="0"/>
              <w:rPr>
                <w:sz w:val="20"/>
                <w:szCs w:val="20"/>
                <w:color w:val="auto"/>
              </w:rPr>
            </w:pPr>
            <w:r>
              <w:rPr>
                <w:rFonts w:ascii="Arial" w:cs="Arial" w:eastAsia="Arial" w:hAnsi="Arial"/>
                <w:sz w:val="18"/>
                <w:szCs w:val="18"/>
                <w:b w:val="1"/>
                <w:bCs w:val="1"/>
                <w:color w:val="auto"/>
                <w:w w:val="90"/>
              </w:rPr>
              <w:t>Three months ended March 31, 2019</w:t>
            </w:r>
          </w:p>
        </w:tc>
      </w:tr>
      <w:tr>
        <w:trPr>
          <w:trHeight w:val="270"/>
        </w:trPr>
        <w:tc>
          <w:tcPr>
            <w:tcW w:w="6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over the prior year period</w:t>
            </w:r>
          </w:p>
        </w:tc>
        <w:tc>
          <w:tcPr>
            <w:tcW w:w="1000" w:type="dxa"/>
            <w:vAlign w:val="bottom"/>
          </w:tcPr>
          <w:p>
            <w:pPr>
              <w:spacing w:after="0"/>
              <w:rPr>
                <w:sz w:val="23"/>
                <w:szCs w:val="23"/>
                <w:color w:val="auto"/>
              </w:rPr>
            </w:pPr>
          </w:p>
        </w:tc>
      </w:tr>
      <w:tr>
        <w:trPr>
          <w:trHeight w:val="27"/>
        </w:trPr>
        <w:tc>
          <w:tcPr>
            <w:tcW w:w="6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Price</w:t>
            </w: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1.1</w:t>
            </w:r>
          </w:p>
        </w:tc>
      </w:tr>
      <w:tr>
        <w:trPr>
          <w:trHeight w:val="27"/>
        </w:trPr>
        <w:tc>
          <w:tcPr>
            <w:tcW w:w="6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Core growth</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Acquisition (divestiture)</w:t>
            </w: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4.8</w:t>
            </w:r>
          </w:p>
        </w:tc>
      </w:tr>
      <w:tr>
        <w:trPr>
          <w:trHeight w:val="27"/>
        </w:trPr>
        <w:tc>
          <w:tcPr>
            <w:tcW w:w="6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w:t>
            </w:r>
          </w:p>
        </w:tc>
      </w:tr>
      <w:tr>
        <w:trPr>
          <w:trHeight w:val="237"/>
        </w:trPr>
        <w:tc>
          <w:tcPr>
            <w:tcW w:w="67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6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4.9 percent decrease in net sales for Filtration Solutions in the first quarter of 2019 from 2018 was primarily driven by:</w:t>
      </w:r>
    </w:p>
    <w:p>
      <w:pPr>
        <w:spacing w:after="0" w:line="171" w:lineRule="exact"/>
        <w:rPr>
          <w:sz w:val="20"/>
          <w:szCs w:val="20"/>
          <w:color w:val="auto"/>
        </w:rPr>
      </w:pPr>
    </w:p>
    <w:p>
      <w:pPr>
        <w:ind w:left="500" w:right="480" w:hanging="330"/>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decreased sales volume in our residential and commercial businesses, partially due to lower component sales as Aquion sales are now considered intercompany;</w:t>
      </w:r>
    </w:p>
    <w:p>
      <w:pPr>
        <w:spacing w:after="0" w:line="116" w:lineRule="exact"/>
        <w:rPr>
          <w:rFonts w:ascii="Arial" w:cs="Arial" w:eastAsia="Arial" w:hAnsi="Arial"/>
          <w:sz w:val="18"/>
          <w:szCs w:val="18"/>
          <w:color w:val="auto"/>
        </w:rPr>
      </w:pPr>
    </w:p>
    <w:p>
      <w:pPr>
        <w:ind w:left="500" w:hanging="330"/>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modest sales declines in Europe;</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unfavorable foreign currency effects compared to the same period of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decrease was partially offset by:</w:t>
      </w:r>
    </w:p>
    <w:p>
      <w:pPr>
        <w:spacing w:after="0" w:line="171" w:lineRule="exact"/>
        <w:rPr>
          <w:sz w:val="20"/>
          <w:szCs w:val="20"/>
          <w:color w:val="auto"/>
        </w:rPr>
      </w:pPr>
    </w:p>
    <w:p>
      <w:pPr>
        <w:ind w:left="500" w:hanging="330"/>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sales due to the Aquion and Pelican acquisitions.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Filtration Solutions segment income as a percentage of net sales from the prior period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6520" w:type="dxa"/>
            <w:vAlign w:val="bottom"/>
          </w:tcPr>
          <w:p>
            <w:pPr>
              <w:jc w:val="right"/>
              <w:ind w:right="310"/>
              <w:spacing w:after="0"/>
              <w:rPr>
                <w:sz w:val="20"/>
                <w:szCs w:val="20"/>
                <w:color w:val="auto"/>
              </w:rPr>
            </w:pPr>
            <w:r>
              <w:rPr>
                <w:rFonts w:ascii="Arial" w:cs="Arial" w:eastAsia="Arial" w:hAnsi="Arial"/>
                <w:sz w:val="18"/>
                <w:szCs w:val="18"/>
                <w:b w:val="1"/>
                <w:bCs w:val="1"/>
                <w:color w:val="auto"/>
              </w:rPr>
              <w:t>Three months ended March 31, 2019</w:t>
            </w:r>
          </w:p>
        </w:tc>
        <w:tc>
          <w:tcPr>
            <w:tcW w:w="260" w:type="dxa"/>
            <w:vAlign w:val="bottom"/>
          </w:tcPr>
          <w:p>
            <w:pPr>
              <w:spacing w:after="0"/>
              <w:rPr>
                <w:sz w:val="20"/>
                <w:szCs w:val="20"/>
                <w:color w:val="auto"/>
              </w:rPr>
            </w:pPr>
          </w:p>
        </w:tc>
      </w:tr>
      <w:tr>
        <w:trPr>
          <w:trHeight w:val="270"/>
        </w:trPr>
        <w:tc>
          <w:tcPr>
            <w:tcW w:w="4640" w:type="dxa"/>
            <w:vAlign w:val="bottom"/>
          </w:tcPr>
          <w:p>
            <w:pPr>
              <w:spacing w:after="0"/>
              <w:rPr>
                <w:sz w:val="23"/>
                <w:szCs w:val="23"/>
                <w:color w:val="auto"/>
              </w:rPr>
            </w:pPr>
          </w:p>
        </w:tc>
        <w:tc>
          <w:tcPr>
            <w:tcW w:w="6520" w:type="dxa"/>
            <w:vAlign w:val="bottom"/>
          </w:tcPr>
          <w:p>
            <w:pPr>
              <w:jc w:val="right"/>
              <w:ind w:right="730"/>
              <w:spacing w:after="0"/>
              <w:rPr>
                <w:sz w:val="20"/>
                <w:szCs w:val="20"/>
                <w:color w:val="auto"/>
              </w:rPr>
            </w:pPr>
            <w:r>
              <w:rPr>
                <w:rFonts w:ascii="Arial" w:cs="Arial" w:eastAsia="Arial" w:hAnsi="Arial"/>
                <w:sz w:val="18"/>
                <w:szCs w:val="18"/>
                <w:b w:val="1"/>
                <w:bCs w:val="1"/>
                <w:color w:val="auto"/>
              </w:rPr>
              <w:t>over the prior year period</w:t>
            </w:r>
          </w:p>
        </w:tc>
        <w:tc>
          <w:tcPr>
            <w:tcW w:w="260" w:type="dxa"/>
            <w:vAlign w:val="bottom"/>
          </w:tcPr>
          <w:p>
            <w:pPr>
              <w:spacing w:after="0"/>
              <w:rPr>
                <w:sz w:val="23"/>
                <w:szCs w:val="23"/>
                <w:color w:val="auto"/>
              </w:rPr>
            </w:pPr>
          </w:p>
        </w:tc>
      </w:tr>
      <w:tr>
        <w:trPr>
          <w:trHeight w:val="27"/>
        </w:trPr>
        <w:tc>
          <w:tcPr>
            <w:tcW w:w="4640" w:type="dxa"/>
            <w:vAlign w:val="bottom"/>
            <w:tcBorders>
              <w:bottom w:val="single" w:sz="8" w:color="auto"/>
            </w:tcBorders>
          </w:tcPr>
          <w:p>
            <w:pPr>
              <w:spacing w:after="0"/>
              <w:rPr>
                <w:sz w:val="2"/>
                <w:szCs w:val="2"/>
                <w:color w:val="auto"/>
              </w:rPr>
            </w:pPr>
          </w:p>
        </w:tc>
        <w:tc>
          <w:tcPr>
            <w:tcW w:w="6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44"/>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Growth</w:t>
            </w:r>
          </w:p>
        </w:tc>
        <w:tc>
          <w:tcPr>
            <w:tcW w:w="6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pts</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Inflation</w:t>
            </w:r>
          </w:p>
        </w:tc>
        <w:tc>
          <w:tcPr>
            <w:tcW w:w="652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21"/>
                <w:szCs w:val="21"/>
                <w:color w:val="auto"/>
              </w:rPr>
            </w:pPr>
          </w:p>
        </w:tc>
      </w:tr>
      <w:tr>
        <w:trPr>
          <w:trHeight w:val="27"/>
        </w:trPr>
        <w:tc>
          <w:tcPr>
            <w:tcW w:w="464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75"/>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Productivity/Price</w:t>
            </w:r>
          </w:p>
        </w:tc>
        <w:tc>
          <w:tcPr>
            <w:tcW w:w="6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tcBorders>
              <w:bottom w:val="single" w:sz="8" w:color="CCEEFF"/>
            </w:tcBorders>
            <w:shd w:val="clear" w:color="auto" w:fill="CCEEFF"/>
          </w:tcPr>
          <w:p>
            <w:pPr>
              <w:spacing w:after="0"/>
              <w:rPr>
                <w:sz w:val="23"/>
                <w:szCs w:val="23"/>
                <w:color w:val="auto"/>
              </w:rPr>
            </w:pPr>
          </w:p>
        </w:tc>
      </w:tr>
      <w:tr>
        <w:trPr>
          <w:trHeight w:val="237"/>
        </w:trPr>
        <w:tc>
          <w:tcPr>
            <w:tcW w:w="46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6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pts</w:t>
            </w:r>
          </w:p>
        </w:tc>
      </w:tr>
      <w:tr>
        <w:trPr>
          <w:trHeight w:val="27"/>
        </w:trPr>
        <w:tc>
          <w:tcPr>
            <w:tcW w:w="4640" w:type="dxa"/>
            <w:vAlign w:val="bottom"/>
            <w:tcBorders>
              <w:bottom w:val="single" w:sz="8" w:color="auto"/>
            </w:tcBorders>
          </w:tcPr>
          <w:p>
            <w:pPr>
              <w:spacing w:after="0"/>
              <w:rPr>
                <w:sz w:val="2"/>
                <w:szCs w:val="2"/>
                <w:color w:val="auto"/>
              </w:rPr>
            </w:pPr>
          </w:p>
        </w:tc>
        <w:tc>
          <w:tcPr>
            <w:tcW w:w="6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6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0" w:right="720"/>
        <w:spacing w:after="0" w:line="277" w:lineRule="auto"/>
        <w:rPr>
          <w:sz w:val="20"/>
          <w:szCs w:val="20"/>
          <w:color w:val="auto"/>
        </w:rPr>
      </w:pPr>
      <w:r>
        <w:rPr>
          <w:rFonts w:ascii="Arial" w:cs="Arial" w:eastAsia="Arial" w:hAnsi="Arial"/>
          <w:sz w:val="18"/>
          <w:szCs w:val="18"/>
          <w:i w:val="1"/>
          <w:iCs w:val="1"/>
          <w:color w:val="auto"/>
        </w:rPr>
        <w:t>The 0.7 percentage point increase in segment income for Filtration Solutions as a percentage of net sales in the first quarter of 2019 from 2018 was primarily driven by:</w:t>
      </w:r>
    </w:p>
    <w:p>
      <w:pPr>
        <w:spacing w:after="0" w:line="116" w:lineRule="exact"/>
        <w:rPr>
          <w:sz w:val="20"/>
          <w:szCs w:val="20"/>
          <w:color w:val="auto"/>
        </w:rPr>
      </w:pPr>
    </w:p>
    <w:p>
      <w:pPr>
        <w:ind w:left="500" w:hanging="330"/>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productivity and positive mix;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the Aquion and Pelican acquisitions.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 increase was partially offset by:</w:t>
      </w:r>
    </w:p>
    <w:p>
      <w:pPr>
        <w:spacing w:after="0" w:line="171" w:lineRule="exact"/>
        <w:rPr>
          <w:sz w:val="20"/>
          <w:szCs w:val="20"/>
          <w:color w:val="auto"/>
        </w:rPr>
      </w:pPr>
    </w:p>
    <w:p>
      <w:pPr>
        <w:ind w:left="500" w:hanging="330"/>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inflationary increases related to labor costs and certain raw materials.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gridSpan w:val="2"/>
          </w:tcPr>
          <w:p>
            <w:pPr>
              <w:ind w:left="60"/>
              <w:spacing w:after="0"/>
              <w:rPr>
                <w:sz w:val="20"/>
                <w:szCs w:val="20"/>
                <w:color w:val="auto"/>
              </w:rPr>
            </w:pPr>
            <w:r>
              <w:rPr>
                <w:rFonts w:ascii="Arial" w:cs="Arial" w:eastAsia="Arial" w:hAnsi="Arial"/>
                <w:sz w:val="18"/>
                <w:szCs w:val="18"/>
                <w:b w:val="1"/>
                <w:bCs w:val="1"/>
                <w:color w:val="auto"/>
              </w:rPr>
              <w:t>Flow Technologies</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8"/>
        </w:trPr>
        <w:tc>
          <w:tcPr>
            <w:tcW w:w="6800" w:type="dxa"/>
            <w:vAlign w:val="bottom"/>
            <w:gridSpan w:val="2"/>
          </w:tcPr>
          <w:p>
            <w:pPr>
              <w:ind w:left="60"/>
              <w:spacing w:after="0"/>
              <w:rPr>
                <w:sz w:val="20"/>
                <w:szCs w:val="20"/>
                <w:color w:val="auto"/>
              </w:rPr>
            </w:pPr>
            <w:r>
              <w:rPr>
                <w:rFonts w:ascii="Arial" w:cs="Arial" w:eastAsia="Arial" w:hAnsi="Arial"/>
                <w:sz w:val="18"/>
                <w:szCs w:val="18"/>
                <w:color w:val="auto"/>
              </w:rPr>
              <w:t>The net sales and segment income for Flow Technologies were as follows: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8"/>
        </w:trPr>
        <w:tc>
          <w:tcPr>
            <w:tcW w:w="6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40" w:type="dxa"/>
            <w:vAlign w:val="bottom"/>
            <w:gridSpan w:val="4"/>
          </w:tcPr>
          <w:p>
            <w:pPr>
              <w:ind w:left="600"/>
              <w:spacing w:after="0"/>
              <w:rPr>
                <w:sz w:val="20"/>
                <w:szCs w:val="20"/>
                <w:color w:val="auto"/>
              </w:rPr>
            </w:pPr>
            <w:r>
              <w:rPr>
                <w:rFonts w:ascii="Arial" w:cs="Arial" w:eastAsia="Arial" w:hAnsi="Arial"/>
                <w:sz w:val="18"/>
                <w:szCs w:val="18"/>
                <w:b w:val="1"/>
                <w:bCs w:val="1"/>
                <w:color w:val="auto"/>
              </w:rPr>
              <w:t>Three months ended</w:t>
            </w:r>
          </w:p>
        </w:tc>
        <w:tc>
          <w:tcPr>
            <w:tcW w:w="1020" w:type="dxa"/>
            <w:vAlign w:val="bottom"/>
          </w:tcPr>
          <w:p>
            <w:pPr>
              <w:spacing w:after="0"/>
              <w:rPr>
                <w:sz w:val="24"/>
                <w:szCs w:val="24"/>
                <w:color w:val="auto"/>
              </w:rPr>
            </w:pPr>
          </w:p>
        </w:tc>
      </w:tr>
      <w:tr>
        <w:trPr>
          <w:trHeight w:val="27"/>
        </w:trPr>
        <w:tc>
          <w:tcPr>
            <w:tcW w:w="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8"/>
        </w:trPr>
        <w:tc>
          <w:tcPr>
            <w:tcW w:w="6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31,</w:t>
            </w:r>
          </w:p>
        </w:tc>
        <w:tc>
          <w:tcPr>
            <w:tcW w:w="380" w:type="dxa"/>
            <w:vAlign w:val="bottom"/>
          </w:tcPr>
          <w:p>
            <w:pPr>
              <w:spacing w:after="0"/>
              <w:rPr>
                <w:sz w:val="18"/>
                <w:szCs w:val="18"/>
                <w:color w:val="auto"/>
              </w:rPr>
            </w:pPr>
          </w:p>
        </w:tc>
        <w:tc>
          <w:tcPr>
            <w:tcW w:w="17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 / Point</w:t>
            </w:r>
          </w:p>
        </w:tc>
      </w:tr>
      <w:tr>
        <w:trPr>
          <w:trHeight w:val="234"/>
        </w:trPr>
        <w:tc>
          <w:tcPr>
            <w:tcW w:w="60" w:type="dxa"/>
            <w:vAlign w:val="bottom"/>
          </w:tcPr>
          <w:p>
            <w:pPr>
              <w:spacing w:after="0"/>
              <w:rPr>
                <w:sz w:val="20"/>
                <w:szCs w:val="20"/>
                <w:color w:val="auto"/>
              </w:rPr>
            </w:pPr>
          </w:p>
        </w:tc>
        <w:tc>
          <w:tcPr>
            <w:tcW w:w="674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27"/>
        </w:trPr>
        <w:tc>
          <w:tcPr>
            <w:tcW w:w="60" w:type="dxa"/>
            <w:vAlign w:val="bottom"/>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0" w:type="dxa"/>
            <w:vAlign w:val="bottom"/>
          </w:tcPr>
          <w:p>
            <w:pPr>
              <w:spacing w:after="0"/>
              <w:rPr>
                <w:sz w:val="21"/>
                <w:szCs w:val="21"/>
                <w:color w:val="auto"/>
              </w:rPr>
            </w:pPr>
          </w:p>
        </w:tc>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240.3</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w:t>
            </w:r>
          </w:p>
        </w:tc>
      </w:tr>
      <w:tr>
        <w:trPr>
          <w:trHeight w:val="243"/>
        </w:trPr>
        <w:tc>
          <w:tcPr>
            <w:tcW w:w="60" w:type="dxa"/>
            <w:vAlign w:val="bottom"/>
          </w:tcPr>
          <w:p>
            <w:pPr>
              <w:spacing w:after="0"/>
              <w:rPr>
                <w:sz w:val="21"/>
                <w:szCs w:val="21"/>
                <w:color w:val="auto"/>
              </w:rPr>
            </w:pPr>
          </w:p>
        </w:tc>
        <w:tc>
          <w:tcPr>
            <w:tcW w:w="674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30.1</w:t>
            </w:r>
          </w:p>
        </w:tc>
        <w:tc>
          <w:tcPr>
            <w:tcW w:w="38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38.7</w:t>
            </w:r>
          </w:p>
        </w:tc>
        <w:tc>
          <w:tcPr>
            <w:tcW w:w="3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(22.2)%</w:t>
            </w:r>
          </w:p>
        </w:tc>
      </w:tr>
      <w:tr>
        <w:trPr>
          <w:trHeight w:val="27"/>
        </w:trPr>
        <w:tc>
          <w:tcPr>
            <w:tcW w:w="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67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i w:val="1"/>
                <w:iCs w:val="1"/>
                <w:color w:val="auto"/>
              </w:rPr>
              <w:t>13.2%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16.1%</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(2.9) pts</w:t>
            </w:r>
          </w:p>
        </w:tc>
      </w:tr>
      <w:tr>
        <w:trPr>
          <w:trHeight w:val="364"/>
        </w:trPr>
        <w:tc>
          <w:tcPr>
            <w:tcW w:w="680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rPr>
              <w:t>Net sales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0"/>
        </w:trPr>
        <w:tc>
          <w:tcPr>
            <w:tcW w:w="8320" w:type="dxa"/>
            <w:vAlign w:val="bottom"/>
            <w:gridSpan w:val="4"/>
          </w:tcPr>
          <w:p>
            <w:pPr>
              <w:spacing w:after="0"/>
              <w:rPr>
                <w:sz w:val="20"/>
                <w:szCs w:val="20"/>
                <w:color w:val="auto"/>
              </w:rPr>
            </w:pPr>
            <w:r>
              <w:rPr>
                <w:rFonts w:ascii="Arial" w:cs="Arial" w:eastAsia="Arial" w:hAnsi="Arial"/>
                <w:sz w:val="18"/>
                <w:szCs w:val="18"/>
                <w:color w:val="auto"/>
              </w:rPr>
              <w:t>The components of the change in Flow Technologies net sales from the prior period were as follows:</w:t>
            </w: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8"/>
        </w:trPr>
        <w:tc>
          <w:tcPr>
            <w:tcW w:w="6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60" w:type="dxa"/>
            <w:vAlign w:val="bottom"/>
            <w:gridSpan w:val="5"/>
          </w:tcPr>
          <w:p>
            <w:pPr>
              <w:jc w:val="center"/>
              <w:ind w:left="190"/>
              <w:spacing w:after="0"/>
              <w:rPr>
                <w:sz w:val="20"/>
                <w:szCs w:val="20"/>
                <w:color w:val="auto"/>
              </w:rPr>
            </w:pPr>
            <w:r>
              <w:rPr>
                <w:rFonts w:ascii="Arial" w:cs="Arial" w:eastAsia="Arial" w:hAnsi="Arial"/>
                <w:sz w:val="18"/>
                <w:szCs w:val="18"/>
                <w:b w:val="1"/>
                <w:bCs w:val="1"/>
                <w:color w:val="auto"/>
                <w:w w:val="90"/>
              </w:rPr>
              <w:t>Three months ended March 31, 2019</w:t>
            </w:r>
          </w:p>
        </w:tc>
      </w:tr>
      <w:tr>
        <w:trPr>
          <w:trHeight w:val="270"/>
        </w:trPr>
        <w:tc>
          <w:tcPr>
            <w:tcW w:w="60" w:type="dxa"/>
            <w:vAlign w:val="bottom"/>
          </w:tcPr>
          <w:p>
            <w:pPr>
              <w:spacing w:after="0"/>
              <w:rPr>
                <w:sz w:val="23"/>
                <w:szCs w:val="23"/>
                <w:color w:val="auto"/>
              </w:rPr>
            </w:pPr>
          </w:p>
        </w:tc>
        <w:tc>
          <w:tcPr>
            <w:tcW w:w="6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over the prior year period</w:t>
            </w:r>
          </w:p>
        </w:tc>
        <w:tc>
          <w:tcPr>
            <w:tcW w:w="1020" w:type="dxa"/>
            <w:vAlign w:val="bottom"/>
          </w:tcPr>
          <w:p>
            <w:pPr>
              <w:spacing w:after="0"/>
              <w:rPr>
                <w:sz w:val="23"/>
                <w:szCs w:val="23"/>
                <w:color w:val="auto"/>
              </w:rPr>
            </w:pPr>
          </w:p>
        </w:tc>
      </w:tr>
      <w:tr>
        <w:trPr>
          <w:trHeight w:val="27"/>
        </w:trPr>
        <w:tc>
          <w:tcPr>
            <w:tcW w:w="68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6800" w:type="dxa"/>
            <w:vAlign w:val="bottom"/>
            <w:gridSpan w:val="2"/>
          </w:tcPr>
          <w:p>
            <w:pPr>
              <w:ind w:left="40"/>
              <w:spacing w:after="0"/>
              <w:rPr>
                <w:sz w:val="20"/>
                <w:szCs w:val="20"/>
                <w:color w:val="auto"/>
              </w:rPr>
            </w:pPr>
            <w:r>
              <w:rPr>
                <w:rFonts w:ascii="Arial" w:cs="Arial" w:eastAsia="Arial" w:hAnsi="Arial"/>
                <w:sz w:val="18"/>
                <w:szCs w:val="18"/>
                <w:color w:val="auto"/>
              </w:rPr>
              <w:t>Price</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1.2</w:t>
            </w:r>
          </w:p>
        </w:tc>
      </w:tr>
      <w:tr>
        <w:trPr>
          <w:trHeight w:val="27"/>
        </w:trPr>
        <w:tc>
          <w:tcPr>
            <w:tcW w:w="6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Core growth</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r>
      <w:tr>
        <w:trPr>
          <w:trHeight w:val="243"/>
        </w:trPr>
        <w:tc>
          <w:tcPr>
            <w:tcW w:w="6800" w:type="dxa"/>
            <w:vAlign w:val="bottom"/>
            <w:gridSpan w:val="2"/>
          </w:tcPr>
          <w:p>
            <w:pPr>
              <w:ind w:left="40"/>
              <w:spacing w:after="0"/>
              <w:rPr>
                <w:sz w:val="20"/>
                <w:szCs w:val="20"/>
                <w:color w:val="auto"/>
              </w:rPr>
            </w:pPr>
            <w:r>
              <w:rPr>
                <w:rFonts w:ascii="Arial" w:cs="Arial" w:eastAsia="Arial" w:hAnsi="Arial"/>
                <w:sz w:val="18"/>
                <w:szCs w:val="18"/>
                <w:color w:val="auto"/>
              </w:rPr>
              <w:t>Acquisition (divestiture)</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(2.1)</w:t>
            </w:r>
          </w:p>
        </w:tc>
      </w:tr>
      <w:tr>
        <w:trPr>
          <w:trHeight w:val="27"/>
        </w:trPr>
        <w:tc>
          <w:tcPr>
            <w:tcW w:w="68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6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w:t>
            </w:r>
          </w:p>
        </w:tc>
      </w:tr>
      <w:tr>
        <w:trPr>
          <w:trHeight w:val="237"/>
        </w:trPr>
        <w:tc>
          <w:tcPr>
            <w:tcW w:w="68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6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60" w:type="dxa"/>
            <w:vAlign w:val="bottom"/>
            <w:tcBorders>
              <w:bottom w:val="single" w:sz="8" w:color="auto"/>
            </w:tcBorders>
          </w:tcPr>
          <w:p>
            <w:pPr>
              <w:spacing w:after="0" w:line="20" w:lineRule="exact"/>
              <w:rPr>
                <w:sz w:val="1"/>
                <w:szCs w:val="1"/>
                <w:color w:val="auto"/>
              </w:rPr>
            </w:pPr>
          </w:p>
        </w:tc>
        <w:tc>
          <w:tcPr>
            <w:tcW w:w="6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4.8 percent decrease in net sales for Flow Technologies in the first quarter of 2019 from 2018 was primarily driven by:</w:t>
      </w:r>
    </w:p>
    <w:p>
      <w:pPr>
        <w:spacing w:after="0" w:line="171" w:lineRule="exact"/>
        <w:rPr>
          <w:sz w:val="20"/>
          <w:szCs w:val="20"/>
          <w:color w:val="auto"/>
        </w:rPr>
      </w:pPr>
    </w:p>
    <w:p>
      <w:pPr>
        <w:ind w:left="500" w:hanging="330"/>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unfavorable foreign currency effects compared to the same period of the prior year;</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 of divestitures;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decreased sales volume primarily in our higher margin, seasonal agriculture-related business due to cold, wet weather.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decrease was partially offset by:</w:t>
      </w:r>
    </w:p>
    <w:p>
      <w:pPr>
        <w:spacing w:after="0" w:line="171" w:lineRule="exact"/>
        <w:rPr>
          <w:sz w:val="20"/>
          <w:szCs w:val="20"/>
          <w:color w:val="auto"/>
        </w:rPr>
      </w:pPr>
    </w:p>
    <w:p>
      <w:pPr>
        <w:ind w:left="500" w:hanging="330"/>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1" w:right="239" w:bottom="1440" w:gutter="0" w:footer="0" w:header="0"/>
          <w:type w:val="continuous"/>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Flow Technologies segment income as a percentage of net sales from the prior period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6780" w:type="dxa"/>
            <w:vAlign w:val="bottom"/>
          </w:tcPr>
          <w:p>
            <w:pPr>
              <w:jc w:val="right"/>
              <w:ind w:right="570"/>
              <w:spacing w:after="0"/>
              <w:rPr>
                <w:sz w:val="20"/>
                <w:szCs w:val="20"/>
                <w:color w:val="auto"/>
              </w:rPr>
            </w:pPr>
            <w:r>
              <w:rPr>
                <w:rFonts w:ascii="Arial" w:cs="Arial" w:eastAsia="Arial" w:hAnsi="Arial"/>
                <w:sz w:val="18"/>
                <w:szCs w:val="18"/>
                <w:b w:val="1"/>
                <w:bCs w:val="1"/>
                <w:color w:val="auto"/>
              </w:rPr>
              <w:t>Three months ended March 31, 2019</w:t>
            </w:r>
          </w:p>
        </w:tc>
      </w:tr>
      <w:tr>
        <w:trPr>
          <w:trHeight w:val="270"/>
        </w:trPr>
        <w:tc>
          <w:tcPr>
            <w:tcW w:w="4640" w:type="dxa"/>
            <w:vAlign w:val="bottom"/>
          </w:tcPr>
          <w:p>
            <w:pPr>
              <w:spacing w:after="0"/>
              <w:rPr>
                <w:sz w:val="23"/>
                <w:szCs w:val="23"/>
                <w:color w:val="auto"/>
              </w:rPr>
            </w:pPr>
          </w:p>
        </w:tc>
        <w:tc>
          <w:tcPr>
            <w:tcW w:w="6780" w:type="dxa"/>
            <w:vAlign w:val="bottom"/>
          </w:tcPr>
          <w:p>
            <w:pPr>
              <w:jc w:val="right"/>
              <w:ind w:right="990"/>
              <w:spacing w:after="0"/>
              <w:rPr>
                <w:sz w:val="20"/>
                <w:szCs w:val="20"/>
                <w:color w:val="auto"/>
              </w:rPr>
            </w:pPr>
            <w:r>
              <w:rPr>
                <w:rFonts w:ascii="Arial" w:cs="Arial" w:eastAsia="Arial" w:hAnsi="Arial"/>
                <w:sz w:val="18"/>
                <w:szCs w:val="18"/>
                <w:b w:val="1"/>
                <w:bCs w:val="1"/>
                <w:color w:val="auto"/>
              </w:rPr>
              <w:t>over the prior year period</w:t>
            </w:r>
          </w:p>
        </w:tc>
      </w:tr>
      <w:tr>
        <w:trPr>
          <w:trHeight w:val="27"/>
        </w:trPr>
        <w:tc>
          <w:tcPr>
            <w:tcW w:w="4640" w:type="dxa"/>
            <w:vAlign w:val="bottom"/>
            <w:tcBorders>
              <w:bottom w:val="single" w:sz="8" w:color="auto"/>
            </w:tcBorders>
          </w:tcPr>
          <w:p>
            <w:pPr>
              <w:spacing w:after="0"/>
              <w:rPr>
                <w:sz w:val="2"/>
                <w:szCs w:val="2"/>
                <w:color w:val="auto"/>
              </w:rPr>
            </w:pPr>
          </w:p>
        </w:tc>
        <w:tc>
          <w:tcPr>
            <w:tcW w:w="6780" w:type="dxa"/>
            <w:vAlign w:val="bottom"/>
            <w:tcBorders>
              <w:bottom w:val="single" w:sz="8" w:color="auto"/>
            </w:tcBorders>
          </w:tcPr>
          <w:p>
            <w:pPr>
              <w:spacing w:after="0"/>
              <w:rPr>
                <w:sz w:val="2"/>
                <w:szCs w:val="2"/>
                <w:color w:val="auto"/>
              </w:rPr>
            </w:pPr>
          </w:p>
        </w:tc>
      </w:tr>
      <w:tr>
        <w:trPr>
          <w:trHeight w:val="244"/>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Growth</w:t>
            </w:r>
          </w:p>
        </w:tc>
        <w:tc>
          <w:tcPr>
            <w:tcW w:w="6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pts</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Inflation</w:t>
            </w:r>
          </w:p>
        </w:tc>
        <w:tc>
          <w:tcPr>
            <w:tcW w:w="6780" w:type="dxa"/>
            <w:vAlign w:val="bottom"/>
          </w:tcPr>
          <w:p>
            <w:pPr>
              <w:jc w:val="right"/>
              <w:ind w:right="210"/>
              <w:spacing w:after="0"/>
              <w:rPr>
                <w:sz w:val="20"/>
                <w:szCs w:val="20"/>
                <w:color w:val="auto"/>
              </w:rPr>
            </w:pPr>
            <w:r>
              <w:rPr>
                <w:rFonts w:ascii="Arial" w:cs="Arial" w:eastAsia="Arial" w:hAnsi="Arial"/>
                <w:sz w:val="18"/>
                <w:szCs w:val="18"/>
                <w:color w:val="auto"/>
              </w:rPr>
              <w:t>(3.6)</w:t>
            </w:r>
          </w:p>
        </w:tc>
      </w:tr>
      <w:tr>
        <w:trPr>
          <w:trHeight w:val="27"/>
        </w:trPr>
        <w:tc>
          <w:tcPr>
            <w:tcW w:w="4640" w:type="dxa"/>
            <w:vAlign w:val="bottom"/>
          </w:tcPr>
          <w:p>
            <w:pPr>
              <w:spacing w:after="0"/>
              <w:rPr>
                <w:sz w:val="2"/>
                <w:szCs w:val="2"/>
                <w:color w:val="auto"/>
              </w:rPr>
            </w:pPr>
          </w:p>
        </w:tc>
        <w:tc>
          <w:tcPr>
            <w:tcW w:w="6780" w:type="dxa"/>
            <w:vAlign w:val="bottom"/>
          </w:tcPr>
          <w:p>
            <w:pPr>
              <w:spacing w:after="0"/>
              <w:rPr>
                <w:sz w:val="2"/>
                <w:szCs w:val="2"/>
                <w:color w:val="auto"/>
              </w:rPr>
            </w:pPr>
          </w:p>
        </w:tc>
      </w:tr>
      <w:tr>
        <w:trPr>
          <w:trHeight w:val="275"/>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Productivity/Price</w:t>
            </w:r>
          </w:p>
        </w:tc>
        <w:tc>
          <w:tcPr>
            <w:tcW w:w="67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1.8</w:t>
            </w:r>
          </w:p>
        </w:tc>
      </w:tr>
      <w:tr>
        <w:trPr>
          <w:trHeight w:val="237"/>
        </w:trPr>
        <w:tc>
          <w:tcPr>
            <w:tcW w:w="46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6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 pts</w:t>
            </w:r>
          </w:p>
        </w:tc>
      </w:tr>
      <w:tr>
        <w:trPr>
          <w:trHeight w:val="27"/>
        </w:trPr>
        <w:tc>
          <w:tcPr>
            <w:tcW w:w="4640" w:type="dxa"/>
            <w:vAlign w:val="bottom"/>
            <w:tcBorders>
              <w:bottom w:val="single" w:sz="8" w:color="auto"/>
            </w:tcBorders>
          </w:tcPr>
          <w:p>
            <w:pPr>
              <w:spacing w:after="0"/>
              <w:rPr>
                <w:sz w:val="2"/>
                <w:szCs w:val="2"/>
                <w:color w:val="auto"/>
              </w:rPr>
            </w:pPr>
          </w:p>
        </w:tc>
        <w:tc>
          <w:tcPr>
            <w:tcW w:w="6780" w:type="dxa"/>
            <w:vAlign w:val="bottom"/>
            <w:tcBorders>
              <w:bottom w:val="single" w:sz="8" w:color="auto"/>
            </w:tcBorders>
          </w:tcPr>
          <w:p>
            <w:pPr>
              <w:spacing w:after="0"/>
              <w:rPr>
                <w:sz w:val="2"/>
                <w:szCs w:val="2"/>
                <w:color w:val="auto"/>
              </w:rPr>
            </w:pP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67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i w:val="1"/>
          <w:iCs w:val="1"/>
          <w:color w:val="auto"/>
        </w:rPr>
        <w:t>The 2.9 percentage point decrease in segment income for Flow Technologies as a percentage of net sales in the first quarter of 2019 from 2018 was primarily driven by:</w:t>
      </w:r>
    </w:p>
    <w:p>
      <w:pPr>
        <w:spacing w:after="0" w:line="116" w:lineRule="exact"/>
        <w:rPr>
          <w:sz w:val="20"/>
          <w:szCs w:val="20"/>
          <w:color w:val="auto"/>
        </w:rPr>
      </w:pPr>
    </w:p>
    <w:p>
      <w:pPr>
        <w:ind w:left="500" w:hanging="330"/>
        <w:spacing w:after="0"/>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decreased sales volumes in our higher margin Specialty Ag Spray business, which resulted in decreased leverage on operating expenses;</w:t>
      </w:r>
    </w:p>
    <w:p>
      <w:pPr>
        <w:spacing w:after="0" w:line="182" w:lineRule="exact"/>
        <w:rPr>
          <w:rFonts w:ascii="Arial" w:cs="Arial" w:eastAsia="Arial" w:hAnsi="Arial"/>
          <w:sz w:val="17"/>
          <w:szCs w:val="17"/>
          <w:color w:val="auto"/>
        </w:rPr>
      </w:pPr>
    </w:p>
    <w:p>
      <w:pPr>
        <w:ind w:left="500" w:hanging="330"/>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inflationary increases related to labor costs and certain raw materials;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impact of divestitures;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decreased sales volume in our residential and industrial businesses.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 decrease was partially offset by:</w:t>
      </w:r>
    </w:p>
    <w:p>
      <w:pPr>
        <w:spacing w:after="0" w:line="171" w:lineRule="exact"/>
        <w:rPr>
          <w:sz w:val="20"/>
          <w:szCs w:val="20"/>
          <w:color w:val="auto"/>
        </w:rPr>
      </w:pPr>
    </w:p>
    <w:p>
      <w:pPr>
        <w:ind w:left="500" w:hanging="330"/>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increased productivity.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generally fund cash requirements for working capital, capital expenditures, equity investments, acquisitions, debt repayments, dividend payments and share repurchases from cash generated from operations, availability under existing committed revolving credit facilities and in certain instances, public and private debt and equity offerings. Our primary revolving credit facilities have generally been adequate for these purposes, although we have negotiated additional credit facilities or completed debt and equity offerings as needed to allow us to complete acquisitions. We intend to issue commercial paper to fund our financing needs on a short-term basis and use our revolving credit facility as back-up liquidity to support commercial paper.</w:t>
      </w:r>
    </w:p>
    <w:p>
      <w:pPr>
        <w:spacing w:after="0" w:line="10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are focusing on increasing our cash flow and repaying existing debt, while continuing to fund our research and development, marketing and capital investment initiatives. Our intent is to maintain investment grade credit ratings and a solid liquidity position.</w:t>
      </w:r>
    </w:p>
    <w:p>
      <w:pPr>
        <w:spacing w:after="0" w:line="116" w:lineRule="exact"/>
        <w:rPr>
          <w:sz w:val="20"/>
          <w:szCs w:val="20"/>
          <w:color w:val="auto"/>
        </w:rPr>
      </w:pPr>
    </w:p>
    <w:p>
      <w:pPr>
        <w:jc w:val="both"/>
        <w:ind w:right="180"/>
        <w:spacing w:after="0" w:line="276" w:lineRule="auto"/>
        <w:rPr>
          <w:sz w:val="20"/>
          <w:szCs w:val="20"/>
          <w:color w:val="auto"/>
        </w:rPr>
      </w:pPr>
      <w:r>
        <w:rPr>
          <w:rFonts w:ascii="Arial" w:cs="Arial" w:eastAsia="Arial" w:hAnsi="Arial"/>
          <w:sz w:val="17"/>
          <w:szCs w:val="17"/>
          <w:color w:val="auto"/>
        </w:rPr>
        <w:t>We experience seasonal cash flows primarily due to seasonal demand in a number of markets. We generally borrow in the first quarter of our fiscal year for operational purposes, which usage reverses in the second quarter as the seasonality of our businesses peaks. End-user demand for pool and certain pumping equipment follows warm weather trends and is at seasonal highs from April to August. The magnitude of the sales spike is partially mitigated by employing some advance sale “early buy” programs (generally including extended payment terms and/or additional discounts). Demand for residential and agricultural water systems is also impacted by weather patterns, particularly by heavy flooding and droughts.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3"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Cash used for operating activities of continuing operations was $257.1 million in the first three months of 2019, compared to $194.0 million in the same period of 2018.</w:t>
      </w:r>
    </w:p>
    <w:p>
      <w:pPr>
        <w:spacing w:after="0" w:line="13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$257.1 million in net cash used for operating activities of continuing operations in the first three months of 2019 primarily reflects an increase in net working capital. Operating cash flows in the first three months of 2019 were negatively impacted by $344.1 million due to the increase in net working capital, primarily the result of an increase in accounts receivable in anticipation of our distributors’ peak sales season in the second and third quarters. The increase in net working capital was offset by $87.9 million of net income from continuing operations, net of non-cash depreciation, amortization and asset impairments.</w:t>
      </w:r>
    </w:p>
    <w:p>
      <w:pPr>
        <w:spacing w:after="0" w:line="154"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$194.0 million in net cash used for operating activities of continuing operations in the first three months of 2018 primarily reflects an increase in net working capital of $278.4 million, offset by $80.3 million of net income from continuing operations, net of non-cash depreciation and amortization.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Cash used for investing activities of continuing operations was $304.5 million in the first three months of 2019, compared to $26.2 million in the same period of 2018. Net cash used for investing activities of continuing operations in the first three months of 2019 primarily reflects capital expenditures of $16.8 million and cash paid for the Aquion and Pelican acquisitions of $287.2 million, net of cash acquired.</w:t>
      </w:r>
    </w:p>
    <w:p>
      <w:pPr>
        <w:spacing w:after="0" w:line="13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Net cash used for investing activities of continuing operations in the first three months of 2018 primarily reflects cash paid for the settlement of a working capital adjustment related to the sale of the Valves &amp; Controls business and capital expenditures of $11.5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Net cash provided by financing activities of continuing operations was $559.0 million in the first three months of 2019, compared with $205.1 million in the prior year period. Net cash provided by financing activities of continuing operations in the first three months of 2019 primarily relates to net receipts of commercial paper and revolving long-term debt of $584.1 million used to fund the Aquion and Pelican acquisitions and our working capital needs, partially offset by payment of dividends of $31.0 million.</w:t>
      </w:r>
    </w:p>
    <w:p>
      <w:pPr>
        <w:spacing w:after="0" w:line="19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Net cash provided by financing activities of continuing operations in the first three months 2018 primarily relates to net receipts of commercial paper and revolving long-term debt of $417.5 million, partially offset by $150.0 million of share repurchases and $63.3 million for the payment of dividends.</w:t>
      </w:r>
    </w:p>
    <w:p>
      <w:pPr>
        <w:spacing w:after="0" w:line="12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April 2018, Pentair, Pentair Investments Switzerland GmbH (“PISG”), Pentair Finance S.à r.l. (“PFSA”) and Pentair, Inc. entered into a credit agreement, providing for a five-year $800.0 million senior unsecured revolving credit facility (the “Senior Credit Facility”), with Pentair and PISG as guarantors and PFSA and Pentair, Inc. as borrowers. The Senior Credit Facility replaced PFSA’s existing credit facility under that certain Amended and Restated Credit Agreement, dated as of October 3, 2014. The Senior Credit Facility has a maturity date of April 25, 2023. Borrowings under the Senior Credit Facility bear interest at a rate equal to an adjusted base rate or the London Interbank Offered Rate, plus, in each case, an applicable margin. The applicable margin is based on, at PFSA’s election, Pentair’s leverage level or PFSA’s public credit rating.</w:t>
      </w:r>
    </w:p>
    <w:p>
      <w:pPr>
        <w:spacing w:after="0" w:line="12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PFSA is authorized to sell short-term commercial paper notes to the extent availability exists under the Senior Credit Facility. PFSA uses the Senior Credit Facility as back-up liquidity to support 100% of commercial paper outstanding. PFSA had $681.2 million of commercial paper outstanding as of March 31, 2019 and $76.0 million as of December 31, 2018, all of which was classified as long-term debt as we have the intent and the ability to refinance such obligations on a long-term basis under the Senior Credit Facility.</w:t>
      </w:r>
    </w:p>
    <w:p>
      <w:pPr>
        <w:spacing w:after="0" w:line="13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Total availability under the Senior Credit Facility was $113.8 million as of March 31, 2019. Additionally, PFSA has the option to request to increase the Senior Credit Facility in an aggregate amount of up to $300.0 million, subject to customary conditions, including the commitment of the participating lenders. We anticipate that, during the second quarter of 2019, PFSA will request an increase in the Senior Credit Facility of $100.0 million pursuant to such option.</w:t>
      </w:r>
    </w:p>
    <w:p>
      <w:pPr>
        <w:spacing w:after="0" w:line="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debt agreements contain various financial covenants, but the most restrictive covenants are contained in the Senior Credit Facility. The Senior Credit Facility contains covenants requiring us not to permit (i) the ratio of our consolidated debt (net of our consolidated unrestricted cash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to exceed 3.75</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2" w:right="25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 1.00 (the “Leverage Ratio”) and (ii) the ratio of our EBITDA to our consolidated interest expense, for the same period to be less than 3.00 to 1.00 as of the end of each fiscal quarter. For purposes of the Leverage Ratio, the Senior Credit Facility provides for the calculation of EBITDA giving pro forma effect to certain acquisitions, divestitures and liquidations during the period to which such calculation relates. As of March 31, 2019, we were in compliance with all financial covenants in our debt agreements.</w:t>
      </w:r>
    </w:p>
    <w:p>
      <w:pPr>
        <w:spacing w:after="0" w:line="13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addition to the Senior Credit Facility, we have various other credit facilities with an aggregate availability of $21.2 million, of which there were no outstanding borrowings at March 31, 2019. Borrowings under these credit facilities bear interest at variable rates.</w:t>
      </w:r>
    </w:p>
    <w:p>
      <w:pPr>
        <w:spacing w:after="0" w:line="1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We have $403.6 million aggregate principal amount of fixed rate senior notes maturing in the next twelve months. We classified this debt as long-term as of March 31, 2019 as we have the intent and ability to refinance such obligation on a long-term basis under the Senior Credit Facility.</w:t>
      </w:r>
    </w:p>
    <w:p>
      <w:pPr>
        <w:spacing w:after="0" w:line="93"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As of March 31, 2019, we have $48.2 million of cash held in certain countries in which the ability to repatriate is limited due to local regulations or significant potential tax consequences.</w:t>
      </w:r>
    </w:p>
    <w:p>
      <w:pPr>
        <w:spacing w:after="0" w:line="116" w:lineRule="exact"/>
        <w:rPr>
          <w:sz w:val="20"/>
          <w:szCs w:val="20"/>
          <w:color w:val="auto"/>
        </w:rPr>
      </w:pPr>
    </w:p>
    <w:p>
      <w:pPr>
        <w:jc w:val="both"/>
        <w:ind w:right="560"/>
        <w:spacing w:after="0" w:line="286" w:lineRule="auto"/>
        <w:rPr>
          <w:sz w:val="20"/>
          <w:szCs w:val="20"/>
          <w:color w:val="auto"/>
        </w:rPr>
      </w:pPr>
      <w:r>
        <w:rPr>
          <w:rFonts w:ascii="Arial" w:cs="Arial" w:eastAsia="Arial" w:hAnsi="Arial"/>
          <w:sz w:val="17"/>
          <w:szCs w:val="17"/>
          <w:color w:val="auto"/>
        </w:rPr>
        <w:t>We expect to continue to have cash requirements to support working capital needs and capital expenditures, to pay interest and service debt and to pay dividends to shareholders quarterly. We believe we have the ability and sufficient capacity to meet these cash requirements by using available cash and internally generated funds and to borrow under our committed and uncommitted credit facilities.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3" w:lineRule="exact"/>
        <w:rPr>
          <w:sz w:val="20"/>
          <w:szCs w:val="20"/>
          <w:color w:val="auto"/>
        </w:rPr>
      </w:pPr>
    </w:p>
    <w:p>
      <w:pPr>
        <w:jc w:val="both"/>
        <w:ind w:right="360"/>
        <w:spacing w:after="0" w:line="255" w:lineRule="auto"/>
        <w:rPr>
          <w:sz w:val="20"/>
          <w:szCs w:val="20"/>
          <w:color w:val="auto"/>
        </w:rPr>
      </w:pPr>
      <w:r>
        <w:rPr>
          <w:rFonts w:ascii="Arial" w:cs="Arial" w:eastAsia="Arial" w:hAnsi="Arial"/>
          <w:sz w:val="18"/>
          <w:szCs w:val="18"/>
          <w:color w:val="auto"/>
        </w:rPr>
        <w:t>In May 2018, the Board of Directors authorized the repurchase of our ordinary shares up to a maximum dollar limit of $750.0 million. The authorization expires on May 31, 2021. There were no share repurchases during the three months ended March 31, 2019. As of March 31, 2019, we had $400.0 million available for share repurchases.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payable</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On December 10, 2018, the Board of Directors declared a quarterly cash dividend of $0.18, that was paid on February 8, 2019, to shareholders of record at the close of business on January 25, 2019. Additionally, the Board of Directors approved a plan to pay an annual cash dividend of $0.72 in 2019. Additionally, on February 19, 2019, the Board of Directors declared a quarterly cash dividend of $0.18 payable on May 3, 2019, to shareholders of record at the close of business on April 19, 2019. As a result, the balance of dividends payable included in </w:t>
      </w:r>
      <w:r>
        <w:rPr>
          <w:rFonts w:ascii="Arial" w:cs="Arial" w:eastAsia="Arial" w:hAnsi="Arial"/>
          <w:sz w:val="17"/>
          <w:szCs w:val="17"/>
          <w:i w:val="1"/>
          <w:iCs w:val="1"/>
          <w:color w:val="auto"/>
        </w:rPr>
        <w:t>Other current liabilities</w:t>
      </w:r>
      <w:r>
        <w:rPr>
          <w:rFonts w:ascii="Arial" w:cs="Arial" w:eastAsia="Arial" w:hAnsi="Arial"/>
          <w:sz w:val="17"/>
          <w:szCs w:val="17"/>
          <w:color w:val="auto"/>
        </w:rPr>
        <w:t xml:space="preserve"> on our Condensed Consolidated Balance Sheets was $30.9 million at March 31, 2019, compared to $30.8 million at December 31, 2018.</w:t>
      </w:r>
    </w:p>
    <w:p>
      <w:pPr>
        <w:spacing w:after="0" w:line="2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paid dividends in the first three months of 2019 of $31.0 million, or $0.18 per ordinary share compared with $63.3 million, or $0.35 per ordinary share, in the prior year period.</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Under Irish law, the payment of future cash dividends and repurchases of shares may be paid only out of Pentair plc’s “distributable reserves” on its statutory balance sheet. Pentair plc is not permitted to pay dividends out of share capital, which includes share premiums. Distributable reserves may be created through the earnings of the Irish parent company and through a reduction in share capital approved by the Irish High Court. Distributable reserves are not linked to a U.S. generally accepted accounting principles (“GAAP”) reported amount (e.g., retained earnings). Our distributable reserve balance was $6.5 billion as of December 31, 2018.</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measures</w:t>
      </w:r>
    </w:p>
    <w:p>
      <w:pPr>
        <w:spacing w:after="0" w:line="2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addition to measuring our cash flow generation or usage based upon operating, investing and financing classifications included in the Condensed Consolidated Statements of Cash Flows, we also measure our free cash flow. We have a long-term goal to consistently generate free cash flow that equals or exceeds 100 percent conversion of adjusted net income. Free cash flow is a non-GAAP financial measure that we use to assess our cash flow performance. We believe free cash flow is an important measure of liquidity because it provides us and our investors a measurement of cash generated from operations that is available to pay dividends, make acquisitions, repay debt and repurchase shares. In addition, free cash flow is used as a criterion to measure and pay compensation-based incentives. Our measure of free cash flow may not be comparable to similarly titled measures reported by other companies.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The following table is a reconciliation of free cash flow:</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78"/>
        </w:trPr>
        <w:tc>
          <w:tcPr>
            <w:tcW w:w="8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r>
      <w:tr>
        <w:trPr>
          <w:trHeight w:val="34"/>
        </w:trPr>
        <w:tc>
          <w:tcPr>
            <w:tcW w:w="8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5"/>
        </w:trPr>
        <w:tc>
          <w:tcPr>
            <w:tcW w:w="8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9"/>
                <w:szCs w:val="19"/>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84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34"/>
        </w:trPr>
        <w:tc>
          <w:tcPr>
            <w:tcW w:w="8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for operating activities of 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(194.0)</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Capital expenditures of continuing operations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and equipment of continuing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Free cash flow from continuing operations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(273.6)</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(205.5)</w:t>
            </w:r>
          </w:p>
        </w:tc>
      </w:tr>
      <w:tr>
        <w:trPr>
          <w:trHeight w:val="27"/>
        </w:trPr>
        <w:tc>
          <w:tcPr>
            <w:tcW w:w="8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 of discontinued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Capital expenditures of discontinued operations</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and equipment of 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37"/>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Free cash flow</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(272.8)</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(182.1)</w:t>
            </w:r>
          </w:p>
        </w:tc>
      </w:tr>
      <w:tr>
        <w:trPr>
          <w:trHeight w:val="27"/>
        </w:trPr>
        <w:tc>
          <w:tcPr>
            <w:tcW w:w="8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 1 of the Notes to Condensed Consolidated Financial Statements for information pertaining to recently adopted accounting standards.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have adopted various accounting policies to prepare the consolidated financial statements in accordance with GAAP. Certain of our accounting policies require the application of significant judgment by management in selecting the appropriate assumptions for calculating financial estimates. In our 2018 Annual Report on Form 10-K, we identified the critical accounting policies that affect our more significant estimates and assumptions used in preparing our consolidated financial statements. There have been no material changes to our critical accounting policies and estimates from those disclosed in our 2018 Annual Report on Form 10-K for the year ended December 31, 2018.</w:t>
      </w:r>
    </w:p>
    <w:p>
      <w:pPr>
        <w:spacing w:after="0" w:line="1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have been no material changes in our market risk during the quarter ended March 31, 2019. For additional information, refer to Item 7A of our 2018 Annual Report on Form 10-K.</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ind w:left="400" w:hanging="392"/>
        <w:spacing w:after="0"/>
        <w:tabs>
          <w:tab w:leader="none" w:pos="4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27" w:lineRule="exact"/>
        <w:rPr>
          <w:rFonts w:ascii="Arial" w:cs="Arial" w:eastAsia="Arial" w:hAnsi="Arial"/>
          <w:sz w:val="18"/>
          <w:szCs w:val="18"/>
          <w:b w:val="1"/>
          <w:bCs w:val="1"/>
          <w:color w:val="auto"/>
        </w:rPr>
      </w:pPr>
    </w:p>
    <w:p>
      <w:pPr>
        <w:ind w:left="42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March 31, 2019 pursuant to Rule 13a-15(b) of the Securities Exchange Act of 1934 (the “Exchange Act”). Based upon their evaluation, our Chief Executive Officer and our Chief Financial Officer concluded that our disclosure controls and procedures were effective, at the reasonable assurance level, as of the end of the quarter ended March 31, 2019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spacing w:after="0" w:line="121" w:lineRule="exact"/>
        <w:rPr>
          <w:rFonts w:ascii="Arial" w:cs="Arial" w:eastAsia="Arial" w:hAnsi="Arial"/>
          <w:sz w:val="18"/>
          <w:szCs w:val="18"/>
          <w:b w:val="1"/>
          <w:bCs w:val="1"/>
          <w:color w:val="auto"/>
        </w:rPr>
      </w:pPr>
    </w:p>
    <w:p>
      <w:pPr>
        <w:ind w:left="400" w:hanging="392"/>
        <w:spacing w:after="0"/>
        <w:tabs>
          <w:tab w:leader="none" w:pos="4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7" w:lineRule="exact"/>
        <w:rPr>
          <w:rFonts w:ascii="Arial" w:cs="Arial" w:eastAsia="Arial" w:hAnsi="Arial"/>
          <w:sz w:val="18"/>
          <w:szCs w:val="18"/>
          <w:b w:val="1"/>
          <w:bCs w:val="1"/>
          <w:color w:val="auto"/>
        </w:rPr>
      </w:pPr>
    </w:p>
    <w:p>
      <w:pPr>
        <w:ind w:left="420" w:right="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There was no change in our internal control over financial reporting that occurred during the quarter ended March 31, 2019 that has materially affected, or is reasonably likely to materially affect, our internal control over financial reporting.</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122" w:right="29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been, and in the future may be, made parties to a number of actions filed or have been, and in the future may be, given notice of potential claims relating to the conduct of our business, including those relating to commercial or contractual disputes with suppliers, customers or parties to acquisitions and divestitures, intellectual property matters, environmental, safety and health matters, product liability, the use or installation of our products, consumer matters, and employment and labor matters.</w:t>
      </w:r>
    </w:p>
    <w:p>
      <w:pPr>
        <w:spacing w:after="0" w:line="10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While we believe that a material impact on our consolidated financial position, results of operations or cash flows from any such future claims or potential claims is unlikely, given the inherent uncertainty of litigation, a remote possibility exists that a future adverse ruling or unfavorable development could result in future charges that could have a material adverse impact. We do and will continue to periodically reexamine our estimates of probable liabilities and any associated expenses and receivables and make appropriate adjustments to such estimates based on experience and developments in litigation. As a result, the current estimates of the potential impact on our consolidated financial position, results of operations and cash flows for the proceedings and claims described in the notes to our consolidated financial statements could change in the future.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Asbestos matters</w:t>
      </w:r>
    </w:p>
    <w:p>
      <w:pPr>
        <w:spacing w:after="0" w:line="23"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Our subsidiaries and numerous other unaffiliated companies are named as defendants in personal injury lawsuits based on alleged exposure to asbestos-containing materials. These cases typically involve product liability claims based primarily on allegations of manufacture, sale or distribution of industrial products that either contained asbestos or were attached to or used with asbestos-containing components manufactured by third-parties. Each case typically names between several dozen to more than a hundred corporate defendants. Our historical strategy has been to mount a vigorous defense aimed at having unsubstantiated suits dismissed, and, where appropriate, settling suits before trial. Although a large percentage of litigated suits have been dismissed, we cannot predict the extent to which we will be successful in resolving lawsuits in the future.</w:t>
      </w:r>
    </w:p>
    <w:p>
      <w:pPr>
        <w:spacing w:after="0" w:line="1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As of March 31, 2019, there were approximately 650 claims outstanding against our subsidiaries. This amount is not adjusted for claims that are not actively being prosecuted, identified incorrect defendants, or duplicated other actions, which would ultimately reflect our current estimate of the number of viable claims made against us, our affiliates, or entities for which we assumed responsibility in connection with acquisitions or divestitures. In addition, the amount does not include certain claims pending against third parties for which we have been provided an indemnification.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been named as defendant, target or a potentially responsible party (“PRP”) in a number of environmental clean-ups relating to our current or former business units. We have disposed of a number of businesses in recent years, and in certain cases, we have retained responsibility and potential liability for certain environmental obligations. We have received claims for indemnification from certain purchasers. We may be named as a PRP at other sites in the future for existing business units, as well as both divested and acquired businesses. In addition to cleanup actions brought by governmental authorities, private parties could bring personal injury or other claims due to the presence of, or exposure to, hazardous substances.</w:t>
      </w:r>
    </w:p>
    <w:p>
      <w:pPr>
        <w:spacing w:after="0" w:line="9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Certain environmental laws impose liability on current or previous owners or operators of real property for the cost of removal or remediation of hazardous substances at their properties or at properties at which they have disposed of hazardous substances. We have projects underway at several current and former manufacturing facilities to investigate and remediate environmental contamination resulting from our past operations or by other businesses that previously owned or used the properties.</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accruals for environmental matters are recorded on a site-by-site basis when it is probable that a liability has been incurred and the amount of the liability can be reasonably estimated, based on current law and existing technologies. It can be difficult to estimate reliably the final costs of investigation and remediation due to various factors. In our opinion, the amounts accrued are appropriate based on facts and circumstances as currently known. As of March 31, 2019, our recorded reserves for environmental matters were not material. We do not anticipate our remaining environmental conditions will have a material adverse effect on our financial position, results of operations or cash flows. However, unknown conditions, new details about existing conditions or changes in environmental requirements may give rise to environmental liabilities that will exceed the amount of our current reserves and could have a material adverse effect in the future.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claims</w:t>
      </w:r>
    </w:p>
    <w:p>
      <w:pPr>
        <w:spacing w:after="0" w:line="23"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We are subject to various product liability lawsuits and personal injury claims. A substantial number of these lawsuits and claims are insured and accrued for by Penwald, our captive insurance subsidiary. Penwald records a liability for these claims based on actuarial projections of ultimate losses. For all other claims, accruals covering the claims are recorded, on an undiscounted basis, when it is probable that a liability has been incurred and the amount of the liability can be reasonably estimated based on existing information. The accruals are adjusted periodically as additional information becomes available. We have not experienced significant unfavorable trends in either the severity or frequency of product liability lawsuits or personal injury claims.</w:t>
      </w:r>
    </w:p>
    <w:p>
      <w:pPr>
        <w:spacing w:after="0" w:line="1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previously disclosed in Item 1A. of our 2018 Annual Report on Form 10-K.</w:t>
      </w:r>
    </w:p>
    <w:p>
      <w:pPr>
        <w:spacing w:after="0" w:line="18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purchases we made of our ordinary shares during the first quarter of 2019:</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230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(a)</w:t>
            </w:r>
          </w:p>
        </w:tc>
        <w:tc>
          <w:tcPr>
            <w:tcW w:w="360" w:type="dxa"/>
            <w:vAlign w:val="bottom"/>
          </w:tcPr>
          <w:p>
            <w:pPr>
              <w:spacing w:after="0"/>
              <w:rPr>
                <w:sz w:val="20"/>
                <w:szCs w:val="20"/>
                <w:color w:val="auto"/>
              </w:rPr>
            </w:pPr>
          </w:p>
        </w:tc>
        <w:tc>
          <w:tcPr>
            <w:tcW w:w="184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(b)</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220" w:type="dxa"/>
            <w:vAlign w:val="bottom"/>
          </w:tcPr>
          <w:p>
            <w:pPr>
              <w:spacing w:after="0"/>
              <w:rPr>
                <w:sz w:val="20"/>
                <w:szCs w:val="20"/>
                <w:color w:val="auto"/>
              </w:rPr>
            </w:pPr>
          </w:p>
        </w:tc>
        <w:tc>
          <w:tcPr>
            <w:tcW w:w="19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(d)</w:t>
            </w:r>
          </w:p>
        </w:tc>
      </w:tr>
      <w:tr>
        <w:trPr>
          <w:trHeight w:val="252"/>
        </w:trPr>
        <w:tc>
          <w:tcPr>
            <w:tcW w:w="25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2200" w:type="dxa"/>
            <w:vAlign w:val="bottom"/>
            <w:gridSpan w:val="2"/>
          </w:tcPr>
          <w:p>
            <w:pPr>
              <w:ind w:left="80"/>
              <w:spacing w:after="0"/>
              <w:rPr>
                <w:sz w:val="20"/>
                <w:szCs w:val="20"/>
                <w:color w:val="auto"/>
              </w:rPr>
            </w:pPr>
            <w:r>
              <w:rPr>
                <w:rFonts w:ascii="Arial" w:cs="Arial" w:eastAsia="Arial" w:hAnsi="Arial"/>
                <w:sz w:val="18"/>
                <w:szCs w:val="18"/>
                <w:b w:val="1"/>
                <w:bCs w:val="1"/>
                <w:color w:val="auto"/>
                <w:w w:val="93"/>
              </w:rPr>
              <w:t>Dollar value of shares that</w:t>
            </w:r>
          </w:p>
        </w:tc>
      </w:tr>
      <w:tr>
        <w:trPr>
          <w:trHeight w:val="216"/>
        </w:trPr>
        <w:tc>
          <w:tcPr>
            <w:tcW w:w="2580" w:type="dxa"/>
            <w:vAlign w:val="bottom"/>
          </w:tcPr>
          <w:p>
            <w:pPr>
              <w:spacing w:after="0"/>
              <w:rPr>
                <w:sz w:val="18"/>
                <w:szCs w:val="18"/>
                <w:color w:val="auto"/>
              </w:rPr>
            </w:pPr>
          </w:p>
        </w:tc>
        <w:tc>
          <w:tcPr>
            <w:tcW w:w="2300" w:type="dxa"/>
            <w:vAlign w:val="bottom"/>
          </w:tcPr>
          <w:p>
            <w:pPr>
              <w:jc w:val="center"/>
              <w:ind w:left="130"/>
              <w:spacing w:after="0"/>
              <w:rPr>
                <w:sz w:val="20"/>
                <w:szCs w:val="20"/>
                <w:color w:val="auto"/>
              </w:rPr>
            </w:pPr>
            <w:r>
              <w:rPr>
                <w:rFonts w:ascii="Arial" w:cs="Arial" w:eastAsia="Arial" w:hAnsi="Arial"/>
                <w:sz w:val="18"/>
                <w:szCs w:val="18"/>
                <w:b w:val="1"/>
                <w:bCs w:val="1"/>
                <w:color w:val="auto"/>
                <w:w w:val="91"/>
              </w:rPr>
              <w:t>Total number</w:t>
            </w: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purchased as part of</w:t>
            </w:r>
          </w:p>
        </w:tc>
        <w:tc>
          <w:tcPr>
            <w:tcW w:w="220" w:type="dxa"/>
            <w:vAlign w:val="bottom"/>
          </w:tcPr>
          <w:p>
            <w:pPr>
              <w:spacing w:after="0"/>
              <w:rPr>
                <w:sz w:val="18"/>
                <w:szCs w:val="18"/>
                <w:color w:val="auto"/>
              </w:rPr>
            </w:pPr>
          </w:p>
        </w:tc>
        <w:tc>
          <w:tcPr>
            <w:tcW w:w="198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may yet be purchased</w:t>
            </w:r>
          </w:p>
        </w:tc>
      </w:tr>
      <w:tr>
        <w:trPr>
          <w:trHeight w:val="216"/>
        </w:trPr>
        <w:tc>
          <w:tcPr>
            <w:tcW w:w="2580" w:type="dxa"/>
            <w:vAlign w:val="bottom"/>
          </w:tcPr>
          <w:p>
            <w:pPr>
              <w:spacing w:after="0"/>
              <w:rPr>
                <w:sz w:val="18"/>
                <w:szCs w:val="18"/>
                <w:color w:val="auto"/>
              </w:rPr>
            </w:pPr>
          </w:p>
        </w:tc>
        <w:tc>
          <w:tcPr>
            <w:tcW w:w="2300" w:type="dxa"/>
            <w:vAlign w:val="bottom"/>
          </w:tcPr>
          <w:p>
            <w:pPr>
              <w:jc w:val="center"/>
              <w:ind w:left="130"/>
              <w:spacing w:after="0"/>
              <w:rPr>
                <w:sz w:val="20"/>
                <w:szCs w:val="20"/>
                <w:color w:val="auto"/>
              </w:rPr>
            </w:pPr>
            <w:r>
              <w:rPr>
                <w:rFonts w:ascii="Arial" w:cs="Arial" w:eastAsia="Arial" w:hAnsi="Arial"/>
                <w:sz w:val="18"/>
                <w:szCs w:val="18"/>
                <w:b w:val="1"/>
                <w:bCs w:val="1"/>
                <w:color w:val="auto"/>
                <w:w w:val="84"/>
              </w:rPr>
              <w:t>of shares</w:t>
            </w:r>
          </w:p>
        </w:tc>
        <w:tc>
          <w:tcPr>
            <w:tcW w:w="360" w:type="dxa"/>
            <w:vAlign w:val="bottom"/>
          </w:tcPr>
          <w:p>
            <w:pPr>
              <w:spacing w:after="0"/>
              <w:rPr>
                <w:sz w:val="18"/>
                <w:szCs w:val="18"/>
                <w:color w:val="auto"/>
              </w:rPr>
            </w:pPr>
          </w:p>
        </w:tc>
        <w:tc>
          <w:tcPr>
            <w:tcW w:w="184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Average price</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8"/>
              </w:rPr>
              <w:t>publicly announced plans</w:t>
            </w:r>
          </w:p>
        </w:tc>
        <w:tc>
          <w:tcPr>
            <w:tcW w:w="220" w:type="dxa"/>
            <w:vAlign w:val="bottom"/>
          </w:tcPr>
          <w:p>
            <w:pPr>
              <w:spacing w:after="0"/>
              <w:rPr>
                <w:sz w:val="18"/>
                <w:szCs w:val="18"/>
                <w:color w:val="auto"/>
              </w:rPr>
            </w:pPr>
          </w:p>
        </w:tc>
        <w:tc>
          <w:tcPr>
            <w:tcW w:w="19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under the plans or</w:t>
            </w:r>
          </w:p>
        </w:tc>
      </w:tr>
      <w:tr>
        <w:trPr>
          <w:trHeight w:val="234"/>
        </w:trPr>
        <w:tc>
          <w:tcPr>
            <w:tcW w:w="2580" w:type="dxa"/>
            <w:vAlign w:val="bottom"/>
          </w:tcPr>
          <w:p>
            <w:pPr>
              <w:ind w:left="1120"/>
              <w:spacing w:after="0"/>
              <w:rPr>
                <w:sz w:val="20"/>
                <w:szCs w:val="20"/>
                <w:color w:val="auto"/>
              </w:rPr>
            </w:pPr>
            <w:r>
              <w:rPr>
                <w:rFonts w:ascii="Arial" w:cs="Arial" w:eastAsia="Arial" w:hAnsi="Arial"/>
                <w:sz w:val="18"/>
                <w:szCs w:val="18"/>
                <w:b w:val="1"/>
                <w:bCs w:val="1"/>
                <w:color w:val="auto"/>
              </w:rPr>
              <w:t>Period</w:t>
            </w:r>
          </w:p>
        </w:tc>
        <w:tc>
          <w:tcPr>
            <w:tcW w:w="2300" w:type="dxa"/>
            <w:vAlign w:val="bottom"/>
          </w:tcPr>
          <w:p>
            <w:pPr>
              <w:jc w:val="center"/>
              <w:ind w:left="130"/>
              <w:spacing w:after="0"/>
              <w:rPr>
                <w:sz w:val="20"/>
                <w:szCs w:val="20"/>
                <w:color w:val="auto"/>
              </w:rPr>
            </w:pPr>
            <w:r>
              <w:rPr>
                <w:rFonts w:ascii="Arial" w:cs="Arial" w:eastAsia="Arial" w:hAnsi="Arial"/>
                <w:sz w:val="18"/>
                <w:szCs w:val="18"/>
                <w:b w:val="1"/>
                <w:bCs w:val="1"/>
                <w:color w:val="auto"/>
                <w:w w:val="87"/>
              </w:rPr>
              <w:t>purchased</w:t>
            </w:r>
          </w:p>
        </w:tc>
        <w:tc>
          <w:tcPr>
            <w:tcW w:w="360" w:type="dxa"/>
            <w:vAlign w:val="bottom"/>
          </w:tcPr>
          <w:p>
            <w:pPr>
              <w:spacing w:after="0"/>
              <w:rPr>
                <w:sz w:val="20"/>
                <w:szCs w:val="20"/>
                <w:color w:val="auto"/>
              </w:rPr>
            </w:pPr>
          </w:p>
        </w:tc>
        <w:tc>
          <w:tcPr>
            <w:tcW w:w="184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paid per share</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0"/>
              </w:rPr>
              <w:t>or programs</w:t>
            </w:r>
          </w:p>
        </w:tc>
        <w:tc>
          <w:tcPr>
            <w:tcW w:w="220" w:type="dxa"/>
            <w:vAlign w:val="bottom"/>
          </w:tcPr>
          <w:p>
            <w:pPr>
              <w:spacing w:after="0"/>
              <w:rPr>
                <w:sz w:val="20"/>
                <w:szCs w:val="20"/>
                <w:color w:val="auto"/>
              </w:rPr>
            </w:pPr>
          </w:p>
        </w:tc>
        <w:tc>
          <w:tcPr>
            <w:tcW w:w="19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programs</w:t>
            </w:r>
          </w:p>
        </w:tc>
      </w:tr>
      <w:tr>
        <w:trPr>
          <w:trHeight w:val="34"/>
        </w:trPr>
        <w:tc>
          <w:tcPr>
            <w:tcW w:w="25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 January 26</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79,685</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29.72</w:t>
            </w:r>
          </w:p>
        </w:tc>
        <w:tc>
          <w:tcPr>
            <w:tcW w:w="2120" w:type="dxa"/>
            <w:vAlign w:val="bottom"/>
            <w:tcBorders>
              <w:bottom w:val="single" w:sz="8" w:color="CCEEFF"/>
            </w:tcBorders>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400,000,120</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January 27 - February 23</w:t>
            </w:r>
          </w:p>
        </w:tc>
        <w:tc>
          <w:tcPr>
            <w:tcW w:w="2300" w:type="dxa"/>
            <w:vAlign w:val="bottom"/>
          </w:tcPr>
          <w:p>
            <w:pPr>
              <w:jc w:val="right"/>
              <w:spacing w:after="0"/>
              <w:rPr>
                <w:sz w:val="20"/>
                <w:szCs w:val="20"/>
                <w:color w:val="auto"/>
              </w:rPr>
            </w:pPr>
            <w:r>
              <w:rPr>
                <w:rFonts w:ascii="Arial" w:cs="Arial" w:eastAsia="Arial" w:hAnsi="Arial"/>
                <w:sz w:val="18"/>
                <w:szCs w:val="18"/>
                <w:color w:val="auto"/>
              </w:rPr>
              <w:t>320</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39.30</w:t>
            </w:r>
          </w:p>
        </w:tc>
        <w:tc>
          <w:tcPr>
            <w:tcW w:w="2120" w:type="dxa"/>
            <w:vAlign w:val="bottom"/>
          </w:tcPr>
          <w:p>
            <w:pPr>
              <w:ind w:left="1860"/>
              <w:spacing w:after="0"/>
              <w:rPr>
                <w:sz w:val="20"/>
                <w:szCs w:val="20"/>
                <w:color w:val="auto"/>
              </w:rPr>
            </w:pPr>
            <w:r>
              <w:rPr>
                <w:rFonts w:ascii="Arial" w:cs="Arial" w:eastAsia="Arial" w:hAnsi="Arial"/>
                <w:sz w:val="18"/>
                <w:szCs w:val="18"/>
                <w:color w:val="auto"/>
              </w:rPr>
              <w:t>—</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400,000,120</w:t>
            </w:r>
          </w:p>
        </w:tc>
      </w:tr>
      <w:tr>
        <w:trPr>
          <w:trHeight w:val="27"/>
        </w:trPr>
        <w:tc>
          <w:tcPr>
            <w:tcW w:w="25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5"/>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February 23 - March 31</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24,471</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35.18</w:t>
            </w:r>
          </w:p>
        </w:tc>
        <w:tc>
          <w:tcPr>
            <w:tcW w:w="2120" w:type="dxa"/>
            <w:vAlign w:val="bottom"/>
            <w:tcBorders>
              <w:bottom w:val="single" w:sz="8" w:color="CCEEFF"/>
            </w:tcBorders>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400,000,120</w:t>
            </w:r>
          </w:p>
        </w:tc>
      </w:tr>
      <w:tr>
        <w:trPr>
          <w:trHeight w:val="237"/>
        </w:trPr>
        <w:tc>
          <w:tcPr>
            <w:tcW w:w="25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104,476</w:t>
            </w:r>
          </w:p>
        </w:tc>
        <w:tc>
          <w:tcPr>
            <w:tcW w:w="36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ind w:left="186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spacing w:after="0"/>
              <w:rPr>
                <w:sz w:val="20"/>
                <w:szCs w:val="20"/>
                <w:color w:val="auto"/>
              </w:rPr>
            </w:pPr>
          </w:p>
        </w:tc>
      </w:tr>
      <w:tr>
        <w:trPr>
          <w:trHeight w:val="27"/>
        </w:trPr>
        <w:tc>
          <w:tcPr>
            <w:tcW w:w="25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0"/>
        </w:trPr>
        <w:tc>
          <w:tcPr>
            <w:tcW w:w="25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500" w:right="100" w:hanging="330"/>
        <w:spacing w:after="0" w:line="279" w:lineRule="auto"/>
        <w:tabs>
          <w:tab w:leader="none" w:pos="5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purchases in this column include 79,685 shares for the period January 1 - January 26, 320 shares for the period January 27 - February 23 and 24,471 shares for the period February 23 - March 31 deemed surrendered to us by participants in our 2012 Stock and Incentive Plan (the “2012 Plan”) and earlier stock incentive plans that are now outstanding under the 2012 Plan (collectively the “Plans”) to satisfy the exercise price or withholding of tax obligations related to the exercise of stock options and vesting of restricted and performance shares.</w:t>
      </w:r>
    </w:p>
    <w:p>
      <w:pPr>
        <w:spacing w:after="0" w:line="117" w:lineRule="exact"/>
        <w:rPr>
          <w:rFonts w:ascii="Arial" w:cs="Arial" w:eastAsia="Arial" w:hAnsi="Arial"/>
          <w:sz w:val="17"/>
          <w:szCs w:val="17"/>
          <w:color w:val="auto"/>
        </w:rPr>
      </w:pPr>
    </w:p>
    <w:p>
      <w:pPr>
        <w:ind w:left="500" w:hanging="330"/>
        <w:spacing w:after="0" w:line="342" w:lineRule="auto"/>
        <w:tabs>
          <w:tab w:leader="none" w:pos="5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average price paid in this column includes shares deemed surrendered to us by participants in the Plans to satisfy the exercise price for the exercise price of stock options and withholding tax obligations due upon stock option exercises and vesting of restricted and performance shares.</w:t>
      </w:r>
    </w:p>
    <w:p>
      <w:pPr>
        <w:spacing w:after="0" w:line="69" w:lineRule="exact"/>
        <w:rPr>
          <w:rFonts w:ascii="Arial" w:cs="Arial" w:eastAsia="Arial" w:hAnsi="Arial"/>
          <w:sz w:val="16"/>
          <w:szCs w:val="16"/>
          <w:color w:val="auto"/>
        </w:rPr>
      </w:pPr>
    </w:p>
    <w:p>
      <w:pPr>
        <w:ind w:left="500" w:right="200" w:hanging="330"/>
        <w:spacing w:after="0" w:line="277"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number of shares in this column represents the number of shares repurchased as part of our publicly announced plans to repurchase our ordinary shares up to the maximum dollar limit authorized by the Board of Directors, discussed below.</w:t>
      </w:r>
    </w:p>
    <w:p>
      <w:pPr>
        <w:spacing w:after="0" w:line="116" w:lineRule="exact"/>
        <w:rPr>
          <w:rFonts w:ascii="Arial" w:cs="Arial" w:eastAsia="Arial" w:hAnsi="Arial"/>
          <w:sz w:val="18"/>
          <w:szCs w:val="18"/>
          <w:color w:val="auto"/>
        </w:rPr>
      </w:pPr>
    </w:p>
    <w:p>
      <w:pPr>
        <w:ind w:left="500" w:right="80" w:hanging="330"/>
        <w:spacing w:after="0" w:line="286" w:lineRule="auto"/>
        <w:tabs>
          <w:tab w:leader="none" w:pos="5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 May 2018, the Board of Directors authorized the repurchase of our ordinary shares up to a maximum dollar limit of $750.0 million. The 2018 authorization expires on May 31, 2021. We have $400.0 million remaining availability for repurchases under this authorization. From time to time, we may enter into a Rule 10b5-1 trading plan for the purpose of repurchasing shares under this authorization.</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2" w:right="25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following Exhibit Index are filed as part of this Quarterly Report on Form 10-Q.</w:t>
      </w:r>
    </w:p>
    <w:p>
      <w:pPr>
        <w:spacing w:after="0" w:line="167" w:lineRule="exact"/>
        <w:rPr>
          <w:sz w:val="20"/>
          <w:szCs w:val="20"/>
          <w:color w:val="auto"/>
        </w:rPr>
      </w:pPr>
    </w:p>
    <w:p>
      <w:pPr>
        <w:ind w:left="3200"/>
        <w:spacing w:after="0"/>
        <w:rPr>
          <w:sz w:val="20"/>
          <w:szCs w:val="20"/>
          <w:color w:val="auto"/>
        </w:rPr>
      </w:pPr>
      <w:r>
        <w:rPr>
          <w:rFonts w:ascii="Arial" w:cs="Arial" w:eastAsia="Arial" w:hAnsi="Arial"/>
          <w:sz w:val="18"/>
          <w:szCs w:val="18"/>
          <w:b w:val="1"/>
          <w:bCs w:val="1"/>
          <w:u w:val="single" w:color="auto"/>
          <w:color w:val="auto"/>
        </w:rPr>
        <w:t>Exhibit Index to Form 10-Q for the Period Ended March 31, 2019</w:t>
      </w:r>
    </w:p>
    <w:p>
      <w:pPr>
        <w:spacing w:after="0" w:line="360" w:lineRule="exact"/>
        <w:rPr>
          <w:sz w:val="20"/>
          <w:szCs w:val="20"/>
          <w:color w:val="auto"/>
        </w:rPr>
      </w:pPr>
    </w:p>
    <w:p>
      <w:pPr>
        <w:ind w:left="180"/>
        <w:spacing w:after="0"/>
        <w:tabs>
          <w:tab w:leader="none" w:pos="940" w:val="left"/>
        </w:tabs>
        <w:rPr>
          <w:sz w:val="20"/>
          <w:szCs w:val="20"/>
          <w:color w:val="auto"/>
        </w:rPr>
      </w:pPr>
      <w:r>
        <w:rPr>
          <w:rFonts w:ascii="Arial" w:cs="Arial" w:eastAsia="Arial" w:hAnsi="Arial"/>
          <w:sz w:val="18"/>
          <w:szCs w:val="18"/>
          <w:b w:val="1"/>
          <w:bCs w:val="1"/>
          <w:u w:val="single" w:color="auto"/>
          <w:color w:val="0000FF"/>
        </w:rPr>
        <w:t>31.1</w:t>
      </w:r>
      <w:r>
        <w:rPr>
          <w:sz w:val="20"/>
          <w:szCs w:val="20"/>
          <w:color w:val="auto"/>
        </w:rPr>
        <w:tab/>
      </w:r>
      <w:r>
        <w:rPr>
          <w:rFonts w:ascii="Arial" w:cs="Arial" w:eastAsia="Arial" w:hAnsi="Arial"/>
          <w:sz w:val="16"/>
          <w:szCs w:val="16"/>
          <w:color w:val="auto"/>
        </w:rPr>
        <w:t>Certification of Chief Executive Officer.</w:t>
      </w:r>
    </w:p>
    <w:p>
      <w:pPr>
        <w:spacing w:after="0" w:line="185" w:lineRule="exact"/>
        <w:rPr>
          <w:sz w:val="20"/>
          <w:szCs w:val="20"/>
          <w:color w:val="auto"/>
        </w:rPr>
      </w:pPr>
    </w:p>
    <w:p>
      <w:pPr>
        <w:ind w:left="180"/>
        <w:spacing w:after="0"/>
        <w:tabs>
          <w:tab w:leader="none" w:pos="940" w:val="left"/>
        </w:tabs>
        <w:rPr>
          <w:sz w:val="20"/>
          <w:szCs w:val="20"/>
          <w:color w:val="auto"/>
        </w:rPr>
      </w:pPr>
      <w:r>
        <w:rPr>
          <w:rFonts w:ascii="Arial" w:cs="Arial" w:eastAsia="Arial" w:hAnsi="Arial"/>
          <w:sz w:val="18"/>
          <w:szCs w:val="18"/>
          <w:b w:val="1"/>
          <w:bCs w:val="1"/>
          <w:u w:val="single" w:color="auto"/>
          <w:color w:val="0000FF"/>
        </w:rPr>
        <w:t>31.2</w:t>
      </w:r>
      <w:r>
        <w:rPr>
          <w:sz w:val="20"/>
          <w:szCs w:val="20"/>
          <w:color w:val="auto"/>
        </w:rPr>
        <w:tab/>
      </w:r>
      <w:r>
        <w:rPr>
          <w:rFonts w:ascii="Arial" w:cs="Arial" w:eastAsia="Arial" w:hAnsi="Arial"/>
          <w:sz w:val="17"/>
          <w:szCs w:val="17"/>
          <w:color w:val="auto"/>
        </w:rPr>
        <w:t>Certification of Chief Financial Officer.</w:t>
      </w:r>
    </w:p>
    <w:p>
      <w:pPr>
        <w:spacing w:after="0" w:line="185" w:lineRule="exact"/>
        <w:rPr>
          <w:sz w:val="20"/>
          <w:szCs w:val="20"/>
          <w:color w:val="auto"/>
        </w:rPr>
      </w:pPr>
    </w:p>
    <w:p>
      <w:pPr>
        <w:ind w:left="180"/>
        <w:spacing w:after="0"/>
        <w:tabs>
          <w:tab w:leader="none" w:pos="940" w:val="left"/>
        </w:tabs>
        <w:rPr>
          <w:sz w:val="20"/>
          <w:szCs w:val="20"/>
          <w:color w:val="auto"/>
        </w:rPr>
      </w:pPr>
      <w:r>
        <w:rPr>
          <w:rFonts w:ascii="Arial" w:cs="Arial" w:eastAsia="Arial" w:hAnsi="Arial"/>
          <w:sz w:val="18"/>
          <w:szCs w:val="18"/>
          <w:b w:val="1"/>
          <w:bCs w:val="1"/>
          <w:u w:val="single" w:color="auto"/>
          <w:color w:val="0000FF"/>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w:t>
      </w:r>
    </w:p>
    <w:p>
      <w:pPr>
        <w:spacing w:after="0" w:line="2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2002.</w:t>
      </w:r>
    </w:p>
    <w:p>
      <w:pPr>
        <w:spacing w:after="0" w:line="166" w:lineRule="exact"/>
        <w:rPr>
          <w:sz w:val="20"/>
          <w:szCs w:val="20"/>
          <w:color w:val="auto"/>
        </w:rPr>
      </w:pPr>
    </w:p>
    <w:p>
      <w:pPr>
        <w:ind w:left="180"/>
        <w:spacing w:after="0"/>
        <w:tabs>
          <w:tab w:leader="none" w:pos="940" w:val="left"/>
        </w:tabs>
        <w:rPr>
          <w:sz w:val="20"/>
          <w:szCs w:val="20"/>
          <w:color w:val="auto"/>
        </w:rPr>
      </w:pPr>
      <w:r>
        <w:rPr>
          <w:rFonts w:ascii="Arial" w:cs="Arial" w:eastAsia="Arial" w:hAnsi="Arial"/>
          <w:sz w:val="18"/>
          <w:szCs w:val="18"/>
          <w:b w:val="1"/>
          <w:bCs w:val="1"/>
          <w:u w:val="single" w:color="auto"/>
          <w:color w:val="0000FF"/>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w:t>
      </w:r>
    </w:p>
    <w:p>
      <w:pPr>
        <w:spacing w:after="0" w:line="2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2002.</w:t>
      </w:r>
    </w:p>
    <w:p>
      <w:pPr>
        <w:spacing w:after="0" w:line="170" w:lineRule="exact"/>
        <w:rPr>
          <w:sz w:val="20"/>
          <w:szCs w:val="20"/>
          <w:color w:val="auto"/>
        </w:rPr>
      </w:pPr>
    </w:p>
    <w:p>
      <w:pPr>
        <w:ind w:left="960" w:hanging="790"/>
        <w:spacing w:after="0" w:line="255" w:lineRule="auto"/>
        <w:tabs>
          <w:tab w:leader="none" w:pos="96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The following materials from Pentair plc’s Quarterly Report on Form 10-Q for the quarter ended March 31, 2019 are filed herewith, formatted in XBRL (Extensible Business Reporting Language): (i) the Condensed Consolidated Statements of Operations and Comprehensive Income for the three months ended March 31, 2019 and 2018, (ii) the Condensed Consolidated Balance Sheets as of March 31, 2019 and December 31, 2018, (iii) the Condensed Consolidated Statements of Cash Flows for the three months ended March 31, 2019 and 2018, (iv) the Condensed Consolidated Statements of Changes in Equity for the three months ended March 31, 2019 and 2018, and (v) Notes to Condensed Consolidated Financial Statements.</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2" w:right="25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April 23, 2019.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Pentair plc</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Mark C. Borin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Mark C. Borin</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Executive Vice President and Chief Financial Officer</w:t>
      </w:r>
    </w:p>
    <w:p>
      <w:pPr>
        <w:spacing w:after="0" w:line="38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Ademir Sarcevic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Ademir Sarcevic</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Senior Vice President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60"/>
          </w:cols>
          <w:pgMar w:left="240" w:top="122" w:right="39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L. Stauch, certify that:</w:t>
      </w:r>
    </w:p>
    <w:p>
      <w:pPr>
        <w:spacing w:after="0" w:line="225" w:lineRule="exact"/>
        <w:rPr>
          <w:sz w:val="20"/>
          <w:szCs w:val="20"/>
          <w:color w:val="auto"/>
        </w:rPr>
      </w:pPr>
    </w:p>
    <w:p>
      <w:pPr>
        <w:ind w:left="280" w:hanging="258"/>
        <w:spacing w:after="0"/>
        <w:tabs>
          <w:tab w:leader="none" w:pos="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Pentair plc;</w:t>
      </w:r>
    </w:p>
    <w:p>
      <w:pPr>
        <w:spacing w:after="0" w:line="225" w:lineRule="exact"/>
        <w:rPr>
          <w:rFonts w:ascii="Arial" w:cs="Arial" w:eastAsia="Arial" w:hAnsi="Arial"/>
          <w:sz w:val="18"/>
          <w:szCs w:val="18"/>
          <w:color w:val="auto"/>
        </w:rPr>
      </w:pPr>
    </w:p>
    <w:p>
      <w:pPr>
        <w:ind w:left="280" w:hanging="258"/>
        <w:spacing w:after="0" w:line="342" w:lineRule="auto"/>
        <w:tabs>
          <w:tab w:leader="none" w:pos="2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80" w:hanging="258"/>
        <w:spacing w:after="0" w:line="277" w:lineRule="auto"/>
        <w:tabs>
          <w:tab w:leader="none" w:pos="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80" w:hanging="258"/>
        <w:spacing w:after="0" w:line="264" w:lineRule="auto"/>
        <w:tabs>
          <w:tab w:leader="none" w:pos="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hanging="262"/>
        <w:spacing w:after="0" w:line="277" w:lineRule="auto"/>
        <w:tabs>
          <w:tab w:leader="none" w:pos="5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80" w:hanging="258"/>
        <w:spacing w:after="0" w:line="277" w:lineRule="auto"/>
        <w:tabs>
          <w:tab w:leader="none" w:pos="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23, 2019</w:t>
      </w:r>
      <w:r>
        <w:rPr>
          <w:sz w:val="20"/>
          <w:szCs w:val="20"/>
          <w:color w:val="auto"/>
        </w:rPr>
        <w:tab/>
      </w:r>
      <w:r>
        <w:rPr>
          <w:rFonts w:ascii="Arial" w:cs="Arial" w:eastAsia="Arial" w:hAnsi="Arial"/>
          <w:sz w:val="15"/>
          <w:szCs w:val="15"/>
          <w:color w:val="auto"/>
        </w:rPr>
        <w:t>/s/ John L. Stauch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John L. Stauch</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C. Borin, certify that:</w:t>
      </w:r>
    </w:p>
    <w:p>
      <w:pPr>
        <w:spacing w:after="0" w:line="225" w:lineRule="exact"/>
        <w:rPr>
          <w:sz w:val="20"/>
          <w:szCs w:val="20"/>
          <w:color w:val="auto"/>
        </w:rPr>
      </w:pPr>
    </w:p>
    <w:p>
      <w:pPr>
        <w:ind w:left="280" w:hanging="258"/>
        <w:spacing w:after="0"/>
        <w:tabs>
          <w:tab w:leader="none" w:pos="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Pentair plc;</w:t>
      </w:r>
    </w:p>
    <w:p>
      <w:pPr>
        <w:spacing w:after="0" w:line="225" w:lineRule="exact"/>
        <w:rPr>
          <w:rFonts w:ascii="Arial" w:cs="Arial" w:eastAsia="Arial" w:hAnsi="Arial"/>
          <w:sz w:val="18"/>
          <w:szCs w:val="18"/>
          <w:color w:val="auto"/>
        </w:rPr>
      </w:pPr>
    </w:p>
    <w:p>
      <w:pPr>
        <w:ind w:left="280" w:hanging="258"/>
        <w:spacing w:after="0" w:line="342" w:lineRule="auto"/>
        <w:tabs>
          <w:tab w:leader="none" w:pos="2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80" w:hanging="258"/>
        <w:spacing w:after="0" w:line="277" w:lineRule="auto"/>
        <w:tabs>
          <w:tab w:leader="none" w:pos="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80" w:hanging="258"/>
        <w:spacing w:after="0" w:line="264" w:lineRule="auto"/>
        <w:tabs>
          <w:tab w:leader="none" w:pos="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hanging="262"/>
        <w:spacing w:after="0" w:line="277" w:lineRule="auto"/>
        <w:tabs>
          <w:tab w:leader="none" w:pos="5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80" w:hanging="258"/>
        <w:spacing w:after="0" w:line="277" w:lineRule="auto"/>
        <w:tabs>
          <w:tab w:leader="none" w:pos="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23, 2019</w:t>
      </w:r>
      <w:r>
        <w:rPr>
          <w:sz w:val="20"/>
          <w:szCs w:val="20"/>
          <w:color w:val="auto"/>
        </w:rPr>
        <w:tab/>
      </w:r>
      <w:r>
        <w:rPr>
          <w:rFonts w:ascii="Arial" w:cs="Arial" w:eastAsia="Arial" w:hAnsi="Arial"/>
          <w:sz w:val="16"/>
          <w:szCs w:val="16"/>
          <w:color w:val="auto"/>
        </w:rPr>
        <w:t>/s/ Mark C. Borin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C. Borin</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Pentair plc (the “Company”) on Form 10-Q for the period ended March 31, 2019 as filed with the Securities and Exchange Commission on the date hereof (the “Report”), I, John L. Stauch, President and Chief Executive Officer of the Company, certify, pursuant to 18 U.S.C. § 1350, as adopted pursuant to Section 906 of the Sarbanes-Oxley Act of 2002, that based on my knowledge:</w:t>
      </w:r>
    </w:p>
    <w:p>
      <w:pPr>
        <w:spacing w:after="0" w:line="166"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399"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23, 2019</w:t>
      </w:r>
      <w:r>
        <w:rPr>
          <w:sz w:val="20"/>
          <w:szCs w:val="20"/>
          <w:color w:val="auto"/>
        </w:rPr>
        <w:tab/>
      </w:r>
      <w:r>
        <w:rPr>
          <w:rFonts w:ascii="Arial" w:cs="Arial" w:eastAsia="Arial" w:hAnsi="Arial"/>
          <w:sz w:val="15"/>
          <w:szCs w:val="15"/>
          <w:color w:val="auto"/>
        </w:rPr>
        <w:t>/s/ John L. Stauch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John L. Stauch</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the Quarterly Report of Pentair plc (the “Company”) on Form 10-Q for the period ended March 31, 2019 as filed with the Securities and Exchange Commission on the date hereof (the “Report”), I, Mark C. Borin, Executive Vice President and Chief Financial Officer of the Company, certify, pursuant to 18 U.S.C. § 1350, as adopted pursuant to Section 906 of the Sarbanes-Oxley Act of 2002, that based on my knowledge:</w:t>
      </w:r>
    </w:p>
    <w:p>
      <w:pPr>
        <w:spacing w:after="0" w:line="166"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399"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23, 2019</w:t>
      </w:r>
      <w:r>
        <w:rPr>
          <w:sz w:val="20"/>
          <w:szCs w:val="20"/>
          <w:color w:val="auto"/>
        </w:rPr>
        <w:tab/>
      </w:r>
      <w:r>
        <w:rPr>
          <w:rFonts w:ascii="Arial" w:cs="Arial" w:eastAsia="Arial" w:hAnsi="Arial"/>
          <w:sz w:val="16"/>
          <w:szCs w:val="16"/>
          <w:color w:val="auto"/>
        </w:rPr>
        <w:t>/s/ Mark C. Borin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C. Borin</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2"/>
    </w:lvl>
  </w:abstractNum>
  <w:abstractNum w:abstractNumId="3">
    <w:nsid w:val="B03E0C6"/>
    <w:multiLevelType w:val="hybridMultilevel"/>
    <w:lvl w:ilvl="0">
      <w:lvlJc w:val="left"/>
      <w:lvlText w:val="%1."/>
      <w:numFmt w:val="decimal"/>
      <w:start w:val="3"/>
    </w:lvl>
  </w:abstractNum>
  <w:abstractNum w:abstractNumId="4">
    <w:nsid w:val="189A769B"/>
    <w:multiLevelType w:val="hybridMultilevel"/>
    <w:lvl w:ilvl="0">
      <w:lvlJc w:val="left"/>
      <w:lvlText w:val="%1."/>
      <w:numFmt w:val="decimal"/>
      <w:start w:val="4"/>
    </w:lvl>
  </w:abstractNum>
  <w:abstractNum w:abstractNumId="5">
    <w:nsid w:val="54E49EB4"/>
    <w:multiLevelType w:val="hybridMultilevel"/>
    <w:lvl w:ilvl="0">
      <w:lvlJc w:val="left"/>
      <w:lvlText w:val="%1."/>
      <w:numFmt w:val="decimal"/>
      <w:start w:val="5"/>
    </w:lvl>
  </w:abstractNum>
  <w:abstractNum w:abstractNumId="6">
    <w:nsid w:val="71F32454"/>
    <w:multiLevelType w:val="hybridMultilevel"/>
    <w:lvl w:ilvl="0">
      <w:lvlJc w:val="left"/>
      <w:lvlText w:val="%1."/>
      <w:numFmt w:val="decimal"/>
      <w:start w:val="8"/>
    </w:lvl>
  </w:abstractNum>
  <w:abstractNum w:abstractNumId="7">
    <w:nsid w:val="2CA88611"/>
    <w:multiLevelType w:val="hybridMultilevel"/>
    <w:lvl w:ilvl="0">
      <w:lvlJc w:val="left"/>
      <w:lvlText w:val="%1."/>
      <w:numFmt w:val="decimal"/>
      <w:start w:val="9"/>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1."/>
      <w:numFmt w:val="decimal"/>
      <w:start w:val="10"/>
    </w:lvl>
  </w:abstractNum>
  <w:abstractNum w:abstractNumId="10">
    <w:nsid w:val="3A95F874"/>
    <w:multiLevelType w:val="hybridMultilevel"/>
    <w:lvl w:ilvl="0">
      <w:lvlJc w:val="left"/>
      <w:lvlText w:val="•"/>
      <w:numFmt w:val="bullet"/>
      <w:start w:val="1"/>
    </w:lvl>
    <w:lvl w:ilvl="1">
      <w:lvlJc w:val="left"/>
      <w:lvlText w:val="•"/>
      <w:numFmt w:val="bullet"/>
      <w:start w:val="1"/>
    </w:lvl>
  </w:abstractNum>
  <w:abstractNum w:abstractNumId="11">
    <w:nsid w:val="8138641"/>
    <w:multiLevelType w:val="hybridMultilevel"/>
    <w:lvl w:ilvl="0">
      <w:lvlJc w:val="left"/>
      <w:lvlText w:val="%1."/>
      <w:numFmt w:val="decimal"/>
      <w:start w:val="11"/>
    </w:lvl>
  </w:abstractNum>
  <w:abstractNum w:abstractNumId="12">
    <w:nsid w:val="1E7FF521"/>
    <w:multiLevelType w:val="hybridMultilevel"/>
    <w:lvl w:ilvl="0">
      <w:lvlJc w:val="left"/>
      <w:lvlText w:val="%1."/>
      <w:numFmt w:val="decimal"/>
      <w:start w:val="12"/>
    </w:lvl>
  </w:abstractNum>
  <w:abstractNum w:abstractNumId="13">
    <w:nsid w:val="7C3DBD3D"/>
    <w:multiLevelType w:val="hybridMultilevel"/>
    <w:lvl w:ilvl="0">
      <w:lvlJc w:val="left"/>
      <w:lvlText w:val="%1."/>
      <w:numFmt w:val="decimal"/>
      <w:start w:val="13"/>
    </w:lvl>
  </w:abstractNum>
  <w:abstractNum w:abstractNumId="14">
    <w:nsid w:val="737B8DDC"/>
    <w:multiLevelType w:val="hybridMultilevel"/>
    <w:lvl w:ilvl="0">
      <w:lvlJc w:val="left"/>
      <w:lvlText w:val="%1."/>
      <w:numFmt w:val="decimal"/>
      <w:start w:val="14"/>
    </w:lvl>
  </w:abstractNum>
  <w:abstractNum w:abstractNumId="15">
    <w:nsid w:val="6CEAF087"/>
    <w:multiLevelType w:val="hybridMultilevel"/>
    <w:lvl w:ilvl="0">
      <w:lvlJc w:val="left"/>
      <w:lvlText w:val="%1."/>
      <w:numFmt w:val="decimal"/>
      <w:start w:val="15"/>
    </w:lvl>
  </w:abstractNum>
  <w:abstractNum w:abstractNumId="16">
    <w:nsid w:val="22221A70"/>
    <w:multiLevelType w:val="hybridMultilevel"/>
    <w:lvl w:ilvl="0">
      <w:lvlJc w:val="left"/>
      <w:lvlText w:val="%1."/>
      <w:numFmt w:val="decimal"/>
      <w:start w:val="16"/>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1)"/>
      <w:numFmt w:val="lowerLetter"/>
      <w:start w:val="1"/>
    </w:lvl>
  </w:abstractNum>
  <w:abstractNum w:abstractNumId="42">
    <w:nsid w:val="7A6D8D3C"/>
    <w:multiLevelType w:val="hybridMultilevel"/>
    <w:lvl w:ilvl="0">
      <w:lvlJc w:val="left"/>
      <w:lvlText w:val="(%1)"/>
      <w:numFmt w:val="lowerLetter"/>
      <w:start w:val="1"/>
    </w:lvl>
  </w:abstractNum>
  <w:abstractNum w:abstractNumId="43">
    <w:nsid w:val="4B588F54"/>
    <w:multiLevelType w:val="hybridMultilevel"/>
    <w:lvl w:ilvl="0">
      <w:lvlJc w:val="left"/>
      <w:lvlText w:val="%1"/>
      <w:numFmt w:val="decimal"/>
      <w:start w:val="10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2019-12-03T06:39:24Z</dcterms:created>
  <dcterms:modified xsi:type="dcterms:W3CDTF">2019-12-03T06:39:24Z</dcterms:modified>
</cp:coreProperties>
</file>