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64" w:lineRule="exact"/>
        <w:rPr>
          <w:sz w:val="24"/>
          <w:szCs w:val="24"/>
          <w:color w:val="auto"/>
        </w:rPr>
      </w:pPr>
    </w:p>
    <w:p>
      <w:pPr>
        <w:ind w:left="1180" w:hanging="1145"/>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2019</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ind w:left="4380" w:right="1540" w:hanging="4345"/>
        <w:spacing w:after="0" w:line="274" w:lineRule="auto"/>
        <w:tabs>
          <w:tab w:leader="none" w:pos="117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b w:val="1"/>
          <w:bCs w:val="1"/>
          <w:color w:val="auto"/>
        </w:rPr>
        <w:t>001-11625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Pentair plc</w:t>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7880" w:type="dxa"/>
            <w:vAlign w:val="bottom"/>
            <w:tcBorders>
              <w:top w:val="single" w:sz="8" w:color="auto"/>
            </w:tcBorders>
            <w:gridSpan w:val="3"/>
          </w:tcPr>
          <w:p>
            <w:pPr>
              <w:ind w:left="370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33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r>
      <w:tr>
        <w:trPr>
          <w:trHeight w:val="360"/>
        </w:trPr>
        <w:tc>
          <w:tcPr>
            <w:tcW w:w="4080" w:type="dxa"/>
            <w:vAlign w:val="bottom"/>
          </w:tcPr>
          <w:p>
            <w:pPr>
              <w:jc w:val="center"/>
              <w:ind w:left="1810"/>
              <w:spacing w:after="0"/>
              <w:rPr>
                <w:sz w:val="20"/>
                <w:szCs w:val="20"/>
                <w:color w:val="auto"/>
              </w:rPr>
            </w:pPr>
            <w:r>
              <w:rPr>
                <w:rFonts w:ascii="Arial" w:cs="Arial" w:eastAsia="Arial" w:hAnsi="Arial"/>
                <w:sz w:val="18"/>
                <w:szCs w:val="18"/>
                <w:b w:val="1"/>
                <w:bCs w:val="1"/>
                <w:color w:val="auto"/>
                <w:w w:val="98"/>
              </w:rPr>
              <w:t>Ireland</w:t>
            </w:r>
          </w:p>
        </w:tc>
        <w:tc>
          <w:tcPr>
            <w:tcW w:w="1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60" w:type="dxa"/>
            <w:vAlign w:val="bottom"/>
          </w:tcPr>
          <w:p>
            <w:pPr>
              <w:jc w:val="right"/>
              <w:ind w:right="2230"/>
              <w:spacing w:after="0"/>
              <w:rPr>
                <w:sz w:val="20"/>
                <w:szCs w:val="20"/>
                <w:color w:val="auto"/>
              </w:rPr>
            </w:pPr>
            <w:r>
              <w:rPr>
                <w:rFonts w:ascii="Arial" w:cs="Arial" w:eastAsia="Arial" w:hAnsi="Arial"/>
                <w:sz w:val="18"/>
                <w:szCs w:val="18"/>
                <w:b w:val="1"/>
                <w:bCs w:val="1"/>
                <w:color w:val="auto"/>
              </w:rPr>
              <w:t>98-1141328</w:t>
            </w:r>
          </w:p>
        </w:tc>
        <w:tc>
          <w:tcPr>
            <w:tcW w:w="180" w:type="dxa"/>
            <w:vAlign w:val="bottom"/>
          </w:tcPr>
          <w:p>
            <w:pPr>
              <w:spacing w:after="0"/>
              <w:rPr>
                <w:sz w:val="24"/>
                <w:szCs w:val="24"/>
                <w:color w:val="auto"/>
              </w:rPr>
            </w:pPr>
          </w:p>
        </w:tc>
      </w:tr>
      <w:tr>
        <w:trPr>
          <w:trHeight w:val="27"/>
        </w:trPr>
        <w:tc>
          <w:tcPr>
            <w:tcW w:w="5940" w:type="dxa"/>
            <w:vAlign w:val="bottom"/>
            <w:tcBorders>
              <w:bottom w:val="single" w:sz="8" w:color="auto"/>
            </w:tcBorders>
            <w:gridSpan w:val="2"/>
          </w:tcPr>
          <w:p>
            <w:pPr>
              <w:spacing w:after="0"/>
              <w:rPr>
                <w:sz w:val="2"/>
                <w:szCs w:val="2"/>
                <w:color w:val="auto"/>
              </w:rPr>
            </w:pPr>
          </w:p>
        </w:tc>
        <w:tc>
          <w:tcPr>
            <w:tcW w:w="53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94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480" w:type="dxa"/>
            <w:vAlign w:val="bottom"/>
            <w:gridSpan w:val="3"/>
          </w:tcPr>
          <w:p>
            <w:pPr>
              <w:jc w:val="center"/>
              <w:ind w:right="38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080" w:type="dxa"/>
            <w:vAlign w:val="bottom"/>
          </w:tcPr>
          <w:p>
            <w:pPr>
              <w:ind w:left="1700"/>
              <w:spacing w:after="0"/>
              <w:rPr>
                <w:sz w:val="20"/>
                <w:szCs w:val="20"/>
                <w:color w:val="auto"/>
              </w:rPr>
            </w:pPr>
            <w:r>
              <w:rPr>
                <w:rFonts w:ascii="Arial" w:cs="Arial" w:eastAsia="Arial" w:hAnsi="Arial"/>
                <w:sz w:val="18"/>
                <w:szCs w:val="18"/>
                <w:b w:val="1"/>
                <w:bCs w:val="1"/>
                <w:color w:val="auto"/>
                <w:w w:val="89"/>
              </w:rPr>
              <w:t>Regal House, 70 London Road,</w:t>
            </w:r>
          </w:p>
        </w:tc>
        <w:tc>
          <w:tcPr>
            <w:tcW w:w="1860" w:type="dxa"/>
            <w:vAlign w:val="bottom"/>
          </w:tcPr>
          <w:p>
            <w:pPr>
              <w:ind w:left="660"/>
              <w:spacing w:after="0"/>
              <w:rPr>
                <w:sz w:val="20"/>
                <w:szCs w:val="20"/>
                <w:color w:val="auto"/>
              </w:rPr>
            </w:pPr>
            <w:r>
              <w:rPr>
                <w:rFonts w:ascii="Arial" w:cs="Arial" w:eastAsia="Arial" w:hAnsi="Arial"/>
                <w:sz w:val="18"/>
                <w:szCs w:val="18"/>
                <w:b w:val="1"/>
                <w:bCs w:val="1"/>
                <w:color w:val="auto"/>
              </w:rPr>
              <w:t>Twickenham,</w:t>
            </w:r>
          </w:p>
        </w:tc>
        <w:tc>
          <w:tcPr>
            <w:tcW w:w="1940" w:type="dxa"/>
            <w:vAlign w:val="bottom"/>
          </w:tcPr>
          <w:p>
            <w:pPr>
              <w:ind w:left="160"/>
              <w:spacing w:after="0"/>
              <w:rPr>
                <w:sz w:val="20"/>
                <w:szCs w:val="20"/>
                <w:color w:val="auto"/>
              </w:rPr>
            </w:pPr>
            <w:r>
              <w:rPr>
                <w:rFonts w:ascii="Arial" w:cs="Arial" w:eastAsia="Arial" w:hAnsi="Arial"/>
                <w:sz w:val="18"/>
                <w:szCs w:val="18"/>
                <w:b w:val="1"/>
                <w:bCs w:val="1"/>
                <w:color w:val="auto"/>
              </w:rPr>
              <w:t>London,  TW13QS</w:t>
            </w:r>
          </w:p>
        </w:tc>
        <w:tc>
          <w:tcPr>
            <w:tcW w:w="3540" w:type="dxa"/>
            <w:vAlign w:val="bottom"/>
            <w:gridSpan w:val="2"/>
          </w:tcPr>
          <w:p>
            <w:pPr>
              <w:ind w:left="140"/>
              <w:spacing w:after="0"/>
              <w:rPr>
                <w:sz w:val="20"/>
                <w:szCs w:val="20"/>
                <w:color w:val="auto"/>
              </w:rPr>
            </w:pPr>
            <w:r>
              <w:rPr>
                <w:rFonts w:ascii="Arial" w:cs="Arial" w:eastAsia="Arial" w:hAnsi="Arial"/>
                <w:sz w:val="18"/>
                <w:szCs w:val="18"/>
                <w:b w:val="1"/>
                <w:bCs w:val="1"/>
                <w:color w:val="auto"/>
              </w:rPr>
              <w:t>United Kingdom</w:t>
            </w:r>
          </w:p>
        </w:tc>
      </w:tr>
      <w:tr>
        <w:trPr>
          <w:trHeight w:val="27"/>
        </w:trPr>
        <w:tc>
          <w:tcPr>
            <w:tcW w:w="40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2"/>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offices)</w:t>
            </w: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44-74-9421-6154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6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78"/>
        </w:trPr>
        <w:tc>
          <w:tcPr>
            <w:tcW w:w="4860" w:type="dxa"/>
            <w:vAlign w:val="bottom"/>
          </w:tcPr>
          <w:p>
            <w:pPr>
              <w:jc w:val="center"/>
              <w:ind w:left="90"/>
              <w:spacing w:after="0"/>
              <w:rPr>
                <w:sz w:val="20"/>
                <w:szCs w:val="20"/>
                <w:color w:val="auto"/>
              </w:rPr>
            </w:pPr>
            <w:r>
              <w:rPr>
                <w:rFonts w:ascii="Arial" w:cs="Arial" w:eastAsia="Arial" w:hAnsi="Arial"/>
                <w:sz w:val="18"/>
                <w:szCs w:val="18"/>
                <w:color w:val="auto"/>
                <w:w w:val="88"/>
              </w:rPr>
              <w:t>Title of each class</w:t>
            </w:r>
          </w:p>
        </w:tc>
        <w:tc>
          <w:tcPr>
            <w:tcW w:w="2460" w:type="dxa"/>
            <w:vAlign w:val="bottom"/>
          </w:tcPr>
          <w:p>
            <w:pPr>
              <w:jc w:val="center"/>
              <w:ind w:left="90"/>
              <w:spacing w:after="0"/>
              <w:rPr>
                <w:sz w:val="20"/>
                <w:szCs w:val="20"/>
                <w:color w:val="auto"/>
              </w:rPr>
            </w:pPr>
            <w:r>
              <w:rPr>
                <w:rFonts w:ascii="Arial" w:cs="Arial" w:eastAsia="Arial" w:hAnsi="Arial"/>
                <w:sz w:val="18"/>
                <w:szCs w:val="18"/>
                <w:color w:val="auto"/>
                <w:w w:val="92"/>
              </w:rPr>
              <w:t>Trading Symbol(s)</w:t>
            </w: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8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jc w:val="center"/>
              <w:ind w:left="90"/>
              <w:spacing w:after="0"/>
              <w:rPr>
                <w:sz w:val="20"/>
                <w:szCs w:val="20"/>
                <w:color w:val="auto"/>
              </w:rPr>
            </w:pPr>
            <w:r>
              <w:rPr>
                <w:rFonts w:ascii="Arial" w:cs="Arial" w:eastAsia="Arial" w:hAnsi="Arial"/>
                <w:sz w:val="18"/>
                <w:szCs w:val="18"/>
                <w:color w:val="auto"/>
                <w:w w:val="89"/>
              </w:rPr>
              <w:t>Ordinary Shares, nominal value $0.01 per share</w:t>
            </w:r>
          </w:p>
        </w:tc>
        <w:tc>
          <w:tcPr>
            <w:tcW w:w="2460" w:type="dxa"/>
            <w:vAlign w:val="bottom"/>
          </w:tcPr>
          <w:p>
            <w:pPr>
              <w:jc w:val="center"/>
              <w:ind w:left="70"/>
              <w:spacing w:after="0"/>
              <w:rPr>
                <w:sz w:val="20"/>
                <w:szCs w:val="20"/>
                <w:color w:val="auto"/>
              </w:rPr>
            </w:pPr>
            <w:r>
              <w:rPr>
                <w:rFonts w:ascii="Arial" w:cs="Arial" w:eastAsia="Arial" w:hAnsi="Arial"/>
                <w:sz w:val="18"/>
                <w:szCs w:val="18"/>
                <w:color w:val="auto"/>
                <w:w w:val="89"/>
              </w:rPr>
              <w:t>PNR</w:t>
            </w: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(§223.405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56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tcPr>
          <w:p>
            <w:pPr>
              <w:spacing w:after="0"/>
              <w:rPr>
                <w:sz w:val="18"/>
                <w:szCs w:val="18"/>
                <w:color w:val="auto"/>
              </w:rPr>
            </w:pPr>
          </w:p>
        </w:tc>
        <w:tc>
          <w:tcPr>
            <w:tcW w:w="4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80" w:type="dxa"/>
            <w:vAlign w:val="bottom"/>
          </w:tcPr>
          <w:p>
            <w:pPr>
              <w:spacing w:after="0"/>
              <w:rPr>
                <w:sz w:val="18"/>
                <w:szCs w:val="18"/>
                <w:color w:val="auto"/>
              </w:rPr>
            </w:pPr>
          </w:p>
        </w:tc>
        <w:tc>
          <w:tcPr>
            <w:tcW w:w="4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50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0"/>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60" w:type="dxa"/>
            <w:vAlign w:val="bottom"/>
            <w:vMerge w:val="continue"/>
          </w:tcPr>
          <w:p>
            <w:pPr>
              <w:spacing w:after="0"/>
              <w:rPr>
                <w:sz w:val="21"/>
                <w:szCs w:val="21"/>
                <w:color w:val="auto"/>
              </w:rPr>
            </w:pPr>
          </w:p>
        </w:tc>
        <w:tc>
          <w:tcPr>
            <w:tcW w:w="1520" w:type="dxa"/>
            <w:vAlign w:val="bottom"/>
          </w:tcPr>
          <w:p>
            <w:pPr>
              <w:ind w:left="180"/>
              <w:spacing w:after="0"/>
              <w:rPr>
                <w:sz w:val="20"/>
                <w:szCs w:val="20"/>
                <w:color w:val="auto"/>
              </w:rPr>
            </w:pPr>
            <w:r>
              <w:rPr>
                <w:rFonts w:ascii="Arial" w:cs="Arial" w:eastAsia="Arial" w:hAnsi="Arial"/>
                <w:sz w:val="18"/>
                <w:szCs w:val="18"/>
                <w:color w:val="auto"/>
              </w:rPr>
              <w:t>Accelerated filer</w:t>
            </w:r>
          </w:p>
        </w:tc>
        <w:tc>
          <w:tcPr>
            <w:tcW w:w="480" w:type="dxa"/>
            <w:vAlign w:val="bottom"/>
            <w:vMerge w:val="continue"/>
          </w:tcPr>
          <w:p>
            <w:pPr>
              <w:spacing w:after="0"/>
              <w:rPr>
                <w:sz w:val="21"/>
                <w:szCs w:val="21"/>
                <w:color w:val="auto"/>
              </w:rPr>
            </w:pPr>
          </w:p>
        </w:tc>
        <w:tc>
          <w:tcPr>
            <w:tcW w:w="1880" w:type="dxa"/>
            <w:vAlign w:val="bottom"/>
          </w:tcPr>
          <w:p>
            <w:pPr>
              <w:ind w:left="180"/>
              <w:spacing w:after="0"/>
              <w:rPr>
                <w:sz w:val="20"/>
                <w:szCs w:val="20"/>
                <w:color w:val="auto"/>
              </w:rPr>
            </w:pPr>
            <w:r>
              <w:rPr>
                <w:rFonts w:ascii="Arial" w:cs="Arial" w:eastAsia="Arial" w:hAnsi="Arial"/>
                <w:sz w:val="18"/>
                <w:szCs w:val="18"/>
                <w:color w:val="auto"/>
              </w:rPr>
              <w:t>Non-accelerated filer</w:t>
            </w:r>
          </w:p>
        </w:tc>
        <w:tc>
          <w:tcPr>
            <w:tcW w:w="48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50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June 30, 2019, 168,049,131 shares of Registrant’s common stock were outstanding.</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94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89"/>
              </w:rPr>
              <w:t>Pentair plc and Subsidiaries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0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460" w:type="dxa"/>
            <w:vAlign w:val="bottom"/>
            <w:gridSpan w:val="12"/>
            <w:vMerge w:val="restart"/>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3020" w:type="dxa"/>
            <w:vAlign w:val="bottom"/>
            <w:tcBorders>
              <w:bottom w:val="single" w:sz="8" w:color="auto"/>
            </w:tcBorders>
            <w:gridSpan w:val="5"/>
            <w:vMerge w:val="continue"/>
          </w:tcPr>
          <w:p>
            <w:pPr>
              <w:spacing w:after="0"/>
              <w:rPr>
                <w:sz w:val="24"/>
                <w:szCs w:val="24"/>
                <w:color w:val="auto"/>
              </w:rPr>
            </w:pPr>
          </w:p>
        </w:tc>
        <w:tc>
          <w:tcPr>
            <w:tcW w:w="7460" w:type="dxa"/>
            <w:vAlign w:val="bottom"/>
            <w:gridSpan w:val="1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57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and Comprehensive Income</w:t>
              </w:r>
            </w:hyperlink>
          </w:p>
        </w:tc>
        <w:tc>
          <w:tcPr>
            <w:tcW w:w="25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200" w:type="dxa"/>
            <w:vAlign w:val="bottom"/>
            <w:gridSpan w:val="3"/>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200" w:type="dxa"/>
            <w:vAlign w:val="bottom"/>
            <w:gridSpan w:val="3"/>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Changes in Equity</w:t>
              </w:r>
            </w:hyperlink>
          </w:p>
        </w:tc>
        <w:tc>
          <w:tcPr>
            <w:tcW w:w="200" w:type="dxa"/>
            <w:vAlign w:val="bottom"/>
            <w:gridSpan w:val="3"/>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4200" w:type="dxa"/>
            <w:vAlign w:val="bottom"/>
            <w:tcBorders>
              <w:top w:val="single" w:sz="8" w:color="0000EE"/>
            </w:tcBorders>
            <w:gridSpan w:val="12"/>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Notes to Condensed Consolidated Financial Statements</w:t>
              </w:r>
            </w:hyperlink>
          </w:p>
        </w:tc>
        <w:tc>
          <w:tcPr>
            <w:tcW w:w="4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1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900" w:type="dxa"/>
            <w:vAlign w:val="bottom"/>
            <w:gridSpan w:val="4"/>
          </w:tcPr>
          <w:p>
            <w:pPr>
              <w:ind w:lef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3"/>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Quantitative and Qualitative Disclosures about Market Risk</w:t>
              </w:r>
            </w:hyperlink>
          </w:p>
        </w:tc>
        <w:tc>
          <w:tcPr>
            <w:tcW w:w="2140" w:type="dxa"/>
            <w:vAlign w:val="bottom"/>
            <w:gridSpan w:val="2"/>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88"/>
              </w:rPr>
            </w:pPr>
            <w:hyperlink w:anchor="page41">
              <w:r>
                <w:rPr>
                  <w:rFonts w:ascii="Arial" w:cs="Arial" w:eastAsia="Arial" w:hAnsi="Arial"/>
                  <w:sz w:val="18"/>
                  <w:szCs w:val="18"/>
                  <w:color w:val="0000FF"/>
                  <w:w w:val="88"/>
                </w:rPr>
                <w:t>Controls and Procedures</w:t>
              </w:r>
            </w:hyperlink>
          </w:p>
        </w:tc>
        <w:tc>
          <w:tcPr>
            <w:tcW w:w="2540" w:type="dxa"/>
            <w:vAlign w:val="bottom"/>
            <w:gridSpan w:val="6"/>
          </w:tcPr>
          <w:p>
            <w:pPr>
              <w:spacing w:after="0"/>
              <w:rPr>
                <w:sz w:val="24"/>
                <w:szCs w:val="24"/>
                <w:color w:val="auto"/>
              </w:rPr>
            </w:pPr>
          </w:p>
        </w:tc>
        <w:tc>
          <w:tcPr>
            <w:tcW w:w="40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776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900" w:type="dxa"/>
            <w:vAlign w:val="bottom"/>
            <w:gridSpan w:val="4"/>
          </w:tcPr>
          <w:p>
            <w:pPr>
              <w:ind w:lef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5"/>
          </w:tcPr>
          <w:p>
            <w:pP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Risk Factors</w:t>
              </w:r>
            </w:hyperlink>
          </w:p>
        </w:tc>
        <w:tc>
          <w:tcPr>
            <w:tcW w:w="420" w:type="dxa"/>
            <w:vAlign w:val="bottom"/>
          </w:tcPr>
          <w:p>
            <w:pPr>
              <w:spacing w:after="0"/>
              <w:rPr>
                <w:sz w:val="24"/>
                <w:szCs w:val="24"/>
                <w:color w:val="auto"/>
              </w:rPr>
            </w:pPr>
          </w:p>
        </w:tc>
        <w:tc>
          <w:tcPr>
            <w:tcW w:w="698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4320" w:type="dxa"/>
            <w:vAlign w:val="bottom"/>
            <w:gridSpan w:val="13"/>
          </w:tcPr>
          <w:p>
            <w:pPr>
              <w:spacing w:after="0"/>
              <w:rPr>
                <w:rFonts w:ascii="Arial" w:cs="Arial" w:eastAsia="Arial" w:hAnsi="Arial"/>
                <w:sz w:val="18"/>
                <w:szCs w:val="18"/>
                <w:color w:val="0000FF"/>
                <w:w w:val="88"/>
              </w:rPr>
            </w:pPr>
            <w:hyperlink w:anchor="page43">
              <w:r>
                <w:rPr>
                  <w:rFonts w:ascii="Arial" w:cs="Arial" w:eastAsia="Arial" w:hAnsi="Arial"/>
                  <w:sz w:val="18"/>
                  <w:szCs w:val="18"/>
                  <w:color w:val="0000FF"/>
                  <w:w w:val="88"/>
                </w:rPr>
                <w:t>Unregistered Sales of Equity Securities and Use of Proceeds</w:t>
              </w:r>
            </w:hyperlink>
          </w:p>
        </w:tc>
        <w:tc>
          <w:tcPr>
            <w:tcW w:w="40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6.</w:t>
            </w:r>
          </w:p>
        </w:tc>
        <w:tc>
          <w:tcPr>
            <w:tcW w:w="4320" w:type="dxa"/>
            <w:vAlign w:val="bottom"/>
            <w:gridSpan w:val="1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40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Signatures</w:t>
              </w:r>
            </w:hyperlink>
          </w:p>
        </w:tc>
        <w:tc>
          <w:tcPr>
            <w:tcW w:w="900" w:type="dxa"/>
            <w:vAlign w:val="bottom"/>
            <w:gridSpan w:val="4"/>
          </w:tcPr>
          <w:p>
            <w:pPr>
              <w:ind w:lef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885"/>
        </w:trPr>
        <w:tc>
          <w:tcPr>
            <w:tcW w:w="21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2960" w:type="dxa"/>
            <w:vAlign w:val="bottom"/>
            <w:gridSpan w:val="7"/>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Six months ended</w:t>
            </w:r>
          </w:p>
        </w:tc>
      </w:tr>
      <w:tr>
        <w:trPr>
          <w:trHeight w:val="153"/>
        </w:trPr>
        <w:tc>
          <w:tcPr>
            <w:tcW w:w="6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00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02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June 30,</w:t>
            </w:r>
          </w:p>
        </w:tc>
      </w:tr>
      <w:tr>
        <w:trPr>
          <w:trHeight w:val="205"/>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per-share data</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799.5</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1,488.4</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1,513.2</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goods sold</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512.8</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498.0</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966.1</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977.3</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286.7</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522.3</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535.9</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132.2</w:t>
            </w:r>
          </w:p>
        </w:tc>
        <w:tc>
          <w:tcPr>
            <w:tcW w:w="2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279.5</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282.7</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37.9</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133.8</w:t>
            </w:r>
          </w:p>
        </w:tc>
        <w:tc>
          <w:tcPr>
            <w:tcW w:w="2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215.3</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Loss (gain) on sale of business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6.2</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early extinguishment of debt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Net interest expense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2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23.6</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137.2</w:t>
            </w:r>
          </w:p>
        </w:tc>
        <w:tc>
          <w:tcPr>
            <w:tcW w:w="2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98.7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200.4</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172.2</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35.9</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Net income from continuing operations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115.1</w:t>
            </w:r>
          </w:p>
        </w:tc>
        <w:tc>
          <w:tcPr>
            <w:tcW w:w="2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167.5</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136.3</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(Loss) income from discontinued operations, net of tax</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r>
      <w:tr>
        <w:trPr>
          <w:trHeight w:val="30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114.3</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165.6</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144.4</w:t>
            </w: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net of tax</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114.3</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165.6</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144.4</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cumulative translation adjustment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Changes in market value of derivative financial instruments, net of tax</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r>
      <w:tr>
        <w:trPr>
          <w:trHeight w:val="264"/>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110.0</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68.4</w:t>
            </w: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164.0</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169.9</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Earnings (loss) per ordinary share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Basic</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Continuing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0.68</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0.98</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0.77</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r>
      <w:tr>
        <w:trPr>
          <w:trHeight w:val="30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ordinary share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0.67</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0.23</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0.97</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0.81</w:t>
            </w: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Diluted</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Continuing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0.68</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0.98</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0.76</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r>
      <w:tr>
        <w:trPr>
          <w:trHeight w:val="30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ordinary share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0.67</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0.23</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0.97</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0.80</w:t>
            </w: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ordinary shares outstanding</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169.8</w:t>
            </w:r>
          </w:p>
        </w:tc>
        <w:tc>
          <w:tcPr>
            <w:tcW w:w="2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170.6</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178.1</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170.5</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171.4</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792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per-share data</w:t>
            </w:r>
          </w:p>
        </w:tc>
        <w:tc>
          <w:tcPr>
            <w:tcW w:w="62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40"/>
        </w:trPr>
        <w:tc>
          <w:tcPr>
            <w:tcW w:w="79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7920" w:type="dxa"/>
            <w:vAlign w:val="bottom"/>
            <w:tcBorders>
              <w:bottom w:val="single" w:sz="8" w:color="CCEEFF"/>
            </w:tcBorders>
            <w:shd w:val="clear" w:color="auto" w:fill="CCEEFF"/>
          </w:tcPr>
          <w:p>
            <w:pPr>
              <w:ind w:left="5500"/>
              <w:spacing w:after="0"/>
              <w:rPr>
                <w:sz w:val="20"/>
                <w:szCs w:val="20"/>
                <w:color w:val="auto"/>
              </w:rPr>
            </w:pPr>
            <w:r>
              <w:rPr>
                <w:rFonts w:ascii="Arial" w:cs="Arial" w:eastAsia="Arial" w:hAnsi="Arial"/>
                <w:sz w:val="16"/>
                <w:szCs w:val="16"/>
                <w:b w:val="1"/>
                <w:bCs w:val="1"/>
                <w:color w:val="auto"/>
              </w:rPr>
              <w:t>Assets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79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Accounts and notes receivable, net of allowances of $13.7 and $14.0, respectively</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459.6</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488.2</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396.7</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387.5</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104.7</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89.4</w:t>
            </w:r>
          </w:p>
        </w:tc>
      </w:tr>
      <w:tr>
        <w:trPr>
          <w:trHeight w:val="33"/>
        </w:trPr>
        <w:tc>
          <w:tcPr>
            <w:tcW w:w="7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1,041.5</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1,039.4</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280.3</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272.6</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Goodwill</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2,287.5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2,072.7</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Intangibles, net</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354.2</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276.3</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206.5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145.5</w:t>
            </w:r>
          </w:p>
        </w:tc>
      </w:tr>
      <w:tr>
        <w:trPr>
          <w:trHeight w:val="33"/>
        </w:trPr>
        <w:tc>
          <w:tcPr>
            <w:tcW w:w="7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2,848.2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2,494.5</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4,170.0</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3,806.5</w:t>
            </w:r>
          </w:p>
        </w:tc>
      </w:tr>
      <w:tr>
        <w:trPr>
          <w:trHeight w:val="73"/>
        </w:trPr>
        <w:tc>
          <w:tcPr>
            <w:tcW w:w="79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17"/>
        </w:trPr>
        <w:tc>
          <w:tcPr>
            <w:tcW w:w="7920" w:type="dxa"/>
            <w:vAlign w:val="bottom"/>
            <w:tcBorders>
              <w:bottom w:val="single" w:sz="8" w:color="CCEEFF"/>
            </w:tcBorders>
            <w:shd w:val="clear" w:color="auto" w:fill="CCEEFF"/>
          </w:tcPr>
          <w:p>
            <w:pPr>
              <w:ind w:left="4960"/>
              <w:spacing w:after="0"/>
              <w:rPr>
                <w:sz w:val="20"/>
                <w:szCs w:val="20"/>
                <w:color w:val="auto"/>
              </w:rPr>
            </w:pPr>
            <w:r>
              <w:rPr>
                <w:rFonts w:ascii="Arial" w:cs="Arial" w:eastAsia="Arial" w:hAnsi="Arial"/>
                <w:sz w:val="16"/>
                <w:szCs w:val="16"/>
                <w:b w:val="1"/>
                <w:bCs w:val="1"/>
                <w:color w:val="auto"/>
              </w:rPr>
              <w:t>Liabilities and Equity</w:t>
            </w:r>
          </w:p>
        </w:tc>
        <w:tc>
          <w:tcPr>
            <w:tcW w:w="6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37"/>
        </w:trPr>
        <w:tc>
          <w:tcPr>
            <w:tcW w:w="79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261.7</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378.6</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Employee compensation and benefits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68.7</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111.7</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6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379.8</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328.4</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6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710.2</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818.7</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1,215.1</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787.6</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and other post-retirement compensation and benefits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119.8</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105.9</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6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liabilities</w:t>
            </w:r>
          </w:p>
        </w:tc>
        <w:tc>
          <w:tcPr>
            <w:tcW w:w="6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2,363.4</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1,970.4</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0"/>
        </w:trPr>
        <w:tc>
          <w:tcPr>
            <w:tcW w:w="7920" w:type="dxa"/>
            <w:vAlign w:val="bottom"/>
          </w:tcPr>
          <w:p>
            <w:pPr>
              <w:ind w:left="40"/>
              <w:spacing w:after="0"/>
              <w:rPr>
                <w:sz w:val="20"/>
                <w:szCs w:val="20"/>
                <w:color w:val="auto"/>
              </w:rPr>
            </w:pPr>
            <w:r>
              <w:rPr>
                <w:rFonts w:ascii="Arial" w:cs="Arial" w:eastAsia="Arial" w:hAnsi="Arial"/>
                <w:sz w:val="16"/>
                <w:szCs w:val="16"/>
                <w:color w:val="auto"/>
                <w:w w:val="94"/>
              </w:rPr>
              <w:t>Ordinary shares $0.01 par value, 426.0 authorized, 168.0 and 171.4 issued at June 30, 2019 and December 31, 2018,</w:t>
            </w: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792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1,761.7</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1,893.8</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273.4</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169.2</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6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equity</w:t>
            </w:r>
          </w:p>
        </w:tc>
        <w:tc>
          <w:tcPr>
            <w:tcW w:w="6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1,806.6</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1,836.1</w:t>
            </w:r>
          </w:p>
        </w:tc>
      </w:tr>
      <w:tr>
        <w:trPr>
          <w:trHeight w:val="33"/>
        </w:trPr>
        <w:tc>
          <w:tcPr>
            <w:tcW w:w="7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4,170.0</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3,806.5</w:t>
            </w:r>
          </w:p>
        </w:tc>
      </w:tr>
      <w:tr>
        <w:trPr>
          <w:trHeight w:val="20"/>
        </w:trPr>
        <w:tc>
          <w:tcPr>
            <w:tcW w:w="7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53"/>
        </w:trPr>
        <w:tc>
          <w:tcPr>
            <w:tcW w:w="8240" w:type="dxa"/>
            <w:vAlign w:val="bottom"/>
          </w:tcPr>
          <w:p>
            <w:pPr>
              <w:spacing w:after="0"/>
              <w:rPr>
                <w:sz w:val="13"/>
                <w:szCs w:val="13"/>
                <w:color w:val="auto"/>
              </w:rPr>
            </w:pPr>
          </w:p>
        </w:tc>
        <w:tc>
          <w:tcPr>
            <w:tcW w:w="1040" w:type="dxa"/>
            <w:vAlign w:val="bottom"/>
          </w:tcPr>
          <w:p>
            <w:pPr>
              <w:jc w:val="center"/>
              <w:ind w:left="448"/>
              <w:spacing w:after="0" w:line="153" w:lineRule="exact"/>
              <w:rPr>
                <w:sz w:val="20"/>
                <w:szCs w:val="20"/>
                <w:color w:val="auto"/>
              </w:rPr>
            </w:pPr>
            <w:r>
              <w:rPr>
                <w:rFonts w:ascii="Arial" w:cs="Arial" w:eastAsia="Arial" w:hAnsi="Arial"/>
                <w:sz w:val="14"/>
                <w:szCs w:val="14"/>
                <w:b w:val="1"/>
                <w:bCs w:val="1"/>
                <w:color w:val="auto"/>
                <w:w w:val="92"/>
              </w:rPr>
              <w:t>June 30,</w:t>
            </w:r>
          </w:p>
        </w:tc>
        <w:tc>
          <w:tcPr>
            <w:tcW w:w="2140" w:type="dxa"/>
            <w:vAlign w:val="bottom"/>
          </w:tcPr>
          <w:p>
            <w:pPr>
              <w:jc w:val="center"/>
              <w:ind w:left="448"/>
              <w:spacing w:after="0" w:line="153" w:lineRule="exact"/>
              <w:rPr>
                <w:sz w:val="20"/>
                <w:szCs w:val="20"/>
                <w:color w:val="auto"/>
              </w:rPr>
            </w:pPr>
            <w:r>
              <w:rPr>
                <w:rFonts w:ascii="Arial" w:cs="Arial" w:eastAsia="Arial" w:hAnsi="Arial"/>
                <w:sz w:val="14"/>
                <w:szCs w:val="14"/>
                <w:b w:val="1"/>
                <w:bCs w:val="1"/>
                <w:color w:val="auto"/>
                <w:w w:val="89"/>
              </w:rPr>
              <w:t>June 30,</w:t>
            </w:r>
          </w:p>
        </w:tc>
      </w:tr>
      <w:tr>
        <w:trPr>
          <w:trHeight w:val="205"/>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21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r>
      <w:tr>
        <w:trPr>
          <w:trHeight w:val="191"/>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104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r>
      <w:tr>
        <w:trPr>
          <w:trHeight w:val="80"/>
        </w:trPr>
        <w:tc>
          <w:tcPr>
            <w:tcW w:w="82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r>
    </w:tbl>
    <w:p>
      <w:pPr>
        <w:spacing w:after="0" w:line="8" w:lineRule="exact"/>
        <w:rPr>
          <w:sz w:val="20"/>
          <w:szCs w:val="20"/>
          <w:color w:val="auto"/>
        </w:rPr>
      </w:pPr>
    </w:p>
    <w:p>
      <w:pPr>
        <w:sectPr>
          <w:pgSz w:w="11900" w:h="16838" w:orient="portrait"/>
          <w:cols w:equalWidth="0" w:num="1">
            <w:col w:w="11420"/>
          </w:cols>
          <w:pgMar w:left="240" w:top="122" w:right="239" w:bottom="1440" w:gutter="0" w:footer="0" w:header="0"/>
        </w:sectPr>
      </w:pPr>
    </w:p>
    <w:p>
      <w:pPr>
        <w:ind w:left="40"/>
        <w:spacing w:after="0"/>
        <w:tabs>
          <w:tab w:leader="none" w:pos="8240" w:val="left"/>
        </w:tabs>
        <w:rPr>
          <w:sz w:val="20"/>
          <w:szCs w:val="20"/>
          <w:color w:val="auto"/>
        </w:rPr>
      </w:pPr>
      <w:r>
        <w:rPr>
          <w:rFonts w:ascii="Arial" w:cs="Arial" w:eastAsia="Arial" w:hAnsi="Arial"/>
          <w:sz w:val="14"/>
          <w:szCs w:val="14"/>
          <w:color w:val="auto"/>
        </w:rPr>
        <w:t>Net income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(income) from discontinued operations, net of tax</w:t>
      </w:r>
    </w:p>
    <w:p>
      <w:pPr>
        <w:spacing w:after="0" w:line="51" w:lineRule="exact"/>
        <w:rPr>
          <w:sz w:val="20"/>
          <w:szCs w:val="20"/>
          <w:color w:val="auto"/>
        </w:rPr>
      </w:pPr>
    </w:p>
    <w:p>
      <w:pPr>
        <w:ind w:left="200" w:right="560" w:hanging="161"/>
        <w:spacing w:after="0" w:line="259" w:lineRule="auto"/>
        <w:rPr>
          <w:sz w:val="20"/>
          <w:szCs w:val="20"/>
          <w:color w:val="auto"/>
        </w:rPr>
      </w:pPr>
      <w:r>
        <w:rPr>
          <w:rFonts w:ascii="Arial" w:cs="Arial" w:eastAsia="Arial" w:hAnsi="Arial"/>
          <w:sz w:val="14"/>
          <w:szCs w:val="14"/>
          <w:b w:val="1"/>
          <w:bCs w:val="1"/>
          <w:color w:val="auto"/>
        </w:rPr>
        <w:t>Adjustments to reconcile net income from continuing operations to net cash provided by (used for) operating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Equity income of unconsolidated subsidiaries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(Gain) loss on sale of business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Trade name and other impairment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on early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Pension settlement gain</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Pension and other post-retirement plan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Changes in assets and liabilities, net of effects of business acquisitions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20" w:type="dxa"/>
            <w:vAlign w:val="bottom"/>
          </w:tcPr>
          <w:p>
            <w:pPr>
              <w:jc w:val="right"/>
              <w:ind w:right="8"/>
              <w:spacing w:after="0"/>
              <w:rPr>
                <w:sz w:val="20"/>
                <w:szCs w:val="20"/>
                <w:color w:val="auto"/>
              </w:rPr>
            </w:pPr>
            <w:r>
              <w:rPr>
                <w:rFonts w:ascii="Arial" w:cs="Arial" w:eastAsia="Arial" w:hAnsi="Arial"/>
                <w:sz w:val="14"/>
                <w:szCs w:val="14"/>
                <w:color w:val="auto"/>
                <w:w w:val="91"/>
              </w:rPr>
              <w:t>165.6</w:t>
            </w:r>
          </w:p>
        </w:tc>
        <w:tc>
          <w:tcPr>
            <w:tcW w:w="6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144.4</w:t>
            </w:r>
          </w:p>
        </w:tc>
      </w:tr>
      <w:tr>
        <w:trPr>
          <w:trHeight w:val="216"/>
        </w:trPr>
        <w:tc>
          <w:tcPr>
            <w:tcW w:w="42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554"/>
        </w:trPr>
        <w:tc>
          <w:tcPr>
            <w:tcW w:w="420" w:type="dxa"/>
            <w:vAlign w:val="bottom"/>
          </w:tcPr>
          <w:p>
            <w:pPr>
              <w:jc w:val="right"/>
              <w:spacing w:after="0"/>
              <w:rPr>
                <w:sz w:val="20"/>
                <w:szCs w:val="20"/>
                <w:color w:val="auto"/>
              </w:rPr>
            </w:pPr>
            <w:r>
              <w:rPr>
                <w:rFonts w:ascii="Arial" w:cs="Arial" w:eastAsia="Arial" w:hAnsi="Arial"/>
                <w:sz w:val="14"/>
                <w:szCs w:val="14"/>
                <w:color w:val="auto"/>
              </w:rPr>
              <w:t>(2.5)</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16"/>
        </w:trPr>
        <w:tc>
          <w:tcPr>
            <w:tcW w:w="420" w:type="dxa"/>
            <w:vAlign w:val="bottom"/>
          </w:tcPr>
          <w:p>
            <w:pPr>
              <w:jc w:val="right"/>
              <w:ind w:right="8"/>
              <w:spacing w:after="0"/>
              <w:rPr>
                <w:sz w:val="20"/>
                <w:szCs w:val="20"/>
                <w:color w:val="auto"/>
              </w:rPr>
            </w:pPr>
            <w:r>
              <w:rPr>
                <w:rFonts w:ascii="Arial" w:cs="Arial" w:eastAsia="Arial" w:hAnsi="Arial"/>
                <w:sz w:val="14"/>
                <w:szCs w:val="14"/>
                <w:color w:val="auto"/>
              </w:rPr>
              <w:t>24.4</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24.9</w:t>
            </w:r>
          </w:p>
        </w:tc>
      </w:tr>
      <w:tr>
        <w:trPr>
          <w:trHeight w:val="216"/>
        </w:trPr>
        <w:tc>
          <w:tcPr>
            <w:tcW w:w="42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16"/>
        </w:trPr>
        <w:tc>
          <w:tcPr>
            <w:tcW w:w="420" w:type="dxa"/>
            <w:vAlign w:val="bottom"/>
          </w:tcPr>
          <w:p>
            <w:pPr>
              <w:jc w:val="right"/>
              <w:spacing w:after="0"/>
              <w:rPr>
                <w:sz w:val="20"/>
                <w:szCs w:val="20"/>
                <w:color w:val="auto"/>
              </w:rPr>
            </w:pPr>
            <w:r>
              <w:rPr>
                <w:rFonts w:ascii="Arial" w:cs="Arial" w:eastAsia="Arial" w:hAnsi="Arial"/>
                <w:sz w:val="14"/>
                <w:szCs w:val="14"/>
                <w:color w:val="auto"/>
              </w:rPr>
              <w:t>(9.6)</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16"/>
        </w:trPr>
        <w:tc>
          <w:tcPr>
            <w:tcW w:w="420" w:type="dxa"/>
            <w:vAlign w:val="bottom"/>
          </w:tcPr>
          <w:p>
            <w:pPr>
              <w:jc w:val="right"/>
              <w:spacing w:after="0"/>
              <w:rPr>
                <w:sz w:val="20"/>
                <w:szCs w:val="20"/>
                <w:color w:val="auto"/>
              </w:rPr>
            </w:pPr>
            <w:r>
              <w:rPr>
                <w:rFonts w:ascii="Arial" w:cs="Arial" w:eastAsia="Arial" w:hAnsi="Arial"/>
                <w:sz w:val="14"/>
                <w:szCs w:val="14"/>
                <w:color w:val="auto"/>
              </w:rPr>
              <w:t>(3.4)</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16"/>
        </w:trPr>
        <w:tc>
          <w:tcPr>
            <w:tcW w:w="42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16"/>
        </w:trPr>
        <w:tc>
          <w:tcPr>
            <w:tcW w:w="42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16"/>
        </w:trPr>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216"/>
        </w:trPr>
        <w:tc>
          <w:tcPr>
            <w:tcW w:w="420" w:type="dxa"/>
            <w:vAlign w:val="bottom"/>
          </w:tcPr>
          <w:p>
            <w:pPr>
              <w:jc w:val="right"/>
              <w:spacing w:after="0"/>
              <w:rPr>
                <w:sz w:val="20"/>
                <w:szCs w:val="20"/>
                <w:color w:val="auto"/>
              </w:rPr>
            </w:pPr>
            <w:r>
              <w:rPr>
                <w:rFonts w:ascii="Arial" w:cs="Arial" w:eastAsia="Arial" w:hAnsi="Arial"/>
                <w:sz w:val="14"/>
                <w:szCs w:val="14"/>
                <w:color w:val="auto"/>
                <w:w w:val="98"/>
              </w:rPr>
              <w:t>(12.2)</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420" w:type="dxa"/>
            <w:vAlign w:val="bottom"/>
          </w:tcPr>
          <w:p>
            <w:pPr>
              <w:jc w:val="right"/>
              <w:spacing w:after="0"/>
              <w:rPr>
                <w:sz w:val="20"/>
                <w:szCs w:val="20"/>
                <w:color w:val="auto"/>
              </w:rPr>
            </w:pPr>
            <w:r>
              <w:rPr>
                <w:rFonts w:ascii="Arial" w:cs="Arial" w:eastAsia="Arial" w:hAnsi="Arial"/>
                <w:sz w:val="14"/>
                <w:szCs w:val="14"/>
                <w:color w:val="auto"/>
                <w:w w:val="98"/>
              </w:rPr>
              <w:t>(10.7)</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90" w:lineRule="exact"/>
        <w:rPr>
          <w:sz w:val="20"/>
          <w:szCs w:val="20"/>
          <w:color w:val="auto"/>
        </w:rPr>
      </w:pPr>
    </w:p>
    <w:p>
      <w:pPr>
        <w:sectPr>
          <w:pgSz w:w="11900" w:h="16838" w:orient="portrait"/>
          <w:cols w:equalWidth="0" w:num="2">
            <w:col w:w="8680" w:space="720"/>
            <w:col w:w="202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6780" w:type="dxa"/>
            <w:vAlign w:val="bottom"/>
          </w:tcPr>
          <w:p>
            <w:pPr>
              <w:ind w:left="180"/>
              <w:spacing w:after="0"/>
              <w:rPr>
                <w:sz w:val="20"/>
                <w:szCs w:val="20"/>
                <w:color w:val="auto"/>
              </w:rPr>
            </w:pPr>
            <w:r>
              <w:rPr>
                <w:rFonts w:ascii="Arial" w:cs="Arial" w:eastAsia="Arial" w:hAnsi="Arial"/>
                <w:sz w:val="14"/>
                <w:szCs w:val="14"/>
                <w:color w:val="auto"/>
              </w:rPr>
              <w:t>Accounts and notes receivable</w:t>
            </w:r>
          </w:p>
        </w:tc>
        <w:tc>
          <w:tcPr>
            <w:tcW w:w="3600" w:type="dxa"/>
            <w:vAlign w:val="bottom"/>
          </w:tcPr>
          <w:p>
            <w:pPr>
              <w:jc w:val="right"/>
              <w:ind w:right="568"/>
              <w:spacing w:after="0"/>
              <w:rPr>
                <w:sz w:val="20"/>
                <w:szCs w:val="20"/>
                <w:color w:val="auto"/>
              </w:rPr>
            </w:pPr>
            <w:r>
              <w:rPr>
                <w:rFonts w:ascii="Arial" w:cs="Arial" w:eastAsia="Arial" w:hAnsi="Arial"/>
                <w:sz w:val="14"/>
                <w:szCs w:val="14"/>
                <w:color w:val="auto"/>
              </w:rPr>
              <w:t>32.2</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52.7</w:t>
            </w:r>
          </w:p>
        </w:tc>
      </w:tr>
      <w:tr>
        <w:trPr>
          <w:trHeight w:val="222"/>
        </w:trPr>
        <w:tc>
          <w:tcPr>
            <w:tcW w:w="6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360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3.1</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197"/>
        </w:trPr>
        <w:tc>
          <w:tcPr>
            <w:tcW w:w="678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3600" w:type="dxa"/>
            <w:vAlign w:val="bottom"/>
          </w:tcPr>
          <w:p>
            <w:pPr>
              <w:jc w:val="right"/>
              <w:ind w:right="528"/>
              <w:spacing w:after="0"/>
              <w:rPr>
                <w:sz w:val="20"/>
                <w:szCs w:val="20"/>
                <w:color w:val="auto"/>
              </w:rPr>
            </w:pPr>
            <w:r>
              <w:rPr>
                <w:rFonts w:ascii="Arial" w:cs="Arial" w:eastAsia="Arial" w:hAnsi="Arial"/>
                <w:sz w:val="14"/>
                <w:szCs w:val="14"/>
                <w:color w:val="auto"/>
              </w:rPr>
              <w:t>(18.8)</w:t>
            </w:r>
          </w:p>
        </w:tc>
        <w:tc>
          <w:tcPr>
            <w:tcW w:w="104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09"/>
        </w:trPr>
        <w:tc>
          <w:tcPr>
            <w:tcW w:w="6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6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(123.1)</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r>
      <w:tr>
        <w:trPr>
          <w:trHeight w:val="197"/>
        </w:trPr>
        <w:tc>
          <w:tcPr>
            <w:tcW w:w="6780" w:type="dxa"/>
            <w:vAlign w:val="bottom"/>
          </w:tcPr>
          <w:p>
            <w:pPr>
              <w:ind w:left="180"/>
              <w:spacing w:after="0"/>
              <w:rPr>
                <w:sz w:val="20"/>
                <w:szCs w:val="20"/>
                <w:color w:val="auto"/>
              </w:rPr>
            </w:pPr>
            <w:r>
              <w:rPr>
                <w:rFonts w:ascii="Arial" w:cs="Arial" w:eastAsia="Arial" w:hAnsi="Arial"/>
                <w:sz w:val="14"/>
                <w:szCs w:val="14"/>
                <w:color w:val="auto"/>
              </w:rPr>
              <w:t>Employee compensation and benefits</w:t>
            </w:r>
          </w:p>
        </w:tc>
        <w:tc>
          <w:tcPr>
            <w:tcW w:w="3600" w:type="dxa"/>
            <w:vAlign w:val="bottom"/>
          </w:tcPr>
          <w:p>
            <w:pPr>
              <w:jc w:val="right"/>
              <w:ind w:right="528"/>
              <w:spacing w:after="0"/>
              <w:rPr>
                <w:sz w:val="20"/>
                <w:szCs w:val="20"/>
                <w:color w:val="auto"/>
              </w:rPr>
            </w:pPr>
            <w:r>
              <w:rPr>
                <w:rFonts w:ascii="Arial" w:cs="Arial" w:eastAsia="Arial" w:hAnsi="Arial"/>
                <w:sz w:val="14"/>
                <w:szCs w:val="14"/>
                <w:color w:val="auto"/>
              </w:rPr>
              <w:t>(22.5)</w:t>
            </w:r>
          </w:p>
        </w:tc>
        <w:tc>
          <w:tcPr>
            <w:tcW w:w="1040" w:type="dxa"/>
            <w:vAlign w:val="bottom"/>
          </w:tcPr>
          <w:p>
            <w:pPr>
              <w:jc w:val="right"/>
              <w:spacing w:after="0"/>
              <w:rPr>
                <w:sz w:val="20"/>
                <w:szCs w:val="20"/>
                <w:color w:val="auto"/>
              </w:rPr>
            </w:pPr>
            <w:r>
              <w:rPr>
                <w:rFonts w:ascii="Arial" w:cs="Arial" w:eastAsia="Arial" w:hAnsi="Arial"/>
                <w:sz w:val="14"/>
                <w:szCs w:val="14"/>
                <w:color w:val="auto"/>
              </w:rPr>
              <w:t>(32.2)</w:t>
            </w:r>
          </w:p>
        </w:tc>
      </w:tr>
      <w:tr>
        <w:trPr>
          <w:trHeight w:val="222"/>
        </w:trPr>
        <w:tc>
          <w:tcPr>
            <w:tcW w:w="6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liabilities</w:t>
            </w:r>
          </w:p>
        </w:tc>
        <w:tc>
          <w:tcPr>
            <w:tcW w:w="360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28.5</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r>
      <w:tr>
        <w:trPr>
          <w:trHeight w:val="210"/>
        </w:trPr>
        <w:tc>
          <w:tcPr>
            <w:tcW w:w="67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non-current assets and liabilities</w:t>
            </w:r>
          </w:p>
        </w:tc>
        <w:tc>
          <w:tcPr>
            <w:tcW w:w="3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0.9</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r>
      <w:tr>
        <w:trPr>
          <w:trHeight w:val="196"/>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600" w:type="dxa"/>
            <w:vAlign w:val="bottom"/>
            <w:tcBorders>
              <w:bottom w:val="single" w:sz="8" w:color="CCEEFF"/>
            </w:tcBorders>
            <w:shd w:val="clear" w:color="auto" w:fill="CCEEFF"/>
          </w:tcPr>
          <w:p>
            <w:pPr>
              <w:jc w:val="right"/>
              <w:ind w:right="568"/>
              <w:spacing w:after="0"/>
              <w:rPr>
                <w:sz w:val="20"/>
                <w:szCs w:val="20"/>
                <w:color w:val="auto"/>
              </w:rPr>
            </w:pPr>
            <w:r>
              <w:rPr>
                <w:rFonts w:ascii="Arial" w:cs="Arial" w:eastAsia="Arial" w:hAnsi="Arial"/>
                <w:sz w:val="14"/>
                <w:szCs w:val="14"/>
                <w:color w:val="auto"/>
              </w:rPr>
              <w:t>99.2</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177.8</w:t>
            </w:r>
          </w:p>
        </w:tc>
      </w:tr>
      <w:tr>
        <w:trPr>
          <w:trHeight w:val="197"/>
        </w:trPr>
        <w:tc>
          <w:tcPr>
            <w:tcW w:w="67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Net cash used for operating activities of discontinued operations</w:t>
            </w:r>
          </w:p>
        </w:tc>
        <w:tc>
          <w:tcPr>
            <w:tcW w:w="36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190"/>
        </w:trPr>
        <w:tc>
          <w:tcPr>
            <w:tcW w:w="6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360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96.7</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171.9</w:t>
            </w:r>
          </w:p>
        </w:tc>
      </w:tr>
      <w:tr>
        <w:trPr>
          <w:trHeight w:val="26"/>
        </w:trPr>
        <w:tc>
          <w:tcPr>
            <w:tcW w:w="678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Capital expenditures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(payments due to) the sale of businesses, net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Net cash used for investing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Net cash used for investing activities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cash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Financing activities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040" w:type="dxa"/>
            <w:vAlign w:val="bottom"/>
          </w:tcPr>
          <w:p>
            <w:pPr>
              <w:jc w:val="right"/>
              <w:ind w:right="548"/>
              <w:spacing w:after="0"/>
              <w:rPr>
                <w:sz w:val="20"/>
                <w:szCs w:val="20"/>
                <w:color w:val="auto"/>
              </w:rPr>
            </w:pPr>
            <w:r>
              <w:rPr>
                <w:rFonts w:ascii="Arial" w:cs="Arial" w:eastAsia="Arial" w:hAnsi="Arial"/>
                <w:sz w:val="14"/>
                <w:szCs w:val="14"/>
                <w:color w:val="auto"/>
              </w:rPr>
              <w:t>(29.8)</w:t>
            </w:r>
          </w:p>
        </w:tc>
        <w:tc>
          <w:tcPr>
            <w:tcW w:w="960" w:type="dxa"/>
            <w:vAlign w:val="bottom"/>
          </w:tcPr>
          <w:p>
            <w:pPr>
              <w:jc w:val="right"/>
              <w:spacing w:after="0"/>
              <w:rPr>
                <w:sz w:val="20"/>
                <w:szCs w:val="20"/>
                <w:color w:val="auto"/>
              </w:rPr>
            </w:pPr>
            <w:r>
              <w:rPr>
                <w:rFonts w:ascii="Arial" w:cs="Arial" w:eastAsia="Arial" w:hAnsi="Arial"/>
                <w:sz w:val="14"/>
                <w:szCs w:val="14"/>
                <w:color w:val="auto"/>
              </w:rPr>
              <w:t>(20.3)</w:t>
            </w:r>
          </w:p>
        </w:tc>
      </w:tr>
      <w:tr>
        <w:trPr>
          <w:trHeight w:val="216"/>
        </w:trPr>
        <w:tc>
          <w:tcPr>
            <w:tcW w:w="1040" w:type="dxa"/>
            <w:vAlign w:val="bottom"/>
          </w:tcPr>
          <w:p>
            <w:pPr>
              <w:jc w:val="right"/>
              <w:ind w:right="588"/>
              <w:spacing w:after="0"/>
              <w:rPr>
                <w:sz w:val="20"/>
                <w:szCs w:val="20"/>
                <w:color w:val="auto"/>
              </w:rPr>
            </w:pPr>
            <w:r>
              <w:rPr>
                <w:rFonts w:ascii="Arial" w:cs="Arial" w:eastAsia="Arial" w:hAnsi="Arial"/>
                <w:sz w:val="14"/>
                <w:szCs w:val="14"/>
                <w:color w:val="auto"/>
              </w:rPr>
              <w:t>0.4</w:t>
            </w:r>
          </w:p>
        </w:tc>
        <w:tc>
          <w:tcPr>
            <w:tcW w:w="9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16"/>
        </w:trPr>
        <w:tc>
          <w:tcPr>
            <w:tcW w:w="1040" w:type="dxa"/>
            <w:vAlign w:val="bottom"/>
          </w:tcPr>
          <w:p>
            <w:pPr>
              <w:jc w:val="right"/>
              <w:ind w:right="588"/>
              <w:spacing w:after="0"/>
              <w:rPr>
                <w:sz w:val="20"/>
                <w:szCs w:val="20"/>
                <w:color w:val="auto"/>
              </w:rPr>
            </w:pPr>
            <w:r>
              <w:rPr>
                <w:rFonts w:ascii="Arial" w:cs="Arial" w:eastAsia="Arial" w:hAnsi="Arial"/>
                <w:sz w:val="14"/>
                <w:szCs w:val="14"/>
                <w:color w:val="auto"/>
              </w:rPr>
              <w:t>0.7</w:t>
            </w:r>
          </w:p>
        </w:tc>
        <w:tc>
          <w:tcPr>
            <w:tcW w:w="96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203"/>
        </w:trPr>
        <w:tc>
          <w:tcPr>
            <w:tcW w:w="1040" w:type="dxa"/>
            <w:vAlign w:val="bottom"/>
          </w:tcPr>
          <w:p>
            <w:pPr>
              <w:jc w:val="right"/>
              <w:ind w:right="548"/>
              <w:spacing w:after="0"/>
              <w:rPr>
                <w:sz w:val="20"/>
                <w:szCs w:val="20"/>
                <w:color w:val="auto"/>
              </w:rPr>
            </w:pPr>
            <w:r>
              <w:rPr>
                <w:rFonts w:ascii="Arial" w:cs="Arial" w:eastAsia="Arial" w:hAnsi="Arial"/>
                <w:sz w:val="14"/>
                <w:szCs w:val="14"/>
                <w:color w:val="auto"/>
                <w:w w:val="90"/>
              </w:rPr>
              <w:t>(284.5)</w:t>
            </w:r>
          </w:p>
        </w:tc>
        <w:tc>
          <w:tcPr>
            <w:tcW w:w="96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16"/>
        </w:trPr>
        <w:tc>
          <w:tcPr>
            <w:tcW w:w="1040" w:type="dxa"/>
            <w:vAlign w:val="bottom"/>
          </w:tcPr>
          <w:p>
            <w:pPr>
              <w:jc w:val="right"/>
              <w:ind w:right="548"/>
              <w:spacing w:after="0"/>
              <w:rPr>
                <w:sz w:val="20"/>
                <w:szCs w:val="20"/>
                <w:color w:val="auto"/>
              </w:rPr>
            </w:pPr>
            <w:r>
              <w:rPr>
                <w:rFonts w:ascii="Arial" w:cs="Arial" w:eastAsia="Arial" w:hAnsi="Arial"/>
                <w:sz w:val="14"/>
                <w:szCs w:val="14"/>
                <w:color w:val="auto"/>
              </w:rPr>
              <w:t>(1.5)</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040" w:type="dxa"/>
            <w:vAlign w:val="bottom"/>
          </w:tcPr>
          <w:p>
            <w:pPr>
              <w:jc w:val="right"/>
              <w:ind w:right="548"/>
              <w:spacing w:after="0"/>
              <w:rPr>
                <w:sz w:val="20"/>
                <w:szCs w:val="20"/>
                <w:color w:val="auto"/>
              </w:rPr>
            </w:pPr>
            <w:r>
              <w:rPr>
                <w:rFonts w:ascii="Arial" w:cs="Arial" w:eastAsia="Arial" w:hAnsi="Arial"/>
                <w:sz w:val="14"/>
                <w:szCs w:val="14"/>
                <w:color w:val="auto"/>
                <w:w w:val="90"/>
              </w:rPr>
              <w:t>(314.7)</w:t>
            </w:r>
          </w:p>
        </w:tc>
        <w:tc>
          <w:tcPr>
            <w:tcW w:w="96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216"/>
        </w:trPr>
        <w:tc>
          <w:tcPr>
            <w:tcW w:w="104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16"/>
        </w:trPr>
        <w:tc>
          <w:tcPr>
            <w:tcW w:w="1040" w:type="dxa"/>
            <w:vAlign w:val="bottom"/>
          </w:tcPr>
          <w:p>
            <w:pPr>
              <w:jc w:val="right"/>
              <w:ind w:right="548"/>
              <w:spacing w:after="0"/>
              <w:rPr>
                <w:sz w:val="20"/>
                <w:szCs w:val="20"/>
                <w:color w:val="auto"/>
              </w:rPr>
            </w:pPr>
            <w:r>
              <w:rPr>
                <w:rFonts w:ascii="Arial" w:cs="Arial" w:eastAsia="Arial" w:hAnsi="Arial"/>
                <w:sz w:val="14"/>
                <w:szCs w:val="14"/>
                <w:color w:val="auto"/>
                <w:w w:val="90"/>
              </w:rPr>
              <w:t>(314.7)</w:t>
            </w:r>
          </w:p>
        </w:tc>
        <w:tc>
          <w:tcPr>
            <w:tcW w:w="960" w:type="dxa"/>
            <w:vAlign w:val="bottom"/>
          </w:tcPr>
          <w:p>
            <w:pPr>
              <w:jc w:val="right"/>
              <w:spacing w:after="0"/>
              <w:rPr>
                <w:sz w:val="20"/>
                <w:szCs w:val="20"/>
                <w:color w:val="auto"/>
              </w:rPr>
            </w:pPr>
            <w:r>
              <w:rPr>
                <w:rFonts w:ascii="Arial" w:cs="Arial" w:eastAsia="Arial" w:hAnsi="Arial"/>
                <w:sz w:val="14"/>
                <w:szCs w:val="14"/>
                <w:color w:val="auto"/>
              </w:rPr>
              <w:t>(41.6)</w:t>
            </w:r>
          </w:p>
        </w:tc>
      </w:tr>
    </w:tbl>
    <w:p>
      <w:pPr>
        <w:spacing w:after="0" w:line="290" w:lineRule="exact"/>
        <w:rPr>
          <w:sz w:val="20"/>
          <w:szCs w:val="20"/>
          <w:color w:val="auto"/>
        </w:rPr>
      </w:pPr>
    </w:p>
    <w:p>
      <w:pPr>
        <w:sectPr>
          <w:pgSz w:w="11900" w:h="16838" w:orient="portrait"/>
          <w:cols w:equalWidth="0" w:num="2">
            <w:col w:w="8640" w:space="720"/>
            <w:col w:w="206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6020" w:type="dxa"/>
            <w:vAlign w:val="bottom"/>
          </w:tcPr>
          <w:p>
            <w:pPr>
              <w:ind w:left="40"/>
              <w:spacing w:after="0"/>
              <w:rPr>
                <w:sz w:val="20"/>
                <w:szCs w:val="20"/>
                <w:color w:val="auto"/>
              </w:rPr>
            </w:pPr>
            <w:r>
              <w:rPr>
                <w:rFonts w:ascii="Arial" w:cs="Arial" w:eastAsia="Arial" w:hAnsi="Arial"/>
                <w:sz w:val="14"/>
                <w:szCs w:val="14"/>
                <w:color w:val="auto"/>
              </w:rPr>
              <w:t>Net receipts of commercial paper and revolving long-term debt</w:t>
            </w:r>
          </w:p>
        </w:tc>
        <w:tc>
          <w:tcPr>
            <w:tcW w:w="282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32.9</w:t>
            </w:r>
          </w:p>
        </w:tc>
        <w:tc>
          <w:tcPr>
            <w:tcW w:w="62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30.2</w:t>
            </w:r>
          </w:p>
        </w:tc>
      </w:tr>
      <w:tr>
        <w:trPr>
          <w:trHeight w:val="222"/>
        </w:trPr>
        <w:tc>
          <w:tcPr>
            <w:tcW w:w="6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long-term debt</w:t>
            </w:r>
          </w:p>
        </w:tc>
        <w:tc>
          <w:tcPr>
            <w:tcW w:w="28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6020" w:type="dxa"/>
            <w:vAlign w:val="bottom"/>
          </w:tcPr>
          <w:p>
            <w:pPr>
              <w:ind w:left="40"/>
              <w:spacing w:after="0"/>
              <w:rPr>
                <w:sz w:val="20"/>
                <w:szCs w:val="20"/>
                <w:color w:val="auto"/>
              </w:rPr>
            </w:pPr>
            <w:r>
              <w:rPr>
                <w:rFonts w:ascii="Arial" w:cs="Arial" w:eastAsia="Arial" w:hAnsi="Arial"/>
                <w:sz w:val="14"/>
                <w:szCs w:val="14"/>
                <w:color w:val="auto"/>
              </w:rPr>
              <w:t>Repayments of long-term debt</w:t>
            </w:r>
          </w:p>
        </w:tc>
        <w:tc>
          <w:tcPr>
            <w:tcW w:w="28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(675.1)</w:t>
            </w:r>
          </w:p>
        </w:tc>
      </w:tr>
      <w:tr>
        <w:trPr>
          <w:trHeight w:val="222"/>
        </w:trPr>
        <w:tc>
          <w:tcPr>
            <w:tcW w:w="6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issuance costs</w:t>
            </w:r>
          </w:p>
        </w:tc>
        <w:tc>
          <w:tcPr>
            <w:tcW w:w="28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6020" w:type="dxa"/>
            <w:vAlign w:val="bottom"/>
          </w:tcPr>
          <w:p>
            <w:pPr>
              <w:ind w:left="40"/>
              <w:spacing w:after="0"/>
              <w:rPr>
                <w:sz w:val="20"/>
                <w:szCs w:val="20"/>
                <w:color w:val="auto"/>
              </w:rPr>
            </w:pPr>
            <w:r>
              <w:rPr>
                <w:rFonts w:ascii="Arial" w:cs="Arial" w:eastAsia="Arial" w:hAnsi="Arial"/>
                <w:sz w:val="14"/>
                <w:szCs w:val="14"/>
                <w:color w:val="auto"/>
              </w:rPr>
              <w:t>Premium paid on early extinguishment of debt</w:t>
            </w:r>
          </w:p>
        </w:tc>
        <w:tc>
          <w:tcPr>
            <w:tcW w:w="28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22"/>
        </w:trPr>
        <w:tc>
          <w:tcPr>
            <w:tcW w:w="6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Transfer of cash to nVent</w:t>
            </w:r>
          </w:p>
        </w:tc>
        <w:tc>
          <w:tcPr>
            <w:tcW w:w="28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r>
      <w:tr>
        <w:trPr>
          <w:trHeight w:val="210"/>
        </w:trPr>
        <w:tc>
          <w:tcPr>
            <w:tcW w:w="6020" w:type="dxa"/>
            <w:vAlign w:val="bottom"/>
          </w:tcPr>
          <w:p>
            <w:pPr>
              <w:ind w:left="40"/>
              <w:spacing w:after="0"/>
              <w:rPr>
                <w:sz w:val="20"/>
                <w:szCs w:val="20"/>
                <w:color w:val="auto"/>
              </w:rPr>
            </w:pPr>
            <w:r>
              <w:rPr>
                <w:rFonts w:ascii="Arial" w:cs="Arial" w:eastAsia="Arial" w:hAnsi="Arial"/>
                <w:sz w:val="14"/>
                <w:szCs w:val="14"/>
                <w:color w:val="auto"/>
              </w:rPr>
              <w:t>Distribution of cash from nVent</w:t>
            </w:r>
          </w:p>
        </w:tc>
        <w:tc>
          <w:tcPr>
            <w:tcW w:w="28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993.6</w:t>
            </w:r>
          </w:p>
        </w:tc>
      </w:tr>
      <w:tr>
        <w:trPr>
          <w:trHeight w:val="222"/>
        </w:trPr>
        <w:tc>
          <w:tcPr>
            <w:tcW w:w="6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to employees, net of shares withheld</w:t>
            </w:r>
          </w:p>
        </w:tc>
        <w:tc>
          <w:tcPr>
            <w:tcW w:w="28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r>
      <w:tr>
        <w:trPr>
          <w:trHeight w:val="197"/>
        </w:trPr>
        <w:tc>
          <w:tcPr>
            <w:tcW w:w="6020" w:type="dxa"/>
            <w:vAlign w:val="bottom"/>
          </w:tcPr>
          <w:p>
            <w:pPr>
              <w:ind w:left="40"/>
              <w:spacing w:after="0"/>
              <w:rPr>
                <w:sz w:val="20"/>
                <w:szCs w:val="20"/>
                <w:color w:val="auto"/>
              </w:rPr>
            </w:pPr>
            <w:r>
              <w:rPr>
                <w:rFonts w:ascii="Arial" w:cs="Arial" w:eastAsia="Arial" w:hAnsi="Arial"/>
                <w:sz w:val="14"/>
                <w:szCs w:val="14"/>
                <w:color w:val="auto"/>
              </w:rPr>
              <w:t>Repurchases of ordinary shares</w:t>
            </w:r>
          </w:p>
        </w:tc>
        <w:tc>
          <w:tcPr>
            <w:tcW w:w="28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(150.0)</w:t>
            </w:r>
          </w:p>
        </w:tc>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(300.0)</w:t>
            </w:r>
          </w:p>
        </w:tc>
      </w:tr>
      <w:tr>
        <w:trPr>
          <w:trHeight w:val="203"/>
        </w:trPr>
        <w:tc>
          <w:tcPr>
            <w:tcW w:w="6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Dividends paid</w:t>
            </w:r>
          </w:p>
        </w:tc>
        <w:tc>
          <w:tcPr>
            <w:tcW w:w="28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6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w:t>
            </w:r>
          </w:p>
        </w:tc>
      </w:tr>
      <w:tr>
        <w:trPr>
          <w:trHeight w:val="210"/>
        </w:trPr>
        <w:tc>
          <w:tcPr>
            <w:tcW w:w="6020" w:type="dxa"/>
            <w:vAlign w:val="bottom"/>
          </w:tcPr>
          <w:p>
            <w:pPr>
              <w:ind w:left="380"/>
              <w:spacing w:after="0"/>
              <w:rPr>
                <w:sz w:val="20"/>
                <w:szCs w:val="20"/>
                <w:color w:val="auto"/>
              </w:rPr>
            </w:pPr>
            <w:r>
              <w:rPr>
                <w:rFonts w:ascii="Arial" w:cs="Arial" w:eastAsia="Arial" w:hAnsi="Arial"/>
                <w:sz w:val="14"/>
                <w:szCs w:val="14"/>
                <w:color w:val="auto"/>
              </w:rPr>
              <w:t>Net cash provided by (used for) financing activities</w:t>
            </w:r>
          </w:p>
        </w:tc>
        <w:tc>
          <w:tcPr>
            <w:tcW w:w="28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222.4</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(161.1)</w:t>
            </w:r>
          </w:p>
        </w:tc>
      </w:tr>
      <w:tr>
        <w:trPr>
          <w:trHeight w:val="222"/>
        </w:trPr>
        <w:tc>
          <w:tcPr>
            <w:tcW w:w="6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Change in cash held for sale</w:t>
            </w:r>
          </w:p>
        </w:tc>
        <w:tc>
          <w:tcPr>
            <w:tcW w:w="28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r>
      <w:tr>
        <w:trPr>
          <w:trHeight w:val="210"/>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2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216"/>
        </w:trPr>
        <w:tc>
          <w:tcPr>
            <w:tcW w:w="6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Change in cash and cash equivalents</w:t>
            </w:r>
          </w:p>
        </w:tc>
        <w:tc>
          <w:tcPr>
            <w:tcW w:w="28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10"/>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2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74.3</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86.3</w:t>
            </w:r>
          </w:p>
        </w:tc>
      </w:tr>
      <w:tr>
        <w:trPr>
          <w:trHeight w:val="210"/>
        </w:trPr>
        <w:tc>
          <w:tcPr>
            <w:tcW w:w="6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end of period</w:t>
            </w:r>
          </w:p>
        </w:tc>
        <w:tc>
          <w:tcPr>
            <w:tcW w:w="282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80.5</w:t>
            </w:r>
          </w:p>
        </w:tc>
        <w:tc>
          <w:tcPr>
            <w:tcW w:w="62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78.7</w:t>
            </w: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20" w:type="dxa"/>
            <w:vAlign w:val="bottom"/>
          </w:tcPr>
          <w:p>
            <w:pPr>
              <w:spacing w:after="0"/>
              <w:rPr>
                <w:sz w:val="13"/>
                <w:szCs w:val="13"/>
                <w:color w:val="auto"/>
              </w:rPr>
            </w:pPr>
          </w:p>
        </w:tc>
        <w:tc>
          <w:tcPr>
            <w:tcW w:w="1880" w:type="dxa"/>
            <w:vAlign w:val="bottom"/>
            <w:gridSpan w:val="3"/>
          </w:tcPr>
          <w:p>
            <w:pPr>
              <w:jc w:val="right"/>
              <w:ind w:right="408"/>
              <w:spacing w:after="0"/>
              <w:rPr>
                <w:sz w:val="20"/>
                <w:szCs w:val="20"/>
                <w:color w:val="auto"/>
              </w:rPr>
            </w:pPr>
            <w:r>
              <w:rPr>
                <w:rFonts w:ascii="Arial" w:cs="Arial" w:eastAsia="Arial" w:hAnsi="Arial"/>
                <w:sz w:val="13"/>
                <w:szCs w:val="13"/>
                <w:b w:val="1"/>
                <w:bCs w:val="1"/>
                <w:color w:val="auto"/>
              </w:rPr>
              <w:t>Ordinary shares</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ind w:right="89"/>
              <w:spacing w:after="0"/>
              <w:rPr>
                <w:sz w:val="20"/>
                <w:szCs w:val="20"/>
                <w:color w:val="auto"/>
              </w:rPr>
            </w:pPr>
            <w:r>
              <w:rPr>
                <w:rFonts w:ascii="Arial" w:cs="Arial" w:eastAsia="Arial" w:hAnsi="Arial"/>
                <w:sz w:val="13"/>
                <w:szCs w:val="13"/>
                <w:b w:val="1"/>
                <w:bCs w:val="1"/>
                <w:color w:val="auto"/>
                <w:w w:val="85"/>
              </w:rPr>
              <w:t>Accumulated</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vMerge w:val="restart"/>
          </w:tcPr>
          <w:p>
            <w:pPr>
              <w:jc w:val="center"/>
              <w:ind w:right="29"/>
              <w:spacing w:after="0" w:line="117" w:lineRule="exact"/>
              <w:rPr>
                <w:sz w:val="20"/>
                <w:szCs w:val="20"/>
                <w:color w:val="auto"/>
              </w:rPr>
            </w:pPr>
            <w:r>
              <w:rPr>
                <w:rFonts w:ascii="Arial" w:cs="Arial" w:eastAsia="Arial" w:hAnsi="Arial"/>
                <w:sz w:val="13"/>
                <w:szCs w:val="13"/>
                <w:b w:val="1"/>
                <w:bCs w:val="1"/>
                <w:color w:val="auto"/>
                <w:w w:val="89"/>
              </w:rPr>
              <w:t>Additional paid-in</w:t>
            </w: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vMerge w:val="restart"/>
          </w:tcPr>
          <w:p>
            <w:pPr>
              <w:jc w:val="center"/>
              <w:ind w:right="89"/>
              <w:spacing w:after="0" w:line="117" w:lineRule="exact"/>
              <w:rPr>
                <w:sz w:val="20"/>
                <w:szCs w:val="20"/>
                <w:color w:val="auto"/>
              </w:rPr>
            </w:pPr>
            <w:r>
              <w:rPr>
                <w:rFonts w:ascii="Arial" w:cs="Arial" w:eastAsia="Arial" w:hAnsi="Arial"/>
                <w:sz w:val="13"/>
                <w:szCs w:val="13"/>
                <w:b w:val="1"/>
                <w:bCs w:val="1"/>
                <w:color w:val="auto"/>
                <w:w w:val="92"/>
              </w:rPr>
              <w:t>other</w:t>
            </w: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92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Number</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w w:val="85"/>
              </w:rPr>
              <w:t>Retained earnings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1"/>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2018</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171.4</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1,893.8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169.2</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1,836.1</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51.3</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Dividends declared, $0.18 per share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(31.0)</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9.1</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March 31, 2019</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171.9</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1,905.1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189.5</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(225.9)</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1,870.4</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114.3</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Dividends declared, $0.18 per share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(30.4)</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Balance - June 30, 2019</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168.0</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1.7</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1,761.7</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273.4</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(230.2)</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1,806.6</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120" w:type="dxa"/>
            <w:vAlign w:val="bottom"/>
          </w:tcPr>
          <w:p>
            <w:pPr>
              <w:spacing w:after="0"/>
              <w:rPr>
                <w:sz w:val="24"/>
                <w:szCs w:val="24"/>
                <w:color w:val="auto"/>
              </w:rPr>
            </w:pPr>
          </w:p>
        </w:tc>
        <w:tc>
          <w:tcPr>
            <w:tcW w:w="1880" w:type="dxa"/>
            <w:vAlign w:val="bottom"/>
            <w:gridSpan w:val="3"/>
          </w:tcPr>
          <w:p>
            <w:pPr>
              <w:jc w:val="right"/>
              <w:ind w:right="408"/>
              <w:spacing w:after="0"/>
              <w:rPr>
                <w:sz w:val="20"/>
                <w:szCs w:val="20"/>
                <w:color w:val="auto"/>
              </w:rPr>
            </w:pPr>
            <w:r>
              <w:rPr>
                <w:rFonts w:ascii="Arial" w:cs="Arial" w:eastAsia="Arial" w:hAnsi="Arial"/>
                <w:sz w:val="13"/>
                <w:szCs w:val="13"/>
                <w:b w:val="1"/>
                <w:bCs w:val="1"/>
                <w:color w:val="auto"/>
              </w:rPr>
              <w:t>Ordinary shares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ind w:right="89"/>
              <w:spacing w:after="0"/>
              <w:rPr>
                <w:sz w:val="20"/>
                <w:szCs w:val="20"/>
                <w:color w:val="auto"/>
              </w:rPr>
            </w:pPr>
            <w:r>
              <w:rPr>
                <w:rFonts w:ascii="Arial" w:cs="Arial" w:eastAsia="Arial" w:hAnsi="Arial"/>
                <w:sz w:val="13"/>
                <w:szCs w:val="13"/>
                <w:b w:val="1"/>
                <w:bCs w:val="1"/>
                <w:color w:val="auto"/>
                <w:w w:val="85"/>
              </w:rPr>
              <w:t>Accumulated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1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vMerge w:val="restart"/>
          </w:tcPr>
          <w:p>
            <w:pPr>
              <w:jc w:val="center"/>
              <w:ind w:right="29"/>
              <w:spacing w:after="0" w:line="117" w:lineRule="exact"/>
              <w:rPr>
                <w:sz w:val="20"/>
                <w:szCs w:val="20"/>
                <w:color w:val="auto"/>
              </w:rPr>
            </w:pPr>
            <w:r>
              <w:rPr>
                <w:rFonts w:ascii="Arial" w:cs="Arial" w:eastAsia="Arial" w:hAnsi="Arial"/>
                <w:sz w:val="13"/>
                <w:szCs w:val="13"/>
                <w:b w:val="1"/>
                <w:bCs w:val="1"/>
                <w:color w:val="auto"/>
                <w:w w:val="89"/>
              </w:rPr>
              <w:t>Additional paid-in</w:t>
            </w: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vMerge w:val="restart"/>
          </w:tcPr>
          <w:p>
            <w:pPr>
              <w:jc w:val="center"/>
              <w:ind w:right="89"/>
              <w:spacing w:after="0" w:line="117" w:lineRule="exact"/>
              <w:rPr>
                <w:sz w:val="20"/>
                <w:szCs w:val="20"/>
                <w:color w:val="auto"/>
              </w:rPr>
            </w:pPr>
            <w:r>
              <w:rPr>
                <w:rFonts w:ascii="Arial" w:cs="Arial" w:eastAsia="Arial" w:hAnsi="Arial"/>
                <w:sz w:val="13"/>
                <w:szCs w:val="13"/>
                <w:b w:val="1"/>
                <w:bCs w:val="1"/>
                <w:color w:val="auto"/>
                <w:w w:val="92"/>
              </w:rPr>
              <w:t>other</w:t>
            </w: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1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Number</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w w:val="85"/>
              </w:rPr>
              <w:t>Retained earnings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1"/>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2017</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180.3</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2,797.7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2,481.7</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5,037.8</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102.9</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of accounting changes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Other comprehensive loss, net of tax</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$0.35 per share</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5.8</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March 31, 2018</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178.4</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2,654.7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2,308.0</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(244.8)</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4,719.7</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41.5</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74.8</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Distribution to nVent</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(438.2)</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(2,290.7)</w:t>
            </w: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(47.9)</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(2,776.8)</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$0.175 per share</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6.3</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87"/>
        </w:trPr>
        <w:tc>
          <w:tcPr>
            <w:tcW w:w="4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June 30, 2018</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175.4</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2,077.1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(217.9)</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1,888.9</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 and Responsibility for Interim Financial Statements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2018.</w:t>
      </w:r>
    </w:p>
    <w:p>
      <w:pPr>
        <w:spacing w:after="0" w:line="1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January 1, 2019, we adopted ASU No. 2016-02, “Leases” (“the new lease standard” or “ASC 842”) using the transition method of adoption. Under the transition method of adoption, comparative information has not been restated and continues to be reported under the standards in effect for those periods. In addition, we elected the package of practical expedients permitted under the transition guidance within the new standard, which among other things, allowed us to carry forward the historical lease classification. We also elected the practical expedient to not separate non-lease components from the lease components to which they relate, and instead account for each separate lease and non-lease component associated with that lease component as a single lease component for all underlying asset classes. Accordingly, all costs associated with a lease contract are accounted for as one lease cost.</w:t>
      </w:r>
    </w:p>
    <w:p>
      <w:pPr>
        <w:spacing w:after="0" w:line="1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impact of adopting the new standard primarily relates to the recognition of a lease right-of-use (“ROU”) asset and current and non-current lease liability on the consolidated balance sheet. ROU assets represent our right to use an underlying asset for the lease term and lease liabilities represent our obligation to make lease payments arising from the lease. Lease ROU assets and liabilities are recognized at commencement date based on the present value of lease payments over the lease term. As we cannot readily determine the rate implicit in the lease, we use our incremental borrowing rate determined by country of lease origin based on the anticipated lease term as determined at commencement date in determining the present value of lease payments. The ROU asset also excludes any accrued lease payments and unamortized lease incentives.</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As of June 30, 2019, $78.7 million was included in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 $19.8 million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$62.1 million in </w:t>
      </w:r>
      <w:r>
        <w:rPr>
          <w:rFonts w:ascii="Arial" w:cs="Arial" w:eastAsia="Arial" w:hAnsi="Arial"/>
          <w:sz w:val="18"/>
          <w:szCs w:val="18"/>
          <w:i w:val="1"/>
          <w:iCs w:val="1"/>
          <w:color w:val="auto"/>
        </w:rPr>
        <w:t>Other non-current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 on the Condensed Consolidated Balance Sheets as a result of the new lease standard. There was no impact on our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and Comprehensive Income or Condensed Consolidated Statements of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for further discussion.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14 for revenue disaggregated by segment.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Geographic net sales information, based on geographic destination of the sale,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4"/>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90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Western Europe</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106.9</w:t>
            </w:r>
          </w:p>
        </w:tc>
        <w:tc>
          <w:tcPr>
            <w:tcW w:w="3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211.2</w:t>
            </w:r>
          </w:p>
        </w:tc>
        <w:tc>
          <w:tcPr>
            <w:tcW w:w="3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214.1</w:t>
            </w: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228.4</w:t>
            </w:r>
          </w:p>
        </w:tc>
      </w:tr>
      <w:tr>
        <w:trPr>
          <w:trHeight w:val="270"/>
        </w:trPr>
        <w:tc>
          <w:tcPr>
            <w:tcW w:w="492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3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114.1</w:t>
            </w: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1,488.4</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1,513.2</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ind w:left="220" w:hanging="185"/>
        <w:spacing w:after="0" w:line="212" w:lineRule="auto"/>
        <w:tabs>
          <w:tab w:leader="none" w:pos="22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Developing includes China, Eastern Europe, Latin America, the Middle East and Southeast Asia.</w:t>
      </w:r>
    </w:p>
    <w:p>
      <w:pPr>
        <w:spacing w:after="0" w:line="64" w:lineRule="exact"/>
        <w:rPr>
          <w:rFonts w:ascii="Arial" w:cs="Arial" w:eastAsia="Arial" w:hAnsi="Arial"/>
          <w:sz w:val="22"/>
          <w:szCs w:val="22"/>
          <w:color w:val="auto"/>
          <w:vertAlign w:val="superscript"/>
        </w:rPr>
      </w:pPr>
    </w:p>
    <w:p>
      <w:pPr>
        <w:ind w:left="220" w:hanging="185"/>
        <w:spacing w:after="0" w:line="182" w:lineRule="auto"/>
        <w:tabs>
          <w:tab w:leader="none" w:pos="22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Other Developed includes Australia, Canada and Japan.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Vertical net sales information was as follows: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4"/>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90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170.7</w:t>
            </w:r>
          </w:p>
        </w:tc>
        <w:tc>
          <w:tcPr>
            <w:tcW w:w="3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321.4</w:t>
            </w:r>
          </w:p>
        </w:tc>
        <w:tc>
          <w:tcPr>
            <w:tcW w:w="3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319.6</w:t>
            </w: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343.9</w:t>
            </w:r>
          </w:p>
        </w:tc>
      </w:tr>
      <w:tr>
        <w:trPr>
          <w:trHeight w:val="237"/>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 net sales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799.5</w:t>
            </w:r>
          </w:p>
        </w:tc>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780.6</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1,488.4</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1,513.2</w:t>
            </w:r>
          </w:p>
        </w:tc>
      </w:tr>
      <w:tr>
        <w:trPr>
          <w:trHeight w:val="27"/>
        </w:trPr>
        <w:tc>
          <w:tcPr>
            <w:tcW w:w="4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June 30, 2019, we had $59.8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96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3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96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43.5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19.2 %</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32.1</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3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296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208.1 %</w:t>
            </w:r>
          </w:p>
        </w:tc>
      </w:tr>
      <w:tr>
        <w:trPr>
          <w:trHeight w:val="20"/>
        </w:trPr>
        <w:tc>
          <w:tcPr>
            <w:tcW w:w="334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$7.7 million increase in net contract assets from December 31, 2018 to June 30, 2019 was primarily the result of timing of milestone payments. Approximately 70% of our contract liabilities at December 31, 2018 were recognized in revenue in the first half of 2019. There were no impairment losses recognized on our contract assets for the three months or six months ended June 30,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61" w:lineRule="exact"/>
        <w:rPr>
          <w:sz w:val="20"/>
          <w:szCs w:val="20"/>
          <w:color w:val="auto"/>
        </w:rPr>
      </w:pPr>
    </w:p>
    <w:p>
      <w:pPr>
        <w:ind w:right="7380" w:firstLine="8"/>
        <w:spacing w:after="0" w:line="269" w:lineRule="auto"/>
        <w:tabs>
          <w:tab w:leader="none" w:pos="78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Discontinued Operations </w:t>
      </w:r>
      <w:r>
        <w:rPr>
          <w:rFonts w:ascii="Arial" w:cs="Arial" w:eastAsia="Arial" w:hAnsi="Arial"/>
          <w:sz w:val="18"/>
          <w:szCs w:val="18"/>
          <w:b w:val="1"/>
          <w:bCs w:val="1"/>
          <w:i w:val="1"/>
          <w:iCs w:val="1"/>
          <w:color w:val="auto"/>
        </w:rPr>
        <w:t>Acquisitions</w:t>
      </w:r>
    </w:p>
    <w:p>
      <w:pPr>
        <w:ind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In February 2019, as part of Filtration Solutions, we completed the acquisitions of Aquion, Inc. (“Aquion”) and Pelican Water Systems (“Pelican”) for $163.4 million and $121.1 million, respectively, in cash, net of cash acquired.</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Aquion, the excess of purchase price over tangible net assets and identified intangible assets acquired has been preliminarily allocated to goodwill in the amount of $93.9 million, $4.6 million of which is expected to be deductible for income tax purposes. Identifiable intangible assets acquired as part of the Aquion acquisition include $15.7 million of indefinite-lived trade name intangible assets and $78.8 million of definite-lived customer relationships with an estimated useful life of 15 years.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Pelican, the excess purchase price over tangible net assets acquired has been preliminarily allocated to goodwill in the amount of $121.0 million, $7.6 million of which is expected to be deductible for income tax purposes.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preliminary purchase price allocation for these acquisitions is subject to further refinement and may require significant adjustments to arrive at the final purchase price allocation. These changes will primarily relate to impacts associated with income taxes and other accruals.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proforma impact of these acquisitions is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Discontinued Operation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Electrical Separation</w:t>
      </w:r>
    </w:p>
    <w:p>
      <w:pPr>
        <w:spacing w:after="0" w:line="2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On April 30, 2018, we completed the separation of our Electrical business from the rest of Pentair (the “Separation”) by means of a dividend in specie of the Electrical business, which was effected by the transfer of the Electrical business from Pentair to nVent Electric plc (“nVent”) and the issuance by nVent of ordinary shares directly to Pentair shareholders (the “Distribution”). The results of the Electrical business have been presented as discontinued operations. The Electrical business had been previously disclosed as a stand-alone reporting segment. Separation costs related to the Separation and Distribution were $55.3 million and $79.9 million for the three and six months ended June 30, 2018, respectively. These costs are reported in discontinued operations as they represent a cost directly related to the Separation and Distribution and are included within </w:t>
      </w:r>
      <w:r>
        <w:rPr>
          <w:rFonts w:ascii="Arial" w:cs="Arial" w:eastAsia="Arial" w:hAnsi="Arial"/>
          <w:sz w:val="18"/>
          <w:szCs w:val="18"/>
          <w:i w:val="1"/>
          <w:iCs w:val="1"/>
          <w:color w:val="auto"/>
        </w:rPr>
        <w:t>(Loss) income from discontinued operations, net of tax</w:t>
      </w:r>
      <w:r>
        <w:rPr>
          <w:rFonts w:ascii="Arial" w:cs="Arial" w:eastAsia="Arial" w:hAnsi="Arial"/>
          <w:sz w:val="18"/>
          <w:szCs w:val="18"/>
          <w:color w:val="auto"/>
        </w:rPr>
        <w:t xml:space="preserv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w w:val="97"/>
              </w:rPr>
              <w:t>Operating results of the discontinued operation is summarized below:</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5380" w:type="dxa"/>
            <w:vAlign w:val="bottom"/>
          </w:tcPr>
          <w:p>
            <w:pPr>
              <w:spacing w:after="0"/>
              <w:rPr>
                <w:sz w:val="24"/>
                <w:szCs w:val="24"/>
                <w:color w:val="auto"/>
              </w:rPr>
            </w:pPr>
          </w:p>
        </w:tc>
        <w:tc>
          <w:tcPr>
            <w:tcW w:w="3100" w:type="dxa"/>
            <w:vAlign w:val="bottom"/>
            <w:gridSpan w:val="5"/>
          </w:tcPr>
          <w:p>
            <w:pPr>
              <w:ind w:left="7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6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424.0</w:t>
            </w:r>
          </w:p>
        </w:tc>
      </w:tr>
      <w:tr>
        <w:trPr>
          <w:trHeight w:val="27"/>
        </w:trPr>
        <w:tc>
          <w:tcPr>
            <w:tcW w:w="5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231.0</w:t>
            </w:r>
          </w:p>
        </w:tc>
      </w:tr>
      <w:tr>
        <w:trPr>
          <w:trHeight w:val="27"/>
        </w:trPr>
        <w:tc>
          <w:tcPr>
            <w:tcW w:w="5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(0.5)</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r>
      <w:tr>
        <w:trPr>
          <w:trHeight w:val="67"/>
        </w:trPr>
        <w:tc>
          <w:tcPr>
            <w:tcW w:w="53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before income taxes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(0.4)</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0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5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(0.8)</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and six months ended June 30, 2019 and 2018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6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4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 expense</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14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5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 xml:space="preserve">Of the total share-based compensation expense noted above, $1.3 million and $3.4 million were reported as part of </w:t>
      </w:r>
      <w:r>
        <w:rPr>
          <w:rFonts w:ascii="Arial" w:cs="Arial" w:eastAsia="Arial" w:hAnsi="Arial"/>
          <w:sz w:val="18"/>
          <w:szCs w:val="18"/>
          <w:i w:val="1"/>
          <w:iCs w:val="1"/>
          <w:color w:val="auto"/>
        </w:rPr>
        <w:t>(Loss) income from 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net of tax </w:t>
      </w:r>
      <w:r>
        <w:rPr>
          <w:rFonts w:ascii="Arial" w:cs="Arial" w:eastAsia="Arial" w:hAnsi="Arial"/>
          <w:sz w:val="18"/>
          <w:szCs w:val="18"/>
          <w:color w:val="auto"/>
        </w:rPr>
        <w:t>for the three and six months ended June 30, 2018, respectively.</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first quarter of 2019, we issued our annual share-based compensation grants under the Pentair plc 2012 Stock and Incentive Plan to eligible employees. The total number of awards issued was approximately 0.8 million, of which 0.3 million were restricted stock units (“RSUs”), 0.4 million were stock options and 0.1 million were performance share units (“PSUs”). The weighted-average grant date fair value of the RSUs, stock options and PSUs issued was $40.84, $8.84, and $38.47, respectively.</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5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34"/>
        </w:trPr>
        <w:tc>
          <w:tcPr>
            <w:tcW w:w="6140" w:type="dxa"/>
            <w:vAlign w:val="bottom"/>
          </w:tcPr>
          <w:p>
            <w:pPr>
              <w:spacing w:after="0"/>
              <w:rPr>
                <w:sz w:val="20"/>
                <w:szCs w:val="20"/>
                <w:color w:val="auto"/>
              </w:rPr>
            </w:pPr>
          </w:p>
        </w:tc>
        <w:tc>
          <w:tcPr>
            <w:tcW w:w="5280" w:type="dxa"/>
            <w:vAlign w:val="bottom"/>
          </w:tcPr>
          <w:p>
            <w:pPr>
              <w:jc w:val="right"/>
              <w:ind w:right="190"/>
              <w:spacing w:after="0"/>
              <w:rPr>
                <w:sz w:val="20"/>
                <w:szCs w:val="20"/>
                <w:color w:val="auto"/>
              </w:rPr>
            </w:pPr>
            <w:r>
              <w:rPr>
                <w:rFonts w:ascii="Arial" w:cs="Arial" w:eastAsia="Arial" w:hAnsi="Arial"/>
                <w:sz w:val="18"/>
                <w:szCs w:val="18"/>
                <w:b w:val="1"/>
                <w:bCs w:val="1"/>
                <w:color w:val="auto"/>
              </w:rPr>
              <w:t>Annual Grant</w:t>
            </w:r>
          </w:p>
        </w:tc>
      </w:tr>
      <w:tr>
        <w:trPr>
          <w:trHeight w:val="27"/>
        </w:trPr>
        <w:tc>
          <w:tcPr>
            <w:tcW w:w="61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52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share price volatility</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5280" w:type="dxa"/>
            <w:vAlign w:val="bottom"/>
          </w:tcPr>
          <w:p>
            <w:pPr>
              <w:jc w:val="right"/>
              <w:ind w:right="90"/>
              <w:spacing w:after="0"/>
              <w:rPr>
                <w:sz w:val="20"/>
                <w:szCs w:val="20"/>
                <w:color w:val="auto"/>
              </w:rPr>
            </w:pPr>
            <w:r>
              <w:rPr>
                <w:rFonts w:ascii="Arial" w:cs="Arial" w:eastAsia="Arial" w:hAnsi="Arial"/>
                <w:sz w:val="18"/>
                <w:szCs w:val="18"/>
                <w:color w:val="auto"/>
              </w:rPr>
              <w:t>6.1</w:t>
            </w:r>
          </w:p>
        </w:tc>
      </w:tr>
    </w:tbl>
    <w:p>
      <w:pPr>
        <w:spacing w:after="0" w:line="200" w:lineRule="exact"/>
        <w:rPr>
          <w:sz w:val="20"/>
          <w:szCs w:val="20"/>
          <w:color w:val="auto"/>
        </w:rPr>
      </w:pPr>
    </w:p>
    <w:p>
      <w:pPr>
        <w:spacing w:after="0" w:line="24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17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7"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During the six months ended June 30, 2019 and the year ended December 31, 2018, we initiated and continued execution of certain business restructuring initiatives aimed at reducing our fixed cost structure and realigning our business. These initiatives included the reduction in hourly and salaried headcount of approximately 300 employees during both the six months ended June 30, 2019 and the year ended December 31, 2018.</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Restructuring-related costs included in </w:t>
      </w: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xml:space="preserve"> in the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included costs for severance and other restructuring costs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5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costs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10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0.3</w:t>
            </w:r>
          </w:p>
        </w:tc>
        <w:tc>
          <w:tcPr>
            <w:tcW w:w="11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5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costs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10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Other restructuring costs primarily consist of asset impairment and various contract termination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5380" w:type="dxa"/>
            <w:vAlign w:val="bottom"/>
          </w:tcPr>
          <w:p>
            <w:pPr>
              <w:spacing w:after="0"/>
              <w:rPr>
                <w:sz w:val="24"/>
                <w:szCs w:val="24"/>
                <w:color w:val="auto"/>
              </w:rPr>
            </w:pPr>
          </w:p>
        </w:tc>
        <w:tc>
          <w:tcPr>
            <w:tcW w:w="25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10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1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5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1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5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10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six months ended June 30,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June 30,</w:t>
            </w:r>
          </w:p>
        </w:tc>
      </w:t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5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Costs incurred</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5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7"/>
        </w:trPr>
        <w:tc>
          <w:tcPr>
            <w:tcW w:w="53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6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74"/>
        </w:trPr>
        <w:tc>
          <w:tcPr>
            <w:tcW w:w="620" w:type="dxa"/>
            <w:vAlign w:val="bottom"/>
          </w:tcPr>
          <w:p>
            <w:pPr>
              <w:spacing w:after="0"/>
              <w:rPr>
                <w:sz w:val="20"/>
                <w:szCs w:val="20"/>
                <w:color w:val="auto"/>
              </w:rPr>
            </w:pPr>
            <w:r>
              <w:rPr>
                <w:rFonts w:ascii="Arial" w:cs="Arial" w:eastAsia="Arial" w:hAnsi="Arial"/>
                <w:sz w:val="18"/>
                <w:szCs w:val="18"/>
                <w:b w:val="1"/>
                <w:bCs w:val="1"/>
                <w:color w:val="auto"/>
              </w:rPr>
              <w:t>6.</w:t>
            </w:r>
          </w:p>
        </w:tc>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540"/>
        </w:trPr>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4"/>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6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6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r>
      <w:tr>
        <w:trPr>
          <w:trHeight w:val="20"/>
        </w:trPr>
        <w:tc>
          <w:tcPr>
            <w:tcW w:w="53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136.3</w:t>
            </w:r>
          </w:p>
        </w:tc>
      </w:tr>
      <w:tr>
        <w:trPr>
          <w:trHeight w:val="67"/>
        </w:trPr>
        <w:tc>
          <w:tcPr>
            <w:tcW w:w="5380" w:type="dxa"/>
            <w:vAlign w:val="bottom"/>
            <w:tcBorders>
              <w:bottom w:val="single" w:sz="8" w:color="auto"/>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ordinary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rPr>
              <w:t>Basic</w:t>
            </w:r>
          </w:p>
        </w:tc>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169.8</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170.6</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178.1</w:t>
            </w:r>
          </w:p>
        </w:tc>
      </w:tr>
      <w:tr>
        <w:trPr>
          <w:trHeight w:val="27"/>
        </w:trPr>
        <w:tc>
          <w:tcPr>
            <w:tcW w:w="5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Dilutive impact of stock options, restricted stock units and performance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62"/>
        </w:trPr>
        <w:tc>
          <w:tcPr>
            <w:tcW w:w="5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share units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Diluted</w:t>
            </w:r>
          </w:p>
        </w:tc>
        <w:tc>
          <w:tcPr>
            <w:tcW w:w="47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170.5</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178.6</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171.4</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179.9</w:t>
            </w:r>
          </w:p>
        </w:tc>
      </w:tr>
      <w:tr>
        <w:trPr>
          <w:trHeight w:val="67"/>
        </w:trPr>
        <w:tc>
          <w:tcPr>
            <w:tcW w:w="5380" w:type="dxa"/>
            <w:vAlign w:val="bottom"/>
            <w:tcBorders>
              <w:bottom w:val="single" w:sz="8" w:color="auto"/>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ordinary share</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5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4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Diluted</w:t>
            </w:r>
          </w:p>
        </w:tc>
        <w:tc>
          <w:tcPr>
            <w:tcW w:w="4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
        </w:trPr>
        <w:tc>
          <w:tcPr>
            <w:tcW w:w="5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5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r>
      <w:tr>
        <w:trPr>
          <w:trHeight w:val="20"/>
        </w:trPr>
        <w:tc>
          <w:tcPr>
            <w:tcW w:w="53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5380" w:type="dxa"/>
            <w:vAlign w:val="bottom"/>
            <w:gridSpan w:val="2"/>
          </w:tcPr>
          <w:p>
            <w:pPr>
              <w:ind w:left="40"/>
              <w:spacing w:after="0" w:line="206" w:lineRule="exact"/>
              <w:rPr>
                <w:sz w:val="20"/>
                <w:szCs w:val="20"/>
                <w:color w:val="auto"/>
              </w:rPr>
            </w:pPr>
            <w:r>
              <w:rPr>
                <w:rFonts w:ascii="Arial" w:cs="Arial" w:eastAsia="Arial" w:hAnsi="Arial"/>
                <w:sz w:val="18"/>
                <w:szCs w:val="18"/>
                <w:b w:val="1"/>
                <w:bCs w:val="1"/>
                <w:color w:val="auto"/>
                <w:w w:val="93"/>
              </w:rPr>
              <w:t>Anti-dilutive stock options excluded from the calculation of diluted</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5380" w:type="dxa"/>
            <w:vAlign w:val="bottom"/>
            <w:gridSpan w:val="2"/>
          </w:tcPr>
          <w:p>
            <w:pPr>
              <w:ind w:left="20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6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Supplemental Balance Sheet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37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554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3740" w:type="dxa"/>
            <w:vAlign w:val="bottom"/>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33"/>
        </w:trPr>
        <w:tc>
          <w:tcPr>
            <w:tcW w:w="55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37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Raw materials and supplies</w:t>
            </w:r>
          </w:p>
        </w:tc>
        <w:tc>
          <w:tcPr>
            <w:tcW w:w="374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206.9</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191.3</w:t>
            </w:r>
          </w:p>
        </w:tc>
      </w:tr>
      <w:tr>
        <w:trPr>
          <w:trHeight w:val="33"/>
        </w:trPr>
        <w:tc>
          <w:tcPr>
            <w:tcW w:w="5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Work-in-process</w:t>
            </w:r>
          </w:p>
        </w:tc>
        <w:tc>
          <w:tcPr>
            <w:tcW w:w="37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123.5</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132.2</w:t>
            </w:r>
          </w:p>
        </w:tc>
      </w:tr>
      <w:tr>
        <w:trPr>
          <w:trHeight w:val="33"/>
        </w:trPr>
        <w:tc>
          <w:tcPr>
            <w:tcW w:w="55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374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396.7</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387.5</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3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Other current assets</w:t>
            </w:r>
          </w:p>
        </w:tc>
        <w:tc>
          <w:tcPr>
            <w:tcW w:w="3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in excess of billings</w:t>
            </w:r>
          </w:p>
        </w:tc>
        <w:tc>
          <w:tcPr>
            <w:tcW w:w="374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Prepaid expenses</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45.2</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36.7</w:t>
            </w:r>
          </w:p>
        </w:tc>
      </w:tr>
      <w:tr>
        <w:trPr>
          <w:trHeight w:val="33"/>
        </w:trPr>
        <w:tc>
          <w:tcPr>
            <w:tcW w:w="5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income taxes</w:t>
            </w:r>
          </w:p>
        </w:tc>
        <w:tc>
          <w:tcPr>
            <w:tcW w:w="37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33"/>
        </w:trPr>
        <w:tc>
          <w:tcPr>
            <w:tcW w:w="55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current assets</w:t>
            </w:r>
          </w:p>
        </w:tc>
        <w:tc>
          <w:tcPr>
            <w:tcW w:w="374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104.7</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3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3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land improvements</w:t>
            </w:r>
          </w:p>
        </w:tc>
        <w:tc>
          <w:tcPr>
            <w:tcW w:w="374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182.4</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178.9</w:t>
            </w:r>
          </w:p>
        </w:tc>
      </w:tr>
      <w:tr>
        <w:trPr>
          <w:trHeight w:val="33"/>
        </w:trPr>
        <w:tc>
          <w:tcPr>
            <w:tcW w:w="5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7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608.9</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593.8</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44.6</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35.7</w:t>
            </w:r>
          </w:p>
        </w:tc>
      </w:tr>
      <w:tr>
        <w:trPr>
          <w:trHeight w:val="33"/>
        </w:trPr>
        <w:tc>
          <w:tcPr>
            <w:tcW w:w="55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w:t>
            </w:r>
          </w:p>
        </w:tc>
        <w:tc>
          <w:tcPr>
            <w:tcW w:w="37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869.6</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841.9</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Accumulated depreciation and amortization</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589.3</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569.3</w:t>
            </w:r>
          </w:p>
        </w:tc>
      </w:tr>
      <w:tr>
        <w:trPr>
          <w:trHeight w:val="33"/>
        </w:trPr>
        <w:tc>
          <w:tcPr>
            <w:tcW w:w="55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74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280.3</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272.6</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3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Other non-current assets</w:t>
            </w:r>
          </w:p>
        </w:tc>
        <w:tc>
          <w:tcPr>
            <w:tcW w:w="3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Right-of-use lease assets</w:t>
            </w:r>
          </w:p>
        </w:tc>
        <w:tc>
          <w:tcPr>
            <w:tcW w:w="374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26.3</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33"/>
        </w:trPr>
        <w:tc>
          <w:tcPr>
            <w:tcW w:w="5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compensation plan assets</w:t>
            </w:r>
          </w:p>
        </w:tc>
        <w:tc>
          <w:tcPr>
            <w:tcW w:w="37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81.1</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98.4</w:t>
            </w:r>
          </w:p>
        </w:tc>
      </w:tr>
      <w:tr>
        <w:trPr>
          <w:trHeight w:val="33"/>
        </w:trPr>
        <w:tc>
          <w:tcPr>
            <w:tcW w:w="55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non-current assets</w:t>
            </w:r>
          </w:p>
        </w:tc>
        <w:tc>
          <w:tcPr>
            <w:tcW w:w="374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206.5</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145.5</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3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Other current liabilities</w:t>
            </w:r>
          </w:p>
        </w:tc>
        <w:tc>
          <w:tcPr>
            <w:tcW w:w="3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374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Accrued warranty</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34.2</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33.9</w:t>
            </w:r>
          </w:p>
        </w:tc>
      </w:tr>
      <w:tr>
        <w:trPr>
          <w:trHeight w:val="33"/>
        </w:trPr>
        <w:tc>
          <w:tcPr>
            <w:tcW w:w="5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rebates</w:t>
            </w:r>
          </w:p>
        </w:tc>
        <w:tc>
          <w:tcPr>
            <w:tcW w:w="37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Billings in excess of cost</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19.9</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21.3</w:t>
            </w:r>
          </w:p>
        </w:tc>
      </w:tr>
      <w:tr>
        <w:trPr>
          <w:trHeight w:val="33"/>
        </w:trPr>
        <w:tc>
          <w:tcPr>
            <w:tcW w:w="5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lease liability</w:t>
            </w:r>
          </w:p>
        </w:tc>
        <w:tc>
          <w:tcPr>
            <w:tcW w:w="37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24.2</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33"/>
        </w:trPr>
        <w:tc>
          <w:tcPr>
            <w:tcW w:w="5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w:t>
            </w:r>
          </w:p>
        </w:tc>
        <w:tc>
          <w:tcPr>
            <w:tcW w:w="37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173.9</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149.2</w:t>
            </w:r>
          </w:p>
        </w:tc>
      </w:tr>
      <w:tr>
        <w:trPr>
          <w:trHeight w:val="33"/>
        </w:trPr>
        <w:tc>
          <w:tcPr>
            <w:tcW w:w="55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current liabilities</w:t>
            </w:r>
          </w:p>
        </w:tc>
        <w:tc>
          <w:tcPr>
            <w:tcW w:w="374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379.8</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328.4</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3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Other non-current liabilities</w:t>
            </w:r>
          </w:p>
        </w:tc>
        <w:tc>
          <w:tcPr>
            <w:tcW w:w="3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lease liability</w:t>
            </w:r>
          </w:p>
        </w:tc>
        <w:tc>
          <w:tcPr>
            <w:tcW w:w="374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46.3</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46.8</w:t>
            </w:r>
          </w:p>
        </w:tc>
      </w:tr>
      <w:tr>
        <w:trPr>
          <w:trHeight w:val="33"/>
        </w:trPr>
        <w:tc>
          <w:tcPr>
            <w:tcW w:w="5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Self-insurance liabilities</w:t>
            </w:r>
          </w:p>
        </w:tc>
        <w:tc>
          <w:tcPr>
            <w:tcW w:w="37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Deferred compensation plan liabilities</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20.4</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20.9</w:t>
            </w:r>
          </w:p>
        </w:tc>
      </w:tr>
      <w:tr>
        <w:trPr>
          <w:trHeight w:val="33"/>
        </w:trPr>
        <w:tc>
          <w:tcPr>
            <w:tcW w:w="5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contract liabilities</w:t>
            </w:r>
          </w:p>
        </w:tc>
        <w:tc>
          <w:tcPr>
            <w:tcW w:w="37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3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25.5</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22.2</w:t>
            </w:r>
          </w:p>
        </w:tc>
      </w:tr>
      <w:tr>
        <w:trPr>
          <w:trHeight w:val="33"/>
        </w:trPr>
        <w:tc>
          <w:tcPr>
            <w:tcW w:w="55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non-current liabilities</w:t>
            </w:r>
          </w:p>
        </w:tc>
        <w:tc>
          <w:tcPr>
            <w:tcW w:w="374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229.1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3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60"/>
          </w:cols>
          <w:pgMar w:left="240" w:top="121" w:right="29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December 31,</w:t>
            </w: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Foreign currency</w:t>
            </w:r>
          </w:p>
        </w:tc>
        <w:tc>
          <w:tcPr>
            <w:tcW w:w="360" w:type="dxa"/>
            <w:vAlign w:val="bottom"/>
          </w:tcPr>
          <w:p>
            <w:pPr>
              <w:spacing w:after="0"/>
              <w:rPr>
                <w:sz w:val="18"/>
                <w:szCs w:val="18"/>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28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560" w:type="dxa"/>
            <w:vAlign w:val="bottom"/>
          </w:tcPr>
          <w:p>
            <w:pPr>
              <w:spacing w:after="0"/>
              <w:rPr>
                <w:sz w:val="20"/>
                <w:szCs w:val="20"/>
                <w:color w:val="auto"/>
              </w:rPr>
            </w:pPr>
          </w:p>
        </w:tc>
        <w:tc>
          <w:tcPr>
            <w:tcW w:w="15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b w:val="1"/>
                <w:bCs w:val="1"/>
                <w:color w:val="auto"/>
              </w:rPr>
              <w:t>Acquisitions</w:t>
            </w:r>
          </w:p>
        </w:tc>
        <w:tc>
          <w:tcPr>
            <w:tcW w:w="20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translation/other</w:t>
            </w:r>
          </w:p>
        </w:tc>
        <w:tc>
          <w:tcPr>
            <w:tcW w:w="360" w:type="dxa"/>
            <w:vAlign w:val="bottom"/>
          </w:tcPr>
          <w:p>
            <w:pPr>
              <w:spacing w:after="0"/>
              <w:rPr>
                <w:sz w:val="20"/>
                <w:szCs w:val="20"/>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7"/>
        </w:trPr>
        <w:tc>
          <w:tcPr>
            <w:tcW w:w="2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964.8</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5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643.5</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214.9</w:t>
            </w: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859.5</w:t>
            </w:r>
          </w:p>
        </w:tc>
      </w:tr>
      <w:tr>
        <w:trPr>
          <w:trHeight w:val="27"/>
        </w:trPr>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5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463.2</w:t>
            </w:r>
          </w:p>
        </w:tc>
      </w:tr>
      <w:tr>
        <w:trPr>
          <w:trHeight w:val="237"/>
        </w:trPr>
        <w:tc>
          <w:tcPr>
            <w:tcW w:w="2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goodwill</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2,072.7</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2,287.5</w:t>
            </w:r>
          </w:p>
        </w:tc>
      </w:tr>
      <w:tr>
        <w:trPr>
          <w:trHeight w:val="27"/>
        </w:trPr>
        <w:tc>
          <w:tcPr>
            <w:tcW w:w="2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June 30,</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(258.3)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347.1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(247.9)</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99.2</w:t>
            </w: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Proprietary technology and patents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(68.4)</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Indefinite-life intangibles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354.2</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276.3</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Identifiable intangible asset amortization expense was $8.3 million and $9.1 million for the three months ended June 30, 2019 and 2018, respectively, and $16.5 million and $18.4 million for the six months ended June 30,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2019 and the next five years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Q3-Q4</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20" w:type="dxa"/>
            <w:vAlign w:val="bottom"/>
          </w:tcPr>
          <w:p>
            <w:pPr>
              <w:spacing w:after="0"/>
              <w:rPr>
                <w:sz w:val="23"/>
                <w:szCs w:val="23"/>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2024</w:t>
            </w:r>
          </w:p>
        </w:tc>
      </w:tr>
      <w:tr>
        <w:trPr>
          <w:trHeight w:val="27"/>
        </w:trPr>
        <w:tc>
          <w:tcPr>
            <w:tcW w:w="3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r>
      <w:tr>
        <w:trPr>
          <w:trHeight w:val="851"/>
        </w:trPr>
        <w:tc>
          <w:tcPr>
            <w:tcW w:w="3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74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Average interest rate as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5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0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74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of June 30, 2019</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5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0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2.943%</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3.498%</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2.650%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Senior notes - fixed rate - Euro (1)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2.450%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155.3</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155.1</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3.625%</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5.000%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103.8</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3.150%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4.650%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4.500%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Unamortized debt issuance costs and discounts</w:t>
            </w:r>
          </w:p>
        </w:tc>
        <w:tc>
          <w:tcPr>
            <w:tcW w:w="2740" w:type="dxa"/>
            <w:vAlign w:val="bottom"/>
          </w:tcPr>
          <w:p>
            <w:pPr>
              <w:jc w:val="center"/>
              <w:ind w:left="270"/>
              <w:spacing w:after="0"/>
              <w:rPr>
                <w:sz w:val="20"/>
                <w:szCs w:val="20"/>
                <w:color w:val="auto"/>
              </w:rPr>
            </w:pPr>
            <w:r>
              <w:rPr>
                <w:rFonts w:ascii="Arial" w:cs="Arial" w:eastAsia="Arial" w:hAnsi="Arial"/>
                <w:sz w:val="18"/>
                <w:szCs w:val="18"/>
                <w:color w:val="auto"/>
                <w:w w:val="99"/>
              </w:rPr>
              <w:t>N/A</w:t>
            </w:r>
          </w:p>
        </w:tc>
        <w:tc>
          <w:tcPr>
            <w:tcW w:w="1220" w:type="dxa"/>
            <w:vAlign w:val="bottom"/>
          </w:tcPr>
          <w:p>
            <w:pPr>
              <w:jc w:val="center"/>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0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7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787.6</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ind w:left="220" w:hanging="185"/>
        <w:spacing w:after="0" w:line="212" w:lineRule="auto"/>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Senior notes are guaranteed as to payment by Pentair and PISG.</w:t>
      </w:r>
    </w:p>
    <w:p>
      <w:pPr>
        <w:spacing w:after="0" w:line="200" w:lineRule="exact"/>
        <w:rPr>
          <w:sz w:val="20"/>
          <w:szCs w:val="20"/>
          <w:color w:val="auto"/>
        </w:rPr>
      </w:pPr>
    </w:p>
    <w:p>
      <w:pPr>
        <w:spacing w:after="0" w:line="25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June 2019, Pentair, Pentair Finance S.à r.l. (“PFSA”) and Pentair Investments Switzerland GmbH (“PISG”) completed a public offering of $400.0 million aggregate principal amount of PFSA’s 4.500% Senior Notes due 2029 (the “2029 Notes”). The 2029 Notes are fully and unconditionally guaranteed as to payment of principal and interest by Pentair and PISG. We used the net proceeds of the 2029 Notes to partially repay outstanding commercial paper.</w:t>
      </w:r>
    </w:p>
    <w:p>
      <w:pPr>
        <w:spacing w:after="0" w:line="9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April 2018, Pentair, PISG, PFSA and Pentair, Inc. entered into a credit agreement, providing for an $800.0 million senior unsecured revolving credit facility with a term of five years (the “Senior Credit Facility”), with Pentair and PISG as guarantors and PFSA and Pentair, Inc. as borrowers. The Senior Credit Facility replaced PFSA’s existing credit facility under that certain Amended and Restated Credit Agreement, dated as of October 3, 2014.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3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PFSA has the option to request an increase to the Senior Credit Facility up to $1,100.0 million in the aggregate, subject to customary conditions, including the commitment of participating lenders. In May 2019, PFSA executed an increase of the Senior Credit Facility by $100.0 million for a total commitment up to $900.0 million in the aggregate. As of June 30, 2019, total availability under the Senior Credit Facility was $765.0 million.</w:t>
      </w:r>
    </w:p>
    <w:p>
      <w:pPr>
        <w:spacing w:after="0" w:line="1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$130.9 million of commercial paper outstanding as of June 30, 2019 and $76.0 million as of December 31, 2018,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$21.1 million, of which there were no outstanding borrowings at June 30, 2019. Borrowings under these credit facilities bear interest at variable rates.</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have $405.3 million aggregate principal amount of fixed rate senior notes maturing in the next twelve months. We classified this debt as long-term as of June 30, 2019 as we have the intent and ability to refinance such obligation on a long-term basis under the Senior Credit Facility.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June 30, 2019 matures on a calendar year basis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Q3-Q4</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720" w:type="dxa"/>
            <w:vAlign w:val="bottom"/>
          </w:tcPr>
          <w:p>
            <w:pPr>
              <w:spacing w:after="0"/>
              <w:rPr>
                <w:sz w:val="23"/>
                <w:szCs w:val="23"/>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3"/>
                <w:szCs w:val="23"/>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3"/>
                <w:szCs w:val="23"/>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3"/>
                <w:szCs w:val="23"/>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3"/>
                <w:szCs w:val="23"/>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3"/>
                <w:szCs w:val="23"/>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2024</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Thereafter</w:t>
            </w:r>
          </w:p>
        </w:tc>
        <w:tc>
          <w:tcPr>
            <w:tcW w:w="22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r>
      <w:tr>
        <w:trPr>
          <w:trHeight w:val="34"/>
        </w:trPr>
        <w:tc>
          <w:tcPr>
            <w:tcW w:w="3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Contractual debt obligation maturities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1,225.7</w:t>
            </w:r>
          </w:p>
        </w:tc>
      </w:tr>
      <w:tr>
        <w:trPr>
          <w:trHeight w:val="27"/>
        </w:trPr>
        <w:tc>
          <w:tcPr>
            <w:tcW w:w="3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ind w:right="7800" w:firstLine="8"/>
        <w:spacing w:after="0" w:line="276" w:lineRule="auto"/>
        <w:tabs>
          <w:tab w:leader="none" w:pos="648"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ind w:right="18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exchange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6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At June 30, 2019 and December 31, 2018, we had outstanding foreign currency derivative contracts with gross notional U.S. dollar equivalent amounts of $53.7 million and $47.6 million, respectively. The impact of these contracts on the Condensed Consolidated Statements of Operations and Comprehensive Income was not material for any period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At June 30, 2019 and December 31, 2018, we had outstanding cross currency swap agreements with a combined notional amount of $625.3 million and $283.8 million, respectively. The agreements are accounted for as either cash flow hedges, to hedge foreign currency fluctuations on certain intercompany debt, or as net investment hedges to manage our exposure to fluctuations in the Euro-U.S. Dollar exchange rate. As of June 30, 2019 and December 31, 2018, we had deferred foreign currency losses of $13.9 million and $14.5 million, respectively,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associated with our cross currency swap activity.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In September 2015, we designated the €500 million 2.45% Senior Notes due 2019 (the “2019 Euro Notes”) as a net investment hedge for a portion of our net investment in our Euro-denominated subsidiaries. In June 2018, the Company completed a tender offer for €363.4 million of the 2019 Euro Notes. The remaining €136.6 million of the 2019 Euro Notes have been re-designated as a net investment hedge in our Euro-denominated subsidiaries. The gains/losses on the 2019 Euro Notes have been included as a component of the cumulative translation adjustment account within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As of June 30, 2019 and December 31, 2018, we had deferred foreign currency losses of $1.0 million and $0.8 million, respectively, in </w:t>
      </w:r>
      <w:r>
        <w:rPr>
          <w:rFonts w:ascii="Arial" w:cs="Arial" w:eastAsia="Arial" w:hAnsi="Arial"/>
          <w:sz w:val="17"/>
          <w:szCs w:val="17"/>
          <w:i w:val="1"/>
          <w:iCs w:val="1"/>
          <w:color w:val="auto"/>
        </w:rPr>
        <w:t>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loss </w:t>
      </w:r>
      <w:r>
        <w:rPr>
          <w:rFonts w:ascii="Arial" w:cs="Arial" w:eastAsia="Arial" w:hAnsi="Arial"/>
          <w:sz w:val="17"/>
          <w:szCs w:val="17"/>
          <w:color w:val="auto"/>
        </w:rPr>
        <w:t>associated with the net investment hedge activity.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36"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85" w:lineRule="exact"/>
        <w:rPr>
          <w:sz w:val="20"/>
          <w:szCs w:val="20"/>
          <w:color w:val="auto"/>
        </w:rPr>
      </w:pPr>
    </w:p>
    <w:p>
      <w:pPr>
        <w:ind w:left="1420" w:right="740" w:hanging="773"/>
        <w:spacing w:after="0" w:line="342" w:lineRule="auto"/>
        <w:tabs>
          <w:tab w:leader="none" w:pos="14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83"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9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right="360" w:hanging="330"/>
        <w:spacing w:after="0" w:line="277" w:lineRule="auto"/>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financial instruments (cash and cash equivalents, accounts and notes receivable, accounts and notes payable and variable-rate debt)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amount approximates fair value because of the short maturity period;</w:t>
      </w:r>
    </w:p>
    <w:p>
      <w:pPr>
        <w:spacing w:after="0" w:line="116" w:lineRule="exact"/>
        <w:rPr>
          <w:rFonts w:ascii="Arial" w:cs="Arial" w:eastAsia="Arial" w:hAnsi="Arial"/>
          <w:sz w:val="18"/>
          <w:szCs w:val="18"/>
          <w:i w:val="1"/>
          <w:iCs w:val="1"/>
          <w:color w:val="auto"/>
        </w:rPr>
      </w:pPr>
    </w:p>
    <w:p>
      <w:pPr>
        <w:ind w:left="500" w:right="100" w:hanging="330"/>
        <w:spacing w:after="0" w:line="277" w:lineRule="auto"/>
        <w:tabs>
          <w:tab w:leader="none" w:pos="5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500" w:right="60" w:hanging="330"/>
        <w:spacing w:after="0" w:line="264" w:lineRule="auto"/>
        <w:tabs>
          <w:tab w:leader="none" w:pos="5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 agreements </w:t>
      </w:r>
      <w:r>
        <w:rPr>
          <w:rFonts w:ascii="Arial" w:cs="Arial" w:eastAsia="Arial" w:hAnsi="Arial"/>
          <w:sz w:val="18"/>
          <w:szCs w:val="18"/>
          <w:color w:val="auto"/>
        </w:rPr>
        <w:t>— fair values are determined through the use of models that consider various assumptions, including time value,</w:t>
      </w:r>
      <w:r>
        <w:rPr>
          <w:rFonts w:ascii="Arial" w:cs="Arial" w:eastAsia="Arial" w:hAnsi="Arial"/>
          <w:sz w:val="18"/>
          <w:szCs w:val="18"/>
          <w:i w:val="1"/>
          <w:iCs w:val="1"/>
          <w:color w:val="auto"/>
        </w:rPr>
        <w:t xml:space="preserve"> </w:t>
      </w:r>
      <w:r>
        <w:rPr>
          <w:rFonts w:ascii="Arial" w:cs="Arial" w:eastAsia="Arial" w:hAnsi="Arial"/>
          <w:sz w:val="18"/>
          <w:szCs w:val="18"/>
          <w:color w:val="auto"/>
        </w:rPr>
        <w:t>yield curves, as well as other relevant economic measures, which are inputs that are classified as Level 2 in the valuation hierarchy defined by the accounting guidance; and</w:t>
      </w:r>
    </w:p>
    <w:p>
      <w:pPr>
        <w:spacing w:after="0" w:line="127" w:lineRule="exact"/>
        <w:rPr>
          <w:rFonts w:ascii="Arial" w:cs="Arial" w:eastAsia="Arial" w:hAnsi="Arial"/>
          <w:sz w:val="18"/>
          <w:szCs w:val="18"/>
          <w:color w:val="auto"/>
        </w:rPr>
      </w:pPr>
    </w:p>
    <w:p>
      <w:pPr>
        <w:ind w:left="460" w:right="220" w:hanging="330"/>
        <w:spacing w:after="0" w:line="30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6"/>
          <w:szCs w:val="16"/>
          <w:color w:val="auto"/>
        </w:rPr>
        <w:t>— fair value of mutual funds and cash equivalents are based on quoted market prices in active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recorded amounts and estimated fair values of total debt, excluding unamortized issuance costs and discounts,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3"/>
          </w:tcPr>
          <w:p>
            <w:pPr>
              <w:ind w:left="5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Recorded</w:t>
            </w:r>
          </w:p>
        </w:tc>
        <w:tc>
          <w:tcPr>
            <w:tcW w:w="400" w:type="dxa"/>
            <w:vAlign w:val="bottom"/>
          </w:tcPr>
          <w:p>
            <w:pPr>
              <w:spacing w:after="0"/>
              <w:rPr>
                <w:sz w:val="18"/>
                <w:szCs w:val="18"/>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Recorded</w:t>
            </w:r>
          </w:p>
        </w:tc>
        <w:tc>
          <w:tcPr>
            <w:tcW w:w="34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400" w:type="dxa"/>
            <w:vAlign w:val="bottom"/>
          </w:tcPr>
          <w:p>
            <w:pPr>
              <w:spacing w:after="0"/>
              <w:rPr>
                <w:sz w:val="20"/>
                <w:szCs w:val="2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Amount</w:t>
            </w:r>
          </w:p>
        </w:tc>
        <w:tc>
          <w:tcPr>
            <w:tcW w:w="3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rate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7"/>
              </w:rPr>
              <w:t>102.2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1,090.7</w:t>
            </w:r>
          </w:p>
        </w:tc>
        <w:tc>
          <w:tcPr>
            <w:tcW w:w="4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1,121.7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ind w:left="560"/>
              <w:spacing w:after="0"/>
              <w:rPr>
                <w:sz w:val="20"/>
                <w:szCs w:val="20"/>
                <w:color w:val="auto"/>
              </w:rPr>
            </w:pPr>
            <w:r>
              <w:rPr>
                <w:rFonts w:ascii="Arial" w:cs="Arial" w:eastAsia="Arial" w:hAnsi="Arial"/>
                <w:sz w:val="18"/>
                <w:szCs w:val="18"/>
                <w:color w:val="auto"/>
                <w:w w:val="97"/>
              </w:rPr>
              <w:t>690.5</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691.8</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7"/>
              </w:rPr>
              <w:t>792.7</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basis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June 30, 2019</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NAV</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Foreign currency contract liabilities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4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14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r>
      <w:tr>
        <w:trPr>
          <w:trHeight w:val="237"/>
        </w:trPr>
        <w:tc>
          <w:tcPr>
            <w:tcW w:w="4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16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4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88"/>
              </w:rPr>
              <w:t>December 31, 2018</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Level 3</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NAV</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Foreign currency contract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effective income tax rate for the six months ended June 30, 2019 was 16.4%, compared to 20.8% for the six months ended June 30, 2018. We continue to actively pursue initiatives to reduce our effective tax rate. The tax rate in any quarter can be affected positively or negatively by adjustments that are required to be reported in the specific quarter of resolution.</w:t>
      </w:r>
    </w:p>
    <w:p>
      <w:pPr>
        <w:spacing w:after="0" w:line="12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The liability for uncertain tax positions was $48.9 million and $51.4 million at June 30, 2019 and December 31, 2018, respectively. We record penalties and interest related to unrecognized tax benefits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interest expense</w:t>
      </w:r>
      <w:r>
        <w:rPr>
          <w:rFonts w:ascii="Arial" w:cs="Arial" w:eastAsia="Arial" w:hAnsi="Arial"/>
          <w:sz w:val="18"/>
          <w:szCs w:val="18"/>
          <w:color w:val="auto"/>
        </w:rPr>
        <w:t>, respectively, on the Condensed Consolidated Statements of Operations and Comprehensive Income, which is consistent with our past practices.</w:t>
      </w:r>
    </w:p>
    <w:p>
      <w:pPr>
        <w:spacing w:after="0" w:line="13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 for our pension plans for the three and six months ended June 30, 2019 and 2018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6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Plan settlement gain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Components of net periodic benefit (income) expense for our other post-retirement plans for the three and six months ended June 30, 2019 and 2018 were not material.</w:t>
      </w:r>
    </w:p>
    <w:p>
      <w:pPr>
        <w:spacing w:after="0" w:line="2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During the three months ended June 30, 2019, we received all required government approvals to terminate the Pentair Salaried Plan (the “Salaried Plan”). In June 2019, we entered into an agreement with an insurance company to purchase from us, through an annuity contract, our remaining obligations under the Salaried Plan. We contributed $10.7 million to the Salaried Plan as part of the process to settle our obligations. As a result of these actions, a non-cash pre-tax settlement gain of $12.2 million was recorded for the three and six months ended June 30, 2019 and is reflected within </w:t>
      </w:r>
      <w:r>
        <w:rPr>
          <w:rFonts w:ascii="Arial" w:cs="Arial" w:eastAsia="Arial" w:hAnsi="Arial"/>
          <w:sz w:val="18"/>
          <w:szCs w:val="18"/>
          <w:i w:val="1"/>
          <w:iCs w:val="1"/>
          <w:color w:val="auto"/>
        </w:rPr>
        <w:t>Plan settlement gain</w:t>
      </w:r>
      <w:r>
        <w:rPr>
          <w:rFonts w:ascii="Arial" w:cs="Arial" w:eastAsia="Arial" w:hAnsi="Arial"/>
          <w:sz w:val="18"/>
          <w:szCs w:val="18"/>
          <w:color w:val="auto"/>
        </w:rPr>
        <w:t xml:space="preserve"> in the table above.</w:t>
      </w:r>
    </w:p>
    <w:p>
      <w:pPr>
        <w:spacing w:after="0" w:line="144" w:lineRule="exact"/>
        <w:rPr>
          <w:sz w:val="20"/>
          <w:szCs w:val="20"/>
          <w:color w:val="auto"/>
        </w:rPr>
      </w:pPr>
    </w:p>
    <w:p>
      <w:pPr>
        <w:ind w:right="9140" w:firstLine="8"/>
        <w:spacing w:after="0" w:line="261" w:lineRule="auto"/>
        <w:tabs>
          <w:tab w:leader="none" w:pos="648"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ind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May 2018, the Board of Directors authorized the repurchase of our ordinary shares up to a maximum dollar limit of $750.0 million. The authorization expires on May 31, 2021. During the six months ended June 30, 2019, we repurchased 4.0 million of our shares for $150.0 million. As of June 30, 2019, we had $250.0 million available for share repurchases under this authorization.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 xml:space="preserve">On May 6, 2019, the Board of Directors declared a quarterly cash dividend of $0.18, payable on August 2, 2019 to shareholders of record at the close of business on July 19, 2019. As a result, the balance of dividends payable included in </w:t>
      </w:r>
      <w:r>
        <w:rPr>
          <w:rFonts w:ascii="Arial" w:cs="Arial" w:eastAsia="Arial" w:hAnsi="Arial"/>
          <w:sz w:val="18"/>
          <w:szCs w:val="18"/>
          <w:i w:val="1"/>
          <w:iCs w:val="1"/>
          <w:color w:val="auto"/>
        </w:rPr>
        <w:t>Other current</w:t>
      </w:r>
    </w:p>
    <w:p>
      <w:pPr>
        <w:sectPr>
          <w:pgSz w:w="11900" w:h="16838" w:orient="portrait"/>
          <w:cols w:equalWidth="0" w:num="1">
            <w:col w:w="11420"/>
          </w:cols>
          <w:pgMar w:left="240" w:top="122" w:right="2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liabilities </w:t>
      </w:r>
      <w:r>
        <w:rPr>
          <w:rFonts w:ascii="Arial" w:cs="Arial" w:eastAsia="Arial" w:hAnsi="Arial"/>
          <w:sz w:val="17"/>
          <w:szCs w:val="17"/>
          <w:color w:val="auto"/>
        </w:rPr>
        <w:t>on our Condensed Consolidated Balance Sheets was $30.2 million at June 30, 2019, compared to $30.8 million at December 31, 2018.</w:t>
      </w:r>
    </w:p>
    <w:p>
      <w:pPr>
        <w:spacing w:after="0" w:line="19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impairments and other unusual non-operating items.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6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270.6</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285.6</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524.9</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513.7</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471.7</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799.5</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1,513.2</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Segment income (loss)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86.0</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281.1</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consolidated segment income to consolidated income from continuing operations before income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4"/>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6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Deal-related costs and expenses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step-up</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Pension settlement gain</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(Loss) gain on sale of business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Corporate allocations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831"/>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99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Leases</w:t>
      </w:r>
    </w:p>
    <w:p>
      <w:pPr>
        <w:spacing w:after="0" w:line="9" w:lineRule="exact"/>
        <w:rPr>
          <w:rFonts w:ascii="Arial" w:cs="Arial" w:eastAsia="Arial" w:hAnsi="Arial"/>
          <w:sz w:val="18"/>
          <w:szCs w:val="18"/>
          <w:b w:val="1"/>
          <w:bCs w:val="1"/>
          <w:color w:val="auto"/>
        </w:rPr>
      </w:pPr>
    </w:p>
    <w:p>
      <w:pPr>
        <w:ind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We determine if an arrangement is a lease at inception. Our lease portfolio principally consists of operating leases related to facilities, machinery, equipment and vehicles. Our lease terms do not include options to extend or terminate the lease until we are reasonably certain that we will exercise that option. Operating lease cost for lease payments is recognized on a straight-line basis over the lease term and principally consists of fixed payments for base rent.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The components of lease cost for the three and six months ended June 30, 2019 were as follows:</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4"/>
        </w:trPr>
        <w:tc>
          <w:tcPr>
            <w:tcW w:w="8240" w:type="dxa"/>
            <w:vAlign w:val="bottom"/>
          </w:tcPr>
          <w:p>
            <w:pPr>
              <w:spacing w:after="0"/>
              <w:rPr>
                <w:sz w:val="24"/>
                <w:szCs w:val="24"/>
                <w:color w:val="auto"/>
              </w:rPr>
            </w:pPr>
          </w:p>
        </w:tc>
        <w:tc>
          <w:tcPr>
            <w:tcW w:w="15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8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ended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Six months ended</w:t>
            </w:r>
          </w:p>
        </w:tc>
      </w:tr>
      <w:tr>
        <w:trPr>
          <w:trHeight w:val="27"/>
        </w:trPr>
        <w:tc>
          <w:tcPr>
            <w:tcW w:w="8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40" w:type="dxa"/>
            <w:vAlign w:val="bottom"/>
          </w:tcPr>
          <w:p>
            <w:pPr>
              <w:spacing w:after="0"/>
              <w:rPr>
                <w:sz w:val="20"/>
                <w:szCs w:val="20"/>
                <w:color w:val="auto"/>
              </w:rPr>
            </w:pPr>
          </w:p>
        </w:tc>
        <w:tc>
          <w:tcPr>
            <w:tcW w:w="214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w w:val="90"/>
              </w:rPr>
              <w:t>June 30, 2019</w:t>
            </w:r>
          </w:p>
        </w:tc>
      </w:tr>
      <w:tr>
        <w:trPr>
          <w:trHeight w:val="27"/>
        </w:trPr>
        <w:tc>
          <w:tcPr>
            <w:tcW w:w="8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8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Sublease income</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lease cost</w:t>
            </w: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8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29"/>
        </w:trPr>
        <w:tc>
          <w:tcPr>
            <w:tcW w:w="8240" w:type="dxa"/>
            <w:vAlign w:val="bottom"/>
          </w:tcPr>
          <w:p>
            <w:pPr>
              <w:spacing w:after="0"/>
              <w:rPr>
                <w:sz w:val="20"/>
                <w:szCs w:val="20"/>
                <w:color w:val="auto"/>
              </w:rPr>
            </w:pPr>
            <w:r>
              <w:rPr>
                <w:rFonts w:ascii="Arial" w:cs="Arial" w:eastAsia="Arial" w:hAnsi="Arial"/>
                <w:sz w:val="18"/>
                <w:szCs w:val="18"/>
                <w:color w:val="auto"/>
                <w:w w:val="94"/>
              </w:rPr>
              <w:t>Supplemental cash flow information related to leases for the six months ended June 30, 2019 was as follows: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4"/>
        </w:trPr>
        <w:tc>
          <w:tcPr>
            <w:tcW w:w="8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8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flows from operating leases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84.0</w:t>
            </w:r>
          </w:p>
        </w:tc>
      </w:tr>
      <w:tr>
        <w:trPr>
          <w:trHeight w:val="675"/>
        </w:trPr>
        <w:tc>
          <w:tcPr>
            <w:tcW w:w="8240" w:type="dxa"/>
            <w:vAlign w:val="bottom"/>
          </w:tcPr>
          <w:p>
            <w:pPr>
              <w:spacing w:after="0"/>
              <w:rPr>
                <w:sz w:val="20"/>
                <w:szCs w:val="20"/>
                <w:color w:val="auto"/>
              </w:rPr>
            </w:pPr>
            <w:r>
              <w:rPr>
                <w:rFonts w:ascii="Arial" w:cs="Arial" w:eastAsia="Arial" w:hAnsi="Arial"/>
                <w:sz w:val="18"/>
                <w:szCs w:val="18"/>
                <w:color w:val="auto"/>
              </w:rPr>
              <w:t>Other information related to leases was as follows: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0"/>
        </w:trPr>
        <w:tc>
          <w:tcPr>
            <w:tcW w:w="8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8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8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of operating leases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 years</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Weighted-average discount rate of operating leases</w:t>
            </w: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commitments under non-cancelable operating leases as of June 30, 2019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98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Operating Leases</w:t>
            </w:r>
          </w:p>
        </w:tc>
      </w:tr>
      <w:tr>
        <w:trPr>
          <w:trHeight w:val="27"/>
        </w:trPr>
        <w:tc>
          <w:tcPr>
            <w:tcW w:w="362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Q3 through Q4 2019</w:t>
            </w:r>
          </w:p>
        </w:tc>
        <w:tc>
          <w:tcPr>
            <w:tcW w:w="5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2020</w:t>
            </w:r>
          </w:p>
        </w:tc>
        <w:tc>
          <w:tcPr>
            <w:tcW w:w="59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36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9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2022</w:t>
            </w:r>
          </w:p>
        </w:tc>
        <w:tc>
          <w:tcPr>
            <w:tcW w:w="59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36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9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9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362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59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59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362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r>
      <w:tr>
        <w:trPr>
          <w:trHeight w:val="20"/>
        </w:trPr>
        <w:tc>
          <w:tcPr>
            <w:tcW w:w="3620" w:type="dxa"/>
            <w:vAlign w:val="bottom"/>
            <w:tcBorders>
              <w:top w:val="single" w:sz="8" w:color="auto"/>
              <w:bottom w:val="single" w:sz="8" w:color="auto"/>
            </w:tcBorders>
          </w:tcPr>
          <w:p>
            <w:pPr>
              <w:spacing w:after="0" w:line="20" w:lineRule="exact"/>
              <w:rPr>
                <w:sz w:val="1"/>
                <w:szCs w:val="1"/>
                <w:color w:val="auto"/>
              </w:rPr>
            </w:pPr>
          </w:p>
        </w:tc>
        <w:tc>
          <w:tcPr>
            <w:tcW w:w="59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r>
        <w:trPr>
          <w:trHeight w:val="494"/>
        </w:trPr>
        <w:tc>
          <w:tcPr>
            <w:tcW w:w="3620" w:type="dxa"/>
            <w:vAlign w:val="bottom"/>
          </w:tcPr>
          <w:p>
            <w:pPr>
              <w:spacing w:after="0"/>
              <w:rPr>
                <w:sz w:val="24"/>
                <w:szCs w:val="24"/>
                <w:color w:val="auto"/>
              </w:rPr>
            </w:pPr>
          </w:p>
        </w:tc>
        <w:tc>
          <w:tcPr>
            <w:tcW w:w="5980" w:type="dxa"/>
            <w:vAlign w:val="bottom"/>
          </w:tcPr>
          <w:p>
            <w:pPr>
              <w:jc w:val="right"/>
              <w:ind w:right="3710"/>
              <w:spacing w:after="0"/>
              <w:rPr>
                <w:sz w:val="20"/>
                <w:szCs w:val="20"/>
                <w:color w:val="auto"/>
              </w:rPr>
            </w:pPr>
            <w:r>
              <w:rPr>
                <w:rFonts w:ascii="Arial" w:cs="Arial" w:eastAsia="Arial" w:hAnsi="Arial"/>
                <w:sz w:val="18"/>
                <w:szCs w:val="18"/>
                <w:color w:val="auto"/>
              </w:rPr>
              <w:t>19</w:t>
            </w: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Future minimum lease commitments under non-cancelable operating leases based on accounting standards applicable as of December 31,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50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Operating Leases</w:t>
            </w:r>
          </w:p>
        </w:tc>
      </w:tr>
      <w:tr>
        <w:trPr>
          <w:trHeight w:val="27"/>
        </w:trPr>
        <w:tc>
          <w:tcPr>
            <w:tcW w:w="51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2020</w:t>
            </w:r>
          </w:p>
        </w:tc>
        <w:tc>
          <w:tcPr>
            <w:tcW w:w="45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5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5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2022</w:t>
            </w:r>
          </w:p>
        </w:tc>
        <w:tc>
          <w:tcPr>
            <w:tcW w:w="45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5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5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5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51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r>
      <w:tr>
        <w:trPr>
          <w:trHeight w:val="20"/>
        </w:trPr>
        <w:tc>
          <w:tcPr>
            <w:tcW w:w="5100" w:type="dxa"/>
            <w:vAlign w:val="bottom"/>
            <w:tcBorders>
              <w:top w:val="single" w:sz="8" w:color="auto"/>
              <w:bottom w:val="single" w:sz="8" w:color="auto"/>
            </w:tcBorders>
          </w:tcPr>
          <w:p>
            <w:pPr>
              <w:spacing w:after="0" w:line="20" w:lineRule="exact"/>
              <w:rPr>
                <w:sz w:val="1"/>
                <w:szCs w:val="1"/>
                <w:color w:val="auto"/>
              </w:rPr>
            </w:pPr>
          </w:p>
        </w:tc>
        <w:tc>
          <w:tcPr>
            <w:tcW w:w="45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connection with our disposition of businesses, product lines and assets, we often provide representations, warranties and indemnities to cover purchasers for various potential liabilities relating to the sold businesses, product lines and assets, such as unknown damage or liabilities relating to the assets and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Generally, the maximum obligations under such indemnifications are not explicitly stated and as a result, the overall amount of these obligations cannot be reasonably estimated due to their inchoate and unknown nature. Historically, we have not made significant payments for these indemnifications. We believe that if we were to incur a loss in any of these matters, the loss would not have a material adverse effect on our financial position, results of operations or cash flows.</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in 2017, we agreed to indemnify Emerson Electric Co. for certain pre-closing tax liabilities. We have recorded a liability representing the fair value of our expected future obligation for this matter.</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service and product warranties of continuing operations for the six months ended June 30, 2019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6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76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63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Service and product warranty provision</w:t>
            </w:r>
          </w:p>
        </w:tc>
        <w:tc>
          <w:tcPr>
            <w:tcW w:w="3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6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7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3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63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June 30, 2019 and December 31, 2018, the outstanding value of bonds, letters of credit and bank guarantees totaled $117.2 million and $123.6 million, respectively.</w:t>
      </w:r>
    </w:p>
    <w:p>
      <w:pPr>
        <w:spacing w:after="0" w:line="12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Information</w:t>
      </w:r>
    </w:p>
    <w:p>
      <w:pPr>
        <w:spacing w:after="0" w:line="27"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Pentair plc (the “Parent Company Guarantor”) and PISG (the “Subsidiary Guarantor”), fully and unconditionally, guarantee the notes of PFSA (the “Subsidiary Issuer”). The Subsidiary Guarantor is a Switzerland limited liability company and 100 percent-owned subsidiary of the Parent Company Guarantor. The Subsidiary Issuer is a Luxembourg private limited liability company and 100 percent-owned subsidiary of the Subsidiary Guarantor. The guarantees provided by the Parent Company Guarantor and Subsidiary Guarantor are joint and several.</w:t>
      </w:r>
    </w:p>
    <w:p>
      <w:pPr>
        <w:spacing w:after="0" w:line="12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supplemental financial information sets forth the Company’s Condensed Consolidating Statements of Operations and Comprehensive Income (Loss), Condensed Consolidating Balance Sheets and Condensed Consolidating Statements of Cash Flows by relevant group within the Company: Pentair plc and PISG as the guarantors, PFSA as issuer of the debt and all other non-guarantor subsidiaries. Condensed consolidating financial information for Pentair plc, PISG and PFSA on a stand-alone basis is presented using the equity method of accounting for subsidiaries.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1" w:right="27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799.5</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512.8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512.8</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129.1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132.2</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136.9</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133.8</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2"/>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115.1</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117.7</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141.0</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(355.0)</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137.2</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18"/>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115.1</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117.7</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118.9</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(355.0)</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Loss from discontinued operations, net of</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(Loss) earnings from discontinued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110.0</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1,488.4</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966.1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966.1</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522.3</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272.8</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279.5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208.1</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525.4</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2"/>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167.5</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173.2</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175.4</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209.7</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(525.4)</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200.4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18"/>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167.5</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173.2</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175.4</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176.8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(525.4)</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167.5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Loss from discontinued operations, net of</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(Loss) earnings from discontinued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164.0</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56"/>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Subsidiary</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40" w:type="dxa"/>
            <w:vAlign w:val="bottom"/>
          </w:tcPr>
          <w:p>
            <w:pPr>
              <w:spacing w:after="0"/>
              <w:rPr>
                <w:sz w:val="20"/>
                <w:szCs w:val="20"/>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Issuer</w:t>
            </w:r>
          </w:p>
        </w:tc>
        <w:tc>
          <w:tcPr>
            <w:tcW w:w="2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458.9</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459.6</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1,041.5</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280.3</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280.3</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1,969.2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1,968.7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2,719.8</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(6,657.7)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2,287.5</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354.2</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354.2</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1,591.5</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(1,592.5)</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1,991.5</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1,969.7</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4,311.3</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2,825.9</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(8,250.2)</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2,848.2</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4,170.0</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w w:val="96"/>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261.7</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337.9</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379.8</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710.2</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(1,592.5)</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1,215.1</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89.2</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89.2</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208.6</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229.1</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2,344.1</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1,423.6</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(1,594.1)</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2,363.4</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1,806.6</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1,969.2</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1,968.5</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2,720.0</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(6,657.7)</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1,806.6</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4,170.0</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Parent</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Company</w:t>
            </w:r>
          </w:p>
        </w:tc>
        <w:tc>
          <w:tcPr>
            <w:tcW w:w="240" w:type="dxa"/>
            <w:vAlign w:val="bottom"/>
          </w:tcPr>
          <w:p>
            <w:pPr>
              <w:spacing w:after="0"/>
              <w:rPr>
                <w:sz w:val="17"/>
                <w:szCs w:val="17"/>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Subsidiary</w:t>
            </w:r>
          </w:p>
        </w:tc>
        <w:tc>
          <w:tcPr>
            <w:tcW w:w="22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14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Non-guarantor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210"/>
        </w:trPr>
        <w:tc>
          <w:tcPr>
            <w:tcW w:w="316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Pr>
          <w:p>
            <w:pPr>
              <w:spacing w:after="0"/>
              <w:rPr>
                <w:sz w:val="18"/>
                <w:szCs w:val="18"/>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Guarantor</w:t>
            </w:r>
          </w:p>
        </w:tc>
        <w:tc>
          <w:tcPr>
            <w:tcW w:w="240" w:type="dxa"/>
            <w:vAlign w:val="bottom"/>
          </w:tcPr>
          <w:p>
            <w:pPr>
              <w:spacing w:after="0"/>
              <w:rPr>
                <w:sz w:val="18"/>
                <w:szCs w:val="18"/>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Guarantor</w:t>
            </w:r>
          </w:p>
        </w:tc>
        <w:tc>
          <w:tcPr>
            <w:tcW w:w="220" w:type="dxa"/>
            <w:vAlign w:val="bottom"/>
          </w:tcPr>
          <w:p>
            <w:pPr>
              <w:spacing w:after="0"/>
              <w:rPr>
                <w:sz w:val="18"/>
                <w:szCs w:val="18"/>
                <w:color w:val="auto"/>
              </w:rPr>
            </w:pPr>
          </w:p>
        </w:tc>
        <w:tc>
          <w:tcPr>
            <w:tcW w:w="1160" w:type="dxa"/>
            <w:vAlign w:val="bottom"/>
          </w:tcPr>
          <w:p>
            <w:pPr>
              <w:jc w:val="right"/>
              <w:ind w:right="379"/>
              <w:spacing w:after="0"/>
              <w:rPr>
                <w:sz w:val="20"/>
                <w:szCs w:val="20"/>
                <w:color w:val="auto"/>
              </w:rPr>
            </w:pPr>
            <w:r>
              <w:rPr>
                <w:rFonts w:ascii="Arial" w:cs="Arial" w:eastAsia="Arial" w:hAnsi="Arial"/>
                <w:sz w:val="16"/>
                <w:szCs w:val="16"/>
                <w:b w:val="1"/>
                <w:bCs w:val="1"/>
                <w:color w:val="auto"/>
              </w:rPr>
              <w:t>Issuer</w:t>
            </w:r>
          </w:p>
        </w:tc>
        <w:tc>
          <w:tcPr>
            <w:tcW w:w="14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Subsidiaries</w:t>
            </w:r>
          </w:p>
        </w:tc>
        <w:tc>
          <w:tcPr>
            <w:tcW w:w="20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Eliminations</w:t>
            </w:r>
          </w:p>
        </w:tc>
        <w:tc>
          <w:tcPr>
            <w:tcW w:w="18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0"/>
        </w:trPr>
        <w:tc>
          <w:tcPr>
            <w:tcW w:w="3160" w:type="dxa"/>
            <w:vAlign w:val="bottom"/>
          </w:tcPr>
          <w:p>
            <w:pPr>
              <w:ind w:left="380"/>
              <w:spacing w:after="0"/>
              <w:rPr>
                <w:sz w:val="20"/>
                <w:szCs w:val="20"/>
                <w:color w:val="auto"/>
              </w:rPr>
            </w:pPr>
            <w:r>
              <w:rPr>
                <w:rFonts w:ascii="Arial" w:cs="Arial" w:eastAsia="Arial" w:hAnsi="Arial"/>
                <w:sz w:val="16"/>
                <w:szCs w:val="16"/>
                <w:color w:val="auto"/>
                <w:w w:val="93"/>
              </w:rPr>
              <w:t>Net cash provided by (used for) operating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160" w:type="dxa"/>
            <w:vAlign w:val="bottom"/>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157.2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170.4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179.1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104.3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(514.3)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96.7</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Proceeds from sale of property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Proceeds from the sale of businesses</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(284.5)</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Net intercompany loan activity</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(604.3)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(21.9)</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626.2</w:t>
            </w: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316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w w:val="94"/>
              </w:rPr>
              <w:t>Net cash (used for) provided by investing</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06"/>
        </w:trPr>
        <w:tc>
          <w:tcPr>
            <w:tcW w:w="3160" w:type="dxa"/>
            <w:vAlign w:val="bottom"/>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(604.3)</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(336.6)</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626.2</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(314.7)</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0"/>
        </w:trPr>
        <w:tc>
          <w:tcPr>
            <w:tcW w:w="3160" w:type="dxa"/>
            <w:vAlign w:val="bottom"/>
          </w:tcPr>
          <w:p>
            <w:pPr>
              <w:ind w:left="40"/>
              <w:spacing w:after="0"/>
              <w:rPr>
                <w:sz w:val="20"/>
                <w:szCs w:val="20"/>
                <w:color w:val="auto"/>
              </w:rPr>
            </w:pPr>
            <w:r>
              <w:rPr>
                <w:rFonts w:ascii="Arial" w:cs="Arial" w:eastAsia="Arial" w:hAnsi="Arial"/>
                <w:sz w:val="16"/>
                <w:szCs w:val="16"/>
                <w:color w:val="auto"/>
                <w:w w:val="92"/>
              </w:rPr>
              <w:t>Net receipts (repayments) of commercial paper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160" w:type="dxa"/>
            <w:vAlign w:val="bottom"/>
          </w:tcPr>
          <w:p>
            <w:pPr>
              <w:ind w:left="200"/>
              <w:spacing w:after="0"/>
              <w:rPr>
                <w:sz w:val="20"/>
                <w:szCs w:val="20"/>
                <w:color w:val="auto"/>
              </w:rPr>
            </w:pPr>
            <w:r>
              <w:rPr>
                <w:rFonts w:ascii="Arial" w:cs="Arial" w:eastAsia="Arial" w:hAnsi="Arial"/>
                <w:sz w:val="16"/>
                <w:szCs w:val="16"/>
                <w:color w:val="auto"/>
              </w:rPr>
              <w:t>and revolving long-term debt</w:t>
            </w:r>
          </w:p>
        </w:tc>
        <w:tc>
          <w:tcPr>
            <w:tcW w:w="26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55.0</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32.9</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Debt issuance costs</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advances to subsidiaries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258.8</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3160" w:type="dxa"/>
            <w:vAlign w:val="bottom"/>
          </w:tcPr>
          <w:p>
            <w:pPr>
              <w:ind w:left="40"/>
              <w:spacing w:after="0"/>
              <w:rPr>
                <w:sz w:val="20"/>
                <w:szCs w:val="20"/>
                <w:color w:val="auto"/>
              </w:rPr>
            </w:pPr>
            <w:r>
              <w:rPr>
                <w:rFonts w:ascii="Arial" w:cs="Arial" w:eastAsia="Arial" w:hAnsi="Arial"/>
                <w:sz w:val="16"/>
                <w:szCs w:val="16"/>
                <w:color w:val="auto"/>
              </w:rPr>
              <w:t>Shares issued to employees, net of shares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160" w:type="dxa"/>
            <w:vAlign w:val="bottom"/>
          </w:tcPr>
          <w:p>
            <w:pPr>
              <w:ind w:left="200"/>
              <w:spacing w:after="0"/>
              <w:rPr>
                <w:sz w:val="20"/>
                <w:szCs w:val="20"/>
                <w:color w:val="auto"/>
              </w:rPr>
            </w:pPr>
            <w:r>
              <w:rPr>
                <w:rFonts w:ascii="Arial" w:cs="Arial" w:eastAsia="Arial" w:hAnsi="Arial"/>
                <w:sz w:val="16"/>
                <w:szCs w:val="16"/>
                <w:color w:val="auto"/>
              </w:rPr>
              <w:t>withheld</w:t>
            </w:r>
          </w:p>
        </w:tc>
        <w:tc>
          <w:tcPr>
            <w:tcW w:w="26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ordinary shares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(62.0)</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3"/>
        </w:trPr>
        <w:tc>
          <w:tcPr>
            <w:tcW w:w="31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Net cash (used for) provided by financing</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9"/>
        </w:trPr>
        <w:tc>
          <w:tcPr>
            <w:tcW w:w="3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425.0</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236.7</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222.4</w:t>
            </w:r>
          </w:p>
        </w:tc>
      </w:tr>
      <w:tr>
        <w:trPr>
          <w:trHeight w:val="216"/>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w w:val="90"/>
              </w:rPr>
              <w:t>Effect of exchange rate changes on cash and</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3160" w:type="dxa"/>
            <w:vAlign w:val="bottom"/>
          </w:tcPr>
          <w:p>
            <w:pPr>
              <w:ind w:left="200"/>
              <w:spacing w:after="0"/>
              <w:rPr>
                <w:sz w:val="20"/>
                <w:szCs w:val="20"/>
                <w:color w:val="auto"/>
              </w:rPr>
            </w:pPr>
            <w:r>
              <w:rPr>
                <w:rFonts w:ascii="Arial" w:cs="Arial" w:eastAsia="Arial" w:hAnsi="Arial"/>
                <w:sz w:val="16"/>
                <w:szCs w:val="16"/>
                <w:b w:val="1"/>
                <w:bCs w:val="1"/>
                <w:color w:val="auto"/>
              </w:rPr>
              <w:t>cash equivalents</w:t>
            </w:r>
          </w:p>
        </w:tc>
        <w:tc>
          <w:tcPr>
            <w:tcW w:w="2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16"/>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w w:val="99"/>
              </w:rPr>
              <w:t>Cash and cash equivalents, beginning of</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3160" w:type="dxa"/>
            <w:vAlign w:val="bottom"/>
          </w:tcPr>
          <w:p>
            <w:pPr>
              <w:ind w:left="200"/>
              <w:spacing w:after="0"/>
              <w:rPr>
                <w:sz w:val="20"/>
                <w:szCs w:val="20"/>
                <w:color w:val="auto"/>
              </w:rPr>
            </w:pPr>
            <w:r>
              <w:rPr>
                <w:rFonts w:ascii="Arial" w:cs="Arial" w:eastAsia="Arial" w:hAnsi="Arial"/>
                <w:sz w:val="16"/>
                <w:szCs w:val="16"/>
                <w:b w:val="1"/>
                <w:bCs w:val="1"/>
                <w:color w:val="auto"/>
              </w:rPr>
              <w:t>period</w:t>
            </w:r>
          </w:p>
        </w:tc>
        <w:tc>
          <w:tcPr>
            <w:tcW w:w="2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74.1</w:t>
            </w: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74.3</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8"/>
              </w:rPr>
              <w:t>Cash and cash equivalents, end of period</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w:t>
            </w:r>
          </w:p>
        </w:tc>
      </w:tr>
      <w:tr>
        <w:trPr>
          <w:trHeight w:val="20"/>
        </w:trPr>
        <w:tc>
          <w:tcPr>
            <w:tcW w:w="3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498.0</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498.0</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132.4</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140.9</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131.1</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122.6</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4"/>
              </w:rPr>
              <w:t>Loss from discontinued operations, net of</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earnings from discontinued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w:t>
            </w:r>
          </w:p>
        </w:tc>
      </w:tr>
      <w:tr>
        <w:trPr>
          <w:trHeight w:val="67"/>
        </w:trPr>
        <w:tc>
          <w:tcPr>
            <w:tcW w:w="3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(205.5)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977.3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977.3</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535.9</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268.7</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282.7</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229.3</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4"/>
              </w:rPr>
              <w:t>Income from discontinued operations, net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144.4</w:t>
            </w:r>
          </w:p>
        </w:tc>
      </w:tr>
      <w:tr>
        <w:trPr>
          <w:trHeight w:val="67"/>
        </w:trPr>
        <w:tc>
          <w:tcPr>
            <w:tcW w:w="3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159.7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197.2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(517.3)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Subsidiary</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0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Issuer</w:t>
            </w:r>
          </w:p>
        </w:tc>
        <w:tc>
          <w:tcPr>
            <w:tcW w:w="2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Subsidiaries</w:t>
            </w:r>
          </w:p>
        </w:tc>
        <w:tc>
          <w:tcPr>
            <w:tcW w:w="2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left="550"/>
              <w:spacing w:after="0"/>
              <w:rPr>
                <w:sz w:val="20"/>
                <w:szCs w:val="20"/>
                <w:color w:val="auto"/>
              </w:rPr>
            </w:pPr>
            <w:r>
              <w:rPr>
                <w:rFonts w:ascii="Arial" w:cs="Arial" w:eastAsia="Arial" w:hAnsi="Arial"/>
                <w:sz w:val="18"/>
                <w:szCs w:val="18"/>
                <w:b w:val="1"/>
                <w:bCs w:val="1"/>
                <w:color w:val="auto"/>
                <w:w w:val="81"/>
              </w:rPr>
              <w:t>Assets</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483.6</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488.2</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89.4</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1,039.4</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272.6</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272.6</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1,903.8</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2,036.1</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2,675.7</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(6,615.6)</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2,072.7</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2,072.7</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276.3</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276.3</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2,036.1</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3,371.8</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3,078.7</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(7,919.2)</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2,494.5</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3,806.5</w:t>
            </w:r>
          </w:p>
        </w:tc>
      </w:tr>
      <w:tr>
        <w:trPr>
          <w:trHeight w:val="20"/>
        </w:trPr>
        <w:tc>
          <w:tcPr>
            <w:tcW w:w="3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92"/>
              </w:rPr>
              <w:t>Liabilities and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378.6</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Employee compensation and benefits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290.3</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328.4</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818.7</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1,333.9</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787.6</w:t>
            </w: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4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168.2</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1,719.7</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(1,319.0)</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1,970.4</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1,836.1</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1,903.8</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2,035.8</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2,676.0</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(6,615.6)</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1,836.1</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3,806.5</w:t>
            </w:r>
          </w:p>
        </w:tc>
      </w:tr>
      <w:tr>
        <w:trPr>
          <w:trHeight w:val="20"/>
        </w:trPr>
        <w:tc>
          <w:tcPr>
            <w:tcW w:w="3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left="730"/>
              <w:spacing w:after="0"/>
              <w:rPr>
                <w:sz w:val="20"/>
                <w:szCs w:val="20"/>
                <w:color w:val="auto"/>
              </w:rPr>
            </w:pPr>
            <w:r>
              <w:rPr>
                <w:rFonts w:ascii="Arial" w:cs="Arial" w:eastAsia="Arial" w:hAnsi="Arial"/>
                <w:sz w:val="18"/>
                <w:szCs w:val="18"/>
                <w:color w:val="auto"/>
                <w:w w:val="89"/>
              </w:rPr>
              <w:t>28</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30,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Parent</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Company</w:t>
            </w:r>
          </w:p>
        </w:tc>
        <w:tc>
          <w:tcPr>
            <w:tcW w:w="22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240" w:type="dxa"/>
            <w:vAlign w:val="bottom"/>
          </w:tcPr>
          <w:p>
            <w:pPr>
              <w:spacing w:after="0"/>
              <w:rPr>
                <w:sz w:val="17"/>
                <w:szCs w:val="17"/>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1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Non-guarantor</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210"/>
        </w:trPr>
        <w:tc>
          <w:tcPr>
            <w:tcW w:w="310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20" w:type="dxa"/>
            <w:vAlign w:val="bottom"/>
          </w:tcPr>
          <w:p>
            <w:pPr>
              <w:spacing w:after="0"/>
              <w:rPr>
                <w:sz w:val="18"/>
                <w:szCs w:val="18"/>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Guarantor</w:t>
            </w:r>
          </w:p>
        </w:tc>
        <w:tc>
          <w:tcPr>
            <w:tcW w:w="220" w:type="dxa"/>
            <w:vAlign w:val="bottom"/>
          </w:tcPr>
          <w:p>
            <w:pPr>
              <w:spacing w:after="0"/>
              <w:rPr>
                <w:sz w:val="18"/>
                <w:szCs w:val="18"/>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Guarantor</w:t>
            </w:r>
          </w:p>
        </w:tc>
        <w:tc>
          <w:tcPr>
            <w:tcW w:w="24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Issuer</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Subsidiaries</w:t>
            </w:r>
          </w:p>
        </w:tc>
        <w:tc>
          <w:tcPr>
            <w:tcW w:w="18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Eliminations</w:t>
            </w:r>
          </w:p>
        </w:tc>
        <w:tc>
          <w:tcPr>
            <w:tcW w:w="22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0"/>
        </w:trPr>
        <w:tc>
          <w:tcPr>
            <w:tcW w:w="3100" w:type="dxa"/>
            <w:vAlign w:val="bottom"/>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101.1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162.2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177.5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272.6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(541.5)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171.9</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Proceeds from sale of property and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Payments due to sale of businesses, net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Net intercompany loan activity</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22.5</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490.6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(603.8)</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3"/>
        </w:trPr>
        <w:tc>
          <w:tcPr>
            <w:tcW w:w="3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investing activities of continuing</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operations</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456.1</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(603.8)</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20"/>
        </w:trPr>
        <w:tc>
          <w:tcPr>
            <w:tcW w:w="3100" w:type="dxa"/>
            <w:vAlign w:val="bottom"/>
          </w:tcPr>
          <w:p>
            <w:pPr>
              <w:ind w:left="380"/>
              <w:spacing w:after="0"/>
              <w:rPr>
                <w:sz w:val="20"/>
                <w:szCs w:val="20"/>
                <w:color w:val="auto"/>
              </w:rPr>
            </w:pPr>
            <w:r>
              <w:rPr>
                <w:rFonts w:ascii="Arial" w:cs="Arial" w:eastAsia="Arial" w:hAnsi="Arial"/>
                <w:sz w:val="16"/>
                <w:szCs w:val="16"/>
                <w:color w:val="auto"/>
                <w:w w:val="97"/>
              </w:rPr>
              <w:t>Net cash used for investing activities of</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discontinued operations</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9"/>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449.0</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(603.8)</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receipts (repayments) of commercial</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paper and revolving long-term debt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Repayments of long-term debt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(675.1)</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(675.1)</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Premium paid on early extinguishment of debt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Transfer of cash to nVent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(74.2)</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from nVent spin-off</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993.6</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Net change in advances to subsidiaries</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287.8</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(222.1)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(517.0)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(694.0)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1,145.3</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issued to employees, net of shares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withheld</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Repurchases of ordinary shares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(300.0)</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r>
      <w:tr>
        <w:trPr>
          <w:trHeight w:val="213"/>
        </w:trPr>
        <w:tc>
          <w:tcPr>
            <w:tcW w:w="31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(used for) provided by</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(131.8)</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(222.1)</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(170.7)</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(781.8)</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1,145.3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(161.1)</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held for sale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r>
      <w:tr>
        <w:trPr>
          <w:trHeight w:val="216"/>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w w:val="88"/>
              </w:rPr>
              <w:t>Effect of exchange rate changes on cash and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100" w:type="dxa"/>
            <w:vAlign w:val="bottom"/>
          </w:tcPr>
          <w:p>
            <w:pPr>
              <w:ind w:left="200"/>
              <w:spacing w:after="0"/>
              <w:rPr>
                <w:sz w:val="20"/>
                <w:szCs w:val="20"/>
                <w:color w:val="auto"/>
              </w:rPr>
            </w:pPr>
            <w:r>
              <w:rPr>
                <w:rFonts w:ascii="Arial" w:cs="Arial" w:eastAsia="Arial" w:hAnsi="Arial"/>
                <w:sz w:val="16"/>
                <w:szCs w:val="16"/>
                <w:b w:val="1"/>
                <w:bCs w:val="1"/>
                <w:color w:val="auto"/>
              </w:rPr>
              <w:t>cash equivalents</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(26.1)</w:t>
            </w:r>
          </w:p>
        </w:tc>
        <w:tc>
          <w:tcPr>
            <w:tcW w:w="1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6"/>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w w:val="97"/>
              </w:rPr>
              <w:t>Cash and cash equivalents, beginning of</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100" w:type="dxa"/>
            <w:vAlign w:val="bottom"/>
          </w:tcPr>
          <w:p>
            <w:pPr>
              <w:ind w:left="200"/>
              <w:spacing w:after="0"/>
              <w:rPr>
                <w:sz w:val="20"/>
                <w:szCs w:val="20"/>
                <w:color w:val="auto"/>
              </w:rPr>
            </w:pPr>
            <w:r>
              <w:rPr>
                <w:rFonts w:ascii="Arial" w:cs="Arial" w:eastAsia="Arial" w:hAnsi="Arial"/>
                <w:sz w:val="16"/>
                <w:szCs w:val="16"/>
                <w:b w:val="1"/>
                <w:bCs w:val="1"/>
                <w:color w:val="auto"/>
              </w:rPr>
              <w:t>period</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86.3</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86.3</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6"/>
              </w:rPr>
              <w:t>Cash and cash equivalents, end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overall global economic and business conditions impacting our business, including the strength of housing and related markets; demand, competition and pricing pressures in the markets we serve; volatility in currency exchange rates; failure of markets to accept new product introductions and enhancements; the ability to successfully identify, finance, complete and integrate acquisitions; the ability to successfully integrate the Aquion, Inc. (“Aquion”) and Pelican Water Systems (“Pelican”) acquisitions; the ability to achieve the benefits of our restructuring plans and cost reduction initiatives; risks associated with operating foreign businesses; the impact of material cost and other inflation;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the ability to realize the anticipated benefits from the Separation (as defined below); and the ability to achieve our long-term strategic operating goals. Additional information concerning these and other factors is contained in our filings with the U.S. Securities and Exchange Commission (the “SEC”), including this Quarterly Report on Form 10-Q. All forward-looking statements speak only as of the date of this report. Pentair assumes no obligation, and disclaims any obligation, to update the information contained in this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 and industry around the world. Our industry leading and proven portfolio of solutions enables our customers to access clean, safe water, reduce water consumption, and recover and reuse it. Whether it’s improving, moving or helping people enjoy water, we help manage the world’s most precious resource. We are comprised of three reporting segments: Aquatic Systems, Filtration Solutions and Flow Technologies. For the first six months of 2019, the Aquatic Systems, Filtration Solutions and Flow Technologies segments represented approximately 33%, 35% and 32% of total revenues, respectively. We classify our operations into business segments based primarily on types of products offered and markets served:</w:t>
      </w:r>
    </w:p>
    <w:p>
      <w:pPr>
        <w:spacing w:after="0" w:line="133" w:lineRule="exact"/>
        <w:rPr>
          <w:sz w:val="20"/>
          <w:szCs w:val="20"/>
          <w:color w:val="auto"/>
        </w:rPr>
      </w:pPr>
    </w:p>
    <w:p>
      <w:pPr>
        <w:ind w:left="660" w:right="580" w:hanging="328"/>
        <w:spacing w:after="0" w:line="302" w:lineRule="auto"/>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Aquatic Systems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a complete line of energy-efficient residential and commercial pool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including pumps, filters, heaters, lights, automatic controls, automatic cleaners, maintenance equipment and pool accessories. Applications for our Aquatic Systems products include residential and commercial pool maintenance, pool repair, renovation, service and construction and aquaculture solutions.</w:t>
      </w:r>
    </w:p>
    <w:p>
      <w:pPr>
        <w:spacing w:after="0" w:line="116" w:lineRule="exact"/>
        <w:rPr>
          <w:rFonts w:ascii="Arial" w:cs="Arial" w:eastAsia="Arial" w:hAnsi="Arial"/>
          <w:sz w:val="18"/>
          <w:szCs w:val="18"/>
          <w:b w:val="1"/>
          <w:bCs w:val="1"/>
          <w:i w:val="1"/>
          <w:iCs w:val="1"/>
          <w:color w:val="auto"/>
        </w:rPr>
      </w:pPr>
    </w:p>
    <w:p>
      <w:pPr>
        <w:ind w:left="660" w:right="40" w:hanging="328"/>
        <w:spacing w:after="0" w:line="30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Filtration Solutions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water and fluid treatment products and systems, including pressure tanks and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valves, activated carbon products, conventional filtration products, point-of-entry and point-of-use systems, gas recovery solutions, membrane bioreactors, wastewater reuse systems and advanced membrane filtration and separation systems into the global residential, industrial and commercial markets. These products are used in a range of applications, including use in fluid filtration, ion exchange, desalination, food and beverage, food service and separation technologies for the oil and gas industry.</w:t>
      </w:r>
    </w:p>
    <w:p>
      <w:pPr>
        <w:spacing w:after="0" w:line="117" w:lineRule="exact"/>
        <w:rPr>
          <w:rFonts w:ascii="Arial" w:cs="Arial" w:eastAsia="Arial" w:hAnsi="Arial"/>
          <w:sz w:val="18"/>
          <w:szCs w:val="18"/>
          <w:color w:val="auto"/>
        </w:rPr>
      </w:pPr>
    </w:p>
    <w:p>
      <w:pPr>
        <w:ind w:left="660" w:right="20" w:hanging="328"/>
        <w:spacing w:after="0" w:line="30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Flow Technologies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products ranging from light-duty diaphragm pumps to high-flow turbine pumps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solid handling pumps while serving the global residential, commercial and industrial markets. These pumps are used in a range of applications, including residential and municipal wells, water treatment, wastewater solids handling, pressure boosting, fluid delivery, circulation and transfer, fire suppression, flood control, agricultural irrigation and crop spray.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April 30, 2018, we completed the previously announced separation of our Electrical business from the rest of Pentair (the “Separation”) by means of a dividend in specie of the Electrical business, which was effected by the transfer of the Electrical business from Pentair to nVent and the issuance by nVent of nVent ordinary shares directly to Pentair shareholders (the “Distribution”). We did not retain an equity interest in nVent. The results of the Electrical business have been presented as discontinued operations for all periods presented. The Electrical business was previously disclosed as a stand-alone reporting segment.</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February 2019, as part of Filtration Solutions, we completed the acquisitions of Aquion and Pelican for $163.4 million and $121.1 million in cash, net of cash acquired, respectively. Aquion offers a diverse line of water conditioners, water filters, drinking-water purifiers, ozone and ultraviolet disinfection systems, reverse osmosis systems and acid neutralizers for the residential and commercial water treatment industry. Pelican provides residential whole home water treatment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trends and uncertainties affected our financial performance in the first six months of 2019 and may impact our results in the future:</w:t>
      </w:r>
    </w:p>
    <w:p>
      <w:pPr>
        <w:spacing w:after="0" w:line="168" w:lineRule="exact"/>
        <w:rPr>
          <w:sz w:val="20"/>
          <w:szCs w:val="20"/>
          <w:color w:val="auto"/>
        </w:rPr>
      </w:pPr>
    </w:p>
    <w:p>
      <w:pPr>
        <w:jc w:val="both"/>
        <w:ind w:left="660" w:right="1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Wet and cold weather continued to delay pool construction activity in several key markets during the second quarter of 2019. As a result of slower sell-through during the first half of 2019, inventory levels were not reduced to the levels we anticipated. We expect the financial results of Aquatic Systems for the second half of 2019 to be negatively impacted as a result.</w:t>
      </w:r>
    </w:p>
    <w:p>
      <w:pPr>
        <w:spacing w:after="0" w:line="127" w:lineRule="exact"/>
        <w:rPr>
          <w:rFonts w:ascii="Arial" w:cs="Arial" w:eastAsia="Arial" w:hAnsi="Arial"/>
          <w:sz w:val="18"/>
          <w:szCs w:val="18"/>
          <w:color w:val="auto"/>
        </w:rPr>
      </w:pPr>
    </w:p>
    <w:p>
      <w:pPr>
        <w:ind w:left="660" w:right="160" w:hanging="328"/>
        <w:spacing w:after="0" w:line="31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our businesses to more effectively address these opportunities through research and development and additional sales and marketing resources. Unless we successfully penetrate these markets, our core sales growth will likely be limited or may decline.</w:t>
      </w:r>
    </w:p>
    <w:p>
      <w:pPr>
        <w:spacing w:after="0" w:line="92"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27" w:lineRule="exact"/>
        <w:rPr>
          <w:rFonts w:ascii="Arial" w:cs="Arial" w:eastAsia="Arial" w:hAnsi="Arial"/>
          <w:sz w:val="18"/>
          <w:szCs w:val="18"/>
          <w:color w:val="auto"/>
        </w:rPr>
      </w:pPr>
    </w:p>
    <w:p>
      <w:pPr>
        <w:ind w:left="660" w:right="4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Proposed regulations as part of the Tax Cuts and Jobs Act, enacted in the U.S. in December 2017, may place limitations on the deductibility of certain interest expense for U.S. tax purposes. These proposed regulations could materially adversely affect our financial condition, results of operations, cash flows or our effective tax rate in future reporting periods when enacted.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2019, our operating objectives include the following:</w:t>
      </w:r>
    </w:p>
    <w:p>
      <w:pPr>
        <w:spacing w:after="0" w:line="171" w:lineRule="exact"/>
        <w:rPr>
          <w:sz w:val="20"/>
          <w:szCs w:val="20"/>
          <w:color w:val="auto"/>
        </w:rPr>
      </w:pPr>
    </w:p>
    <w:p>
      <w:pPr>
        <w:ind w:left="660" w:right="6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Accelerating the Pentair Integrated Management System (“PIMS”), with specific focus on the area of commercial excellence and acquisition integrations;</w:t>
      </w:r>
    </w:p>
    <w:p>
      <w:pPr>
        <w:spacing w:after="0" w:line="116"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Delivering our growth priorities through new products and global and market expansion, specifically in the areas of pool and residential and commercial water treatment especially through acquisitions and focus on China and Southeast Asia;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Optimizing our technological capabilities to increasingly generate innovative new products and advance digital transformation;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Building a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2"/>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8520" w:type="dxa"/>
            <w:vAlign w:val="bottom"/>
            <w:gridSpan w:val="6"/>
          </w:tcPr>
          <w:p>
            <w:pPr>
              <w:spacing w:after="0"/>
              <w:rPr>
                <w:sz w:val="20"/>
                <w:szCs w:val="20"/>
                <w:color w:val="auto"/>
              </w:rPr>
            </w:pPr>
            <w:r>
              <w:rPr>
                <w:rFonts w:ascii="Arial" w:cs="Arial" w:eastAsia="Arial" w:hAnsi="Arial"/>
                <w:sz w:val="18"/>
                <w:szCs w:val="18"/>
                <w:color w:val="auto"/>
                <w:w w:val="99"/>
              </w:rPr>
              <w:t>The consolidated results of operations for the three months ended June 30, 2019 and 2018 were as follows: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10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Pr>
          <w:p>
            <w:pPr>
              <w:spacing w:after="0"/>
              <w:rPr>
                <w:sz w:val="24"/>
                <w:szCs w:val="24"/>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10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12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5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7"/>
        </w:trPr>
        <w:tc>
          <w:tcPr>
            <w:tcW w:w="10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799.5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780.6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18.9</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2.4 %</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512.8</w:t>
            </w:r>
          </w:p>
        </w:tc>
        <w:tc>
          <w:tcPr>
            <w:tcW w:w="2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498.0</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14.8</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3.0 %</w:t>
            </w:r>
          </w:p>
        </w:tc>
      </w:tr>
      <w:tr>
        <w:trPr>
          <w:trHeight w:val="27"/>
        </w:trPr>
        <w:tc>
          <w:tcPr>
            <w:tcW w:w="10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286.7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282.6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4.1</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1.5 %</w:t>
            </w:r>
          </w:p>
        </w:tc>
      </w:tr>
      <w:tr>
        <w:trPr>
          <w:trHeight w:val="243"/>
        </w:trPr>
        <w:tc>
          <w:tcPr>
            <w:tcW w:w="550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35.9%</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36.2%</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90"/>
              </w:rPr>
              <w:t>(0.3) pts</w:t>
            </w: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1020" w:type="dxa"/>
            <w:vAlign w:val="bottom"/>
            <w:shd w:val="clear" w:color="auto" w:fill="CCEEFF"/>
          </w:tcPr>
          <w:p>
            <w:pPr>
              <w:spacing w:after="0"/>
              <w:rPr>
                <w:sz w:val="23"/>
                <w:szCs w:val="23"/>
                <w:color w:val="auto"/>
              </w:rPr>
            </w:pPr>
          </w:p>
        </w:tc>
        <w:tc>
          <w:tcPr>
            <w:tcW w:w="4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132.2</w:t>
            </w:r>
          </w:p>
        </w:tc>
        <w:tc>
          <w:tcPr>
            <w:tcW w:w="2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140.9</w:t>
            </w: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(8.7)</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(6.2)%</w:t>
            </w: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18.1%</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i w:val="1"/>
                <w:iCs w:val="1"/>
                <w:color w:val="auto"/>
                <w:w w:val="90"/>
              </w:rPr>
              <w:t>(1.6) pts</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8.4 %</w:t>
            </w: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i w:val="1"/>
                <w:iCs w:val="1"/>
                <w:color w:val="auto"/>
                <w:w w:val="88"/>
              </w:rPr>
              <w:t>0.2 pts</w:t>
            </w:r>
          </w:p>
        </w:tc>
      </w:tr>
      <w:tr>
        <w:trPr>
          <w:trHeight w:val="324"/>
        </w:trPr>
        <w:tc>
          <w:tcPr>
            <w:tcW w:w="10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122.6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11.2</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9.1 %</w:t>
            </w:r>
          </w:p>
        </w:tc>
      </w:tr>
      <w:tr>
        <w:trPr>
          <w:trHeight w:val="243"/>
        </w:trPr>
        <w:tc>
          <w:tcPr>
            <w:tcW w:w="550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16.7%</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15.7%</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88"/>
              </w:rPr>
              <w:t>1.0 pts</w:t>
            </w: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Loss on sale of business</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(88.9)%</w:t>
            </w: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17.1</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N.M.</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(8.7)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r>
      <w:tr>
        <w:trPr>
          <w:trHeight w:val="230"/>
        </w:trPr>
        <w:tc>
          <w:tcPr>
            <w:tcW w:w="10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98.7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38.5</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39.0 %</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1.3</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6.3 %</w:t>
            </w: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500" w:type="dxa"/>
            <w:vAlign w:val="bottom"/>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16.1%</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21.1%</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left="630"/>
              <w:spacing w:after="0"/>
              <w:rPr>
                <w:sz w:val="20"/>
                <w:szCs w:val="20"/>
                <w:color w:val="auto"/>
              </w:rPr>
            </w:pPr>
            <w:r>
              <w:rPr>
                <w:rFonts w:ascii="Arial" w:cs="Arial" w:eastAsia="Arial" w:hAnsi="Arial"/>
                <w:sz w:val="18"/>
                <w:szCs w:val="18"/>
                <w:i w:val="1"/>
                <w:iCs w:val="1"/>
                <w:color w:val="auto"/>
                <w:w w:val="90"/>
              </w:rPr>
              <w:t>(5.0) pts</w:t>
            </w:r>
          </w:p>
        </w:tc>
      </w:tr>
      <w:tr>
        <w:trPr>
          <w:trHeight w:val="27"/>
        </w:trPr>
        <w:tc>
          <w:tcPr>
            <w:tcW w:w="10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54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8520" w:type="dxa"/>
            <w:vAlign w:val="bottom"/>
            <w:gridSpan w:val="6"/>
          </w:tcPr>
          <w:p>
            <w:pPr>
              <w:spacing w:after="0"/>
              <w:rPr>
                <w:sz w:val="20"/>
                <w:szCs w:val="20"/>
                <w:color w:val="auto"/>
              </w:rPr>
            </w:pPr>
            <w:r>
              <w:rPr>
                <w:rFonts w:ascii="Arial" w:cs="Arial" w:eastAsia="Arial" w:hAnsi="Arial"/>
                <w:sz w:val="18"/>
                <w:szCs w:val="18"/>
                <w:color w:val="auto"/>
                <w:w w:val="93"/>
              </w:rPr>
              <w:t>The consolidated results of operations for the six months ended June 30, 2019 and June 30, 2018 were as follows: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Six months ended</w:t>
            </w:r>
          </w:p>
        </w:tc>
        <w:tc>
          <w:tcPr>
            <w:tcW w:w="1400" w:type="dxa"/>
            <w:vAlign w:val="bottom"/>
          </w:tcPr>
          <w:p>
            <w:pPr>
              <w:spacing w:after="0"/>
              <w:rPr>
                <w:sz w:val="24"/>
                <w:szCs w:val="24"/>
                <w:color w:val="auto"/>
              </w:rPr>
            </w:pP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12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4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7"/>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1,488.4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1,513.2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(24.8)</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966.1</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977.3</w:t>
            </w: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(11.2)</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7"/>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522.3</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535.9</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(13.6)</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35.1%</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35.4%</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90"/>
              </w:rPr>
              <w:t>(0.3)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279.5</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282.7</w:t>
            </w: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18.8%</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i w:val="1"/>
                <w:iCs w:val="1"/>
                <w:color w:val="auto"/>
                <w:w w:val="96"/>
              </w:rPr>
              <w:t>0.1 pts</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9.2 %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i w:val="1"/>
                <w:iCs w:val="1"/>
                <w:color w:val="auto"/>
                <w:w w:val="96"/>
              </w:rPr>
              <w:t>0.3 pts</w:t>
            </w:r>
          </w:p>
        </w:tc>
      </w:tr>
      <w:tr>
        <w:trPr>
          <w:trHeight w:val="230"/>
        </w:trPr>
        <w:tc>
          <w:tcPr>
            <w:tcW w:w="10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201.4</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215.3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(13.9)</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13.5%</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14.2%</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90"/>
              </w:rPr>
              <w:t>(0.7)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(Gain) loss on sale of business</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(9.6)</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17.1</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N.M.</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(8.5)</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(29.2)%</w:t>
            </w:r>
          </w:p>
        </w:tc>
      </w:tr>
      <w:tr>
        <w:trPr>
          <w:trHeight w:val="230"/>
        </w:trPr>
        <w:tc>
          <w:tcPr>
            <w:tcW w:w="10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200.4</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172.2</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28.2</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16.4 %</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(8.4)%</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460" w:type="dxa"/>
            <w:vAlign w:val="bottom"/>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16.4%</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20.8%</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left="630"/>
              <w:spacing w:after="0"/>
              <w:rPr>
                <w:sz w:val="20"/>
                <w:szCs w:val="20"/>
                <w:color w:val="auto"/>
              </w:rPr>
            </w:pPr>
            <w:r>
              <w:rPr>
                <w:rFonts w:ascii="Arial" w:cs="Arial" w:eastAsia="Arial" w:hAnsi="Arial"/>
                <w:sz w:val="18"/>
                <w:szCs w:val="18"/>
                <w:i w:val="1"/>
                <w:iCs w:val="1"/>
                <w:color w:val="auto"/>
                <w:w w:val="90"/>
              </w:rPr>
              <w:t>(4.4) pts</w:t>
            </w:r>
          </w:p>
        </w:tc>
      </w:tr>
      <w:tr>
        <w:trPr>
          <w:trHeight w:val="27"/>
        </w:trPr>
        <w:tc>
          <w:tcPr>
            <w:tcW w:w="102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consolidated net sales change from the prior period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4020"/>
              <w:spacing w:after="0"/>
              <w:rPr>
                <w:sz w:val="20"/>
                <w:szCs w:val="20"/>
                <w:color w:val="auto"/>
              </w:rPr>
            </w:pPr>
            <w:r>
              <w:rPr>
                <w:rFonts w:ascii="Arial" w:cs="Arial" w:eastAsia="Arial" w:hAnsi="Arial"/>
                <w:sz w:val="18"/>
                <w:szCs w:val="18"/>
                <w:b w:val="1"/>
                <w:bCs w:val="1"/>
                <w:color w:val="auto"/>
                <w:w w:val="91"/>
              </w:rPr>
              <w:t>Three months ended June 30, 2019</w:t>
            </w:r>
          </w:p>
        </w:tc>
        <w:tc>
          <w:tcPr>
            <w:tcW w:w="980" w:type="dxa"/>
            <w:vAlign w:val="bottom"/>
          </w:tcPr>
          <w:p>
            <w:pPr>
              <w:spacing w:after="0"/>
              <w:rPr>
                <w:sz w:val="20"/>
                <w:szCs w:val="20"/>
                <w:color w:val="auto"/>
              </w:rPr>
            </w:pPr>
          </w:p>
        </w:tc>
        <w:tc>
          <w:tcPr>
            <w:tcW w:w="3660" w:type="dxa"/>
            <w:vAlign w:val="bottom"/>
          </w:tcPr>
          <w:p>
            <w:pPr>
              <w:jc w:val="right"/>
              <w:ind w:right="710"/>
              <w:spacing w:after="0"/>
              <w:rPr>
                <w:sz w:val="20"/>
                <w:szCs w:val="20"/>
                <w:color w:val="auto"/>
              </w:rPr>
            </w:pPr>
            <w:r>
              <w:rPr>
                <w:rFonts w:ascii="Arial" w:cs="Arial" w:eastAsia="Arial" w:hAnsi="Arial"/>
                <w:sz w:val="18"/>
                <w:szCs w:val="18"/>
                <w:b w:val="1"/>
                <w:bCs w:val="1"/>
                <w:color w:val="auto"/>
              </w:rPr>
              <w:t>Six months ended June 30, 2019</w:t>
            </w:r>
          </w:p>
        </w:tc>
      </w:tr>
      <w:tr>
        <w:trPr>
          <w:trHeight w:val="270"/>
        </w:trPr>
        <w:tc>
          <w:tcPr>
            <w:tcW w:w="6780" w:type="dxa"/>
            <w:vAlign w:val="bottom"/>
          </w:tcPr>
          <w:p>
            <w:pPr>
              <w:ind w:left="4360"/>
              <w:spacing w:after="0"/>
              <w:rPr>
                <w:sz w:val="20"/>
                <w:szCs w:val="20"/>
                <w:color w:val="auto"/>
              </w:rPr>
            </w:pPr>
            <w:r>
              <w:rPr>
                <w:rFonts w:ascii="Arial" w:cs="Arial" w:eastAsia="Arial" w:hAnsi="Arial"/>
                <w:sz w:val="18"/>
                <w:szCs w:val="18"/>
                <w:b w:val="1"/>
                <w:bCs w:val="1"/>
                <w:color w:val="auto"/>
              </w:rPr>
              <w:t>over the prior year period</w:t>
            </w:r>
          </w:p>
        </w:tc>
        <w:tc>
          <w:tcPr>
            <w:tcW w:w="980" w:type="dxa"/>
            <w:vAlign w:val="bottom"/>
          </w:tcPr>
          <w:p>
            <w:pPr>
              <w:spacing w:after="0"/>
              <w:rPr>
                <w:sz w:val="23"/>
                <w:szCs w:val="23"/>
                <w:color w:val="auto"/>
              </w:rPr>
            </w:pPr>
          </w:p>
        </w:tc>
        <w:tc>
          <w:tcPr>
            <w:tcW w:w="3660" w:type="dxa"/>
            <w:vAlign w:val="bottom"/>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6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(2.0)%</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Price</w:t>
            </w:r>
          </w:p>
        </w:tc>
        <w:tc>
          <w:tcPr>
            <w:tcW w:w="980" w:type="dxa"/>
            <w:vAlign w:val="bottom"/>
          </w:tcPr>
          <w:p>
            <w:pPr>
              <w:jc w:val="right"/>
              <w:ind w:right="530"/>
              <w:spacing w:after="0"/>
              <w:rPr>
                <w:sz w:val="20"/>
                <w:szCs w:val="20"/>
                <w:color w:val="auto"/>
              </w:rPr>
            </w:pPr>
            <w:r>
              <w:rPr>
                <w:rFonts w:ascii="Arial" w:cs="Arial" w:eastAsia="Arial" w:hAnsi="Arial"/>
                <w:sz w:val="18"/>
                <w:szCs w:val="18"/>
                <w:color w:val="auto"/>
              </w:rPr>
              <w:t>3.3</w:t>
            </w:r>
          </w:p>
        </w:tc>
        <w:tc>
          <w:tcPr>
            <w:tcW w:w="3660" w:type="dxa"/>
            <w:vAlign w:val="bottom"/>
          </w:tcPr>
          <w:p>
            <w:pPr>
              <w:jc w:val="right"/>
              <w:ind w:right="150"/>
              <w:spacing w:after="0"/>
              <w:rPr>
                <w:sz w:val="20"/>
                <w:szCs w:val="20"/>
                <w:color w:val="auto"/>
              </w:rPr>
            </w:pPr>
            <w:r>
              <w:rPr>
                <w:rFonts w:ascii="Arial" w:cs="Arial" w:eastAsia="Arial" w:hAnsi="Arial"/>
                <w:sz w:val="18"/>
                <w:szCs w:val="18"/>
                <w:color w:val="auto"/>
              </w:rPr>
              <w:t>2.6</w:t>
            </w:r>
          </w:p>
        </w:tc>
      </w:tr>
      <w:tr>
        <w:trPr>
          <w:trHeight w:val="27"/>
        </w:trPr>
        <w:tc>
          <w:tcPr>
            <w:tcW w:w="6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9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1.3</w:t>
            </w:r>
          </w:p>
        </w:tc>
        <w:tc>
          <w:tcPr>
            <w:tcW w:w="3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980" w:type="dxa"/>
            <w:vAlign w:val="bottom"/>
          </w:tcPr>
          <w:p>
            <w:pPr>
              <w:jc w:val="right"/>
              <w:ind w:right="530"/>
              <w:spacing w:after="0"/>
              <w:rPr>
                <w:sz w:val="20"/>
                <w:szCs w:val="20"/>
                <w:color w:val="auto"/>
              </w:rPr>
            </w:pPr>
            <w:r>
              <w:rPr>
                <w:rFonts w:ascii="Arial" w:cs="Arial" w:eastAsia="Arial" w:hAnsi="Arial"/>
                <w:sz w:val="18"/>
                <w:szCs w:val="18"/>
                <w:color w:val="auto"/>
              </w:rPr>
              <w:t>2.7</w:t>
            </w:r>
          </w:p>
        </w:tc>
        <w:tc>
          <w:tcPr>
            <w:tcW w:w="3660" w:type="dxa"/>
            <w:vAlign w:val="bottom"/>
          </w:tcPr>
          <w:p>
            <w:pPr>
              <w:jc w:val="right"/>
              <w:ind w:right="150"/>
              <w:spacing w:after="0"/>
              <w:rPr>
                <w:sz w:val="20"/>
                <w:szCs w:val="20"/>
                <w:color w:val="auto"/>
              </w:rPr>
            </w:pPr>
            <w:r>
              <w:rPr>
                <w:rFonts w:ascii="Arial" w:cs="Arial" w:eastAsia="Arial" w:hAnsi="Arial"/>
                <w:sz w:val="18"/>
                <w:szCs w:val="18"/>
                <w:color w:val="auto"/>
              </w:rPr>
              <w:t>1.7</w:t>
            </w:r>
          </w:p>
        </w:tc>
      </w:tr>
      <w:tr>
        <w:trPr>
          <w:trHeight w:val="27"/>
        </w:trPr>
        <w:tc>
          <w:tcPr>
            <w:tcW w:w="6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9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(1.6)</w:t>
            </w:r>
          </w:p>
        </w:tc>
        <w:tc>
          <w:tcPr>
            <w:tcW w:w="3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r>
      <w:tr>
        <w:trPr>
          <w:trHeight w:val="237"/>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2.4 %</w:t>
            </w:r>
          </w:p>
        </w:tc>
        <w:tc>
          <w:tcPr>
            <w:tcW w:w="3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2.4 percentage point increase in net sales in the second quarter of 2019 from 2018 was primarily driven by:</w:t>
      </w:r>
    </w:p>
    <w:p>
      <w:pPr>
        <w:spacing w:after="0" w:line="171"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Aquion and Pelican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decreased sales volume in our Aquatic Systems segment due to higher than anticipated inventory levels in some of our key distribution channels; and</w:t>
      </w:r>
    </w:p>
    <w:p>
      <w:pPr>
        <w:spacing w:after="0" w:line="194" w:lineRule="exact"/>
        <w:rPr>
          <w:rFonts w:ascii="Arial" w:cs="Arial" w:eastAsia="Arial" w:hAnsi="Arial"/>
          <w:sz w:val="16"/>
          <w:szCs w:val="16"/>
          <w:color w:val="auto"/>
        </w:rPr>
      </w:pPr>
    </w:p>
    <w:p>
      <w:pPr>
        <w:ind w:left="500" w:hanging="330"/>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foreign currency effects.</w:t>
      </w:r>
    </w:p>
    <w:p>
      <w:pPr>
        <w:sectPr>
          <w:pgSz w:w="11900" w:h="16838" w:orient="portrait"/>
          <w:cols w:equalWidth="0" w:num="1">
            <w:col w:w="11420"/>
          </w:cols>
          <w:pgMar w:left="240" w:top="11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14"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1.6 percentage point decrease in net sales in the first half of 2019 from 2018 was primarily driven by:</w:t>
      </w:r>
    </w:p>
    <w:p>
      <w:pPr>
        <w:spacing w:after="0" w:line="171" w:lineRule="exact"/>
        <w:rPr>
          <w:sz w:val="20"/>
          <w:szCs w:val="20"/>
          <w:color w:val="auto"/>
        </w:rPr>
      </w:pPr>
    </w:p>
    <w:p>
      <w:pPr>
        <w:ind w:left="500" w:right="540" w:hanging="330"/>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sales volume in our Aquatic Systems segment and agriculture-related business in our Flow Technologies segment due to cold and wet weather and higher than anticipated inventory levels in some of our key distribution channels;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foreign currency effects.</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the Aquion and Pelican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color w:val="auto"/>
        </w:rPr>
        <w:t>The 0.3 percentage point decrease in gross profit as a percentage of sales in the second quarter and first half, respectively, of 2019 from 2018 was primarily driven by:</w:t>
      </w:r>
    </w:p>
    <w:p>
      <w:pPr>
        <w:spacing w:after="0" w:line="130"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mix as a result of a core growth decrease in the higher margin Aquatic Systems segment;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contribution margin as a result of savings generated from our PIMS initiatives including lean and supply management practices.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1.6 percentage point decrease in SG&amp;A as a percentage of sales in the second quarter of 2019 from 2018 was primarily driven by:</w:t>
      </w:r>
    </w:p>
    <w:p>
      <w:pPr>
        <w:spacing w:after="0" w:line="157" w:lineRule="exact"/>
        <w:rPr>
          <w:sz w:val="20"/>
          <w:szCs w:val="20"/>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restructuring and other costs of $6.7 million in the second quarter of 2019 compared to $19.0 million in the second quarter of 2018;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savings generated from restructuring and other lean initiatives.</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investment in sales and marketing to drive growth.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0.1 percentage point increase in SG&amp;A as a percentage of sales in the first half of 2019 from 2018 was primarily driven by:</w:t>
      </w:r>
    </w:p>
    <w:p>
      <w:pPr>
        <w:spacing w:after="0" w:line="171"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asset impairment of $18.2 million in the first half of 2019, compared to $6.0 million in the first half of 2018;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investment in sales and marketing to drive growth.</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restructuring and other costs of $7.8 million in the first half of 2019, compared to $24.6 million in the first half of 2018;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savings generated from restructuring and other lean initiatives.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The 6.9 and 29.2 percent decreases in net interest expense in the second quarter and first half, respectively, of 2019 from 2018 were primarily driven by:</w:t>
      </w:r>
    </w:p>
    <w:p>
      <w:pPr>
        <w:spacing w:after="0" w:line="180" w:lineRule="exact"/>
        <w:rPr>
          <w:sz w:val="20"/>
          <w:szCs w:val="20"/>
          <w:color w:val="auto"/>
        </w:rPr>
      </w:pPr>
    </w:p>
    <w:p>
      <w:pPr>
        <w:jc w:val="both"/>
        <w:ind w:left="500" w:hanging="330"/>
        <w:spacing w:after="0" w:line="286"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impact of lower average outstanding debt levels during the first half of 2019, compared to the same period in 2018. In June 2018, the proceeds from the Separation were utilized to repay the remaining $255.3 million aggregate principal amount of our 2.9% fixed rate senior notes due 2018 and for the early extinguishment of €363.4 million aggregate principal amount of our 2.45% senior notes due 2019; and,</w:t>
      </w:r>
    </w:p>
    <w:p>
      <w:pPr>
        <w:spacing w:after="0" w:line="273" w:lineRule="exact"/>
        <w:rPr>
          <w:rFonts w:ascii="Arial" w:cs="Arial" w:eastAsia="Arial" w:hAnsi="Arial"/>
          <w:sz w:val="17"/>
          <w:szCs w:val="17"/>
          <w:color w:val="auto"/>
        </w:rPr>
      </w:pPr>
    </w:p>
    <w:p>
      <w:pPr>
        <w:ind w:left="500" w:hanging="330"/>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favorable foreign currency impact of interest payments made in Euros.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right="80" w:hanging="330"/>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expense due to a higher outstanding commercial paper balance in 2019 compared to 2018, which was primarily used to fund the Aquion and Pelican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The 5.0 and 4.4 percentage point decreases in the effective tax rate in the second quarter and first half, respectively, of 2019 from 2018 were primarily driven by:</w:t>
      </w:r>
    </w:p>
    <w:p>
      <w:pPr>
        <w:spacing w:after="0" w:line="157" w:lineRule="exact"/>
        <w:rPr>
          <w:sz w:val="20"/>
          <w:szCs w:val="20"/>
          <w:color w:val="auto"/>
        </w:rPr>
      </w:pPr>
    </w:p>
    <w:p>
      <w:pPr>
        <w:ind w:left="560" w:hanging="390"/>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tax impact and timing of losses incurred during the first half of 2019 compared to 2018;</w:t>
      </w:r>
    </w:p>
    <w:p>
      <w:pPr>
        <w:spacing w:after="0" w:line="211" w:lineRule="exact"/>
        <w:rPr>
          <w:rFonts w:ascii="Arial" w:cs="Arial" w:eastAsia="Arial" w:hAnsi="Arial"/>
          <w:sz w:val="18"/>
          <w:szCs w:val="18"/>
          <w:color w:val="auto"/>
        </w:rPr>
      </w:pPr>
    </w:p>
    <w:p>
      <w:pPr>
        <w:ind w:left="560" w:hanging="390"/>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mix of global earnings; and</w:t>
      </w:r>
    </w:p>
    <w:p>
      <w:pPr>
        <w:spacing w:after="0" w:line="211" w:lineRule="exact"/>
        <w:rPr>
          <w:rFonts w:ascii="Arial" w:cs="Arial" w:eastAsia="Arial" w:hAnsi="Arial"/>
          <w:sz w:val="18"/>
          <w:szCs w:val="18"/>
          <w:color w:val="auto"/>
        </w:rPr>
      </w:pPr>
    </w:p>
    <w:p>
      <w:pPr>
        <w:ind w:left="560" w:hanging="390"/>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lower nondeductible interest expense allocated to continuing operations in 2019 compared to 2018.</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summary that follows provides a discussion of the results of operations of each of our three reportable segments (Aquatic Systems, Filtration Solutions and Flow Technologies). Each of these segments is comprised of various product offerings that serve multiple end users.</w:t>
      </w:r>
    </w:p>
    <w:p>
      <w:pPr>
        <w:spacing w:after="0" w:line="18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evaluate performance based on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activities, impairments and other unusual non-operating items.</w:t>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Aquatic Systems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Aquatic Systems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Six months ended</w:t>
            </w:r>
          </w:p>
        </w:tc>
        <w:tc>
          <w:tcPr>
            <w:tcW w:w="1320" w:type="dxa"/>
            <w:vAlign w:val="bottom"/>
          </w:tcPr>
          <w:p>
            <w:pPr>
              <w:spacing w:after="0"/>
              <w:rPr>
                <w:sz w:val="20"/>
                <w:szCs w:val="20"/>
                <w:color w:val="auto"/>
              </w:rPr>
            </w:pPr>
          </w:p>
        </w:tc>
      </w:tr>
      <w:tr>
        <w:trPr>
          <w:trHeight w:val="27"/>
        </w:trPr>
        <w:tc>
          <w:tcPr>
            <w:tcW w:w="2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r>
      <w:tr>
        <w:trPr>
          <w:trHeight w:val="218"/>
        </w:trPr>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 / Point</w:t>
            </w:r>
          </w:p>
        </w:tc>
        <w:tc>
          <w:tcPr>
            <w:tcW w:w="30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 / Point</w:t>
            </w:r>
          </w:p>
        </w:tc>
      </w:tr>
      <w:tr>
        <w:trPr>
          <w:trHeight w:val="234"/>
        </w:trPr>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Change</w:t>
            </w:r>
          </w:p>
        </w:tc>
        <w:tc>
          <w:tcPr>
            <w:tcW w:w="3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3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Change</w:t>
            </w:r>
          </w:p>
        </w:tc>
      </w:tr>
      <w:tr>
        <w:trPr>
          <w:trHeight w:val="27"/>
        </w:trPr>
        <w:tc>
          <w:tcPr>
            <w:tcW w:w="2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270.6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276.2</w:t>
            </w:r>
          </w:p>
        </w:tc>
        <w:tc>
          <w:tcPr>
            <w:tcW w:w="1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491.1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516.6</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(4.9)%</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76.8</w:t>
            </w:r>
          </w:p>
        </w:tc>
        <w:tc>
          <w:tcPr>
            <w:tcW w:w="28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79.6</w:t>
            </w:r>
          </w:p>
        </w:tc>
        <w:tc>
          <w:tcPr>
            <w:tcW w:w="1400" w:type="dxa"/>
            <w:vAlign w:val="bottom"/>
          </w:tcPr>
          <w:p>
            <w:pPr>
              <w:ind w:left="66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129.2</w:t>
            </w: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139.6</w:t>
            </w:r>
          </w:p>
        </w:tc>
        <w:tc>
          <w:tcPr>
            <w:tcW w:w="1320" w:type="dxa"/>
            <w:vAlign w:val="bottom"/>
          </w:tcPr>
          <w:p>
            <w:pPr>
              <w:ind w:left="680"/>
              <w:spacing w:after="0"/>
              <w:rPr>
                <w:sz w:val="20"/>
                <w:szCs w:val="20"/>
                <w:color w:val="auto"/>
              </w:rPr>
            </w:pPr>
            <w:r>
              <w:rPr>
                <w:rFonts w:ascii="Arial" w:cs="Arial" w:eastAsia="Arial" w:hAnsi="Arial"/>
                <w:sz w:val="18"/>
                <w:szCs w:val="18"/>
                <w:color w:val="auto"/>
              </w:rPr>
              <w:t>(7.4)%</w:t>
            </w:r>
          </w:p>
        </w:tc>
      </w:tr>
      <w:tr>
        <w:trPr>
          <w:trHeight w:val="27"/>
        </w:trPr>
        <w:tc>
          <w:tcPr>
            <w:tcW w:w="2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24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28.4%</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28.8%</w:t>
            </w:r>
          </w:p>
        </w:tc>
        <w:tc>
          <w:tcPr>
            <w:tcW w:w="1700" w:type="dxa"/>
            <w:vAlign w:val="bottom"/>
            <w:gridSpan w:val="2"/>
            <w:shd w:val="clear" w:color="auto" w:fill="CCEEFF"/>
          </w:tcPr>
          <w:p>
            <w:pPr>
              <w:ind w:left="660"/>
              <w:spacing w:after="0"/>
              <w:rPr>
                <w:sz w:val="20"/>
                <w:szCs w:val="20"/>
                <w:color w:val="auto"/>
              </w:rPr>
            </w:pPr>
            <w:r>
              <w:rPr>
                <w:rFonts w:ascii="Arial" w:cs="Arial" w:eastAsia="Arial" w:hAnsi="Arial"/>
                <w:sz w:val="18"/>
                <w:szCs w:val="18"/>
                <w:i w:val="1"/>
                <w:iCs w:val="1"/>
                <w:color w:val="auto"/>
              </w:rPr>
              <w:t>(0.4) pts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26.3%</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27.0%</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w w:val="93"/>
              </w:rPr>
              <w:t>(0.7) pts</w:t>
            </w:r>
          </w:p>
        </w:tc>
      </w:tr>
      <w:tr>
        <w:trPr>
          <w:trHeight w:val="27"/>
        </w:trPr>
        <w:tc>
          <w:tcPr>
            <w:tcW w:w="2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Aquatic Systems net sales from the prior period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4020"/>
              <w:spacing w:after="0"/>
              <w:rPr>
                <w:sz w:val="20"/>
                <w:szCs w:val="20"/>
                <w:color w:val="auto"/>
              </w:rPr>
            </w:pPr>
            <w:r>
              <w:rPr>
                <w:rFonts w:ascii="Arial" w:cs="Arial" w:eastAsia="Arial" w:hAnsi="Arial"/>
                <w:sz w:val="18"/>
                <w:szCs w:val="18"/>
                <w:b w:val="1"/>
                <w:bCs w:val="1"/>
                <w:color w:val="auto"/>
                <w:w w:val="91"/>
              </w:rPr>
              <w:t>Three months ended June 30, 2019</w:t>
            </w:r>
          </w:p>
        </w:tc>
        <w:tc>
          <w:tcPr>
            <w:tcW w:w="980" w:type="dxa"/>
            <w:vAlign w:val="bottom"/>
          </w:tcPr>
          <w:p>
            <w:pPr>
              <w:spacing w:after="0"/>
              <w:rPr>
                <w:sz w:val="20"/>
                <w:szCs w:val="20"/>
                <w:color w:val="auto"/>
              </w:rPr>
            </w:pPr>
          </w:p>
        </w:tc>
        <w:tc>
          <w:tcPr>
            <w:tcW w:w="3660" w:type="dxa"/>
            <w:vAlign w:val="bottom"/>
          </w:tcPr>
          <w:p>
            <w:pPr>
              <w:jc w:val="right"/>
              <w:ind w:right="710"/>
              <w:spacing w:after="0"/>
              <w:rPr>
                <w:sz w:val="20"/>
                <w:szCs w:val="20"/>
                <w:color w:val="auto"/>
              </w:rPr>
            </w:pPr>
            <w:r>
              <w:rPr>
                <w:rFonts w:ascii="Arial" w:cs="Arial" w:eastAsia="Arial" w:hAnsi="Arial"/>
                <w:sz w:val="18"/>
                <w:szCs w:val="18"/>
                <w:b w:val="1"/>
                <w:bCs w:val="1"/>
                <w:color w:val="auto"/>
              </w:rPr>
              <w:t>Six months ended June 30, 2019</w:t>
            </w:r>
          </w:p>
        </w:tc>
      </w:tr>
      <w:tr>
        <w:trPr>
          <w:trHeight w:val="270"/>
        </w:trPr>
        <w:tc>
          <w:tcPr>
            <w:tcW w:w="6780" w:type="dxa"/>
            <w:vAlign w:val="bottom"/>
          </w:tcPr>
          <w:p>
            <w:pPr>
              <w:ind w:left="4360"/>
              <w:spacing w:after="0"/>
              <w:rPr>
                <w:sz w:val="20"/>
                <w:szCs w:val="20"/>
                <w:color w:val="auto"/>
              </w:rPr>
            </w:pPr>
            <w:r>
              <w:rPr>
                <w:rFonts w:ascii="Arial" w:cs="Arial" w:eastAsia="Arial" w:hAnsi="Arial"/>
                <w:sz w:val="18"/>
                <w:szCs w:val="18"/>
                <w:b w:val="1"/>
                <w:bCs w:val="1"/>
                <w:color w:val="auto"/>
              </w:rPr>
              <w:t>over the prior year period</w:t>
            </w:r>
          </w:p>
        </w:tc>
        <w:tc>
          <w:tcPr>
            <w:tcW w:w="980" w:type="dxa"/>
            <w:vAlign w:val="bottom"/>
          </w:tcPr>
          <w:p>
            <w:pPr>
              <w:spacing w:after="0"/>
              <w:rPr>
                <w:sz w:val="23"/>
                <w:szCs w:val="23"/>
                <w:color w:val="auto"/>
              </w:rPr>
            </w:pPr>
          </w:p>
        </w:tc>
        <w:tc>
          <w:tcPr>
            <w:tcW w:w="3660" w:type="dxa"/>
            <w:vAlign w:val="bottom"/>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6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(7.2)%</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Price</w:t>
            </w:r>
          </w:p>
        </w:tc>
        <w:tc>
          <w:tcPr>
            <w:tcW w:w="980" w:type="dxa"/>
            <w:vAlign w:val="bottom"/>
          </w:tcPr>
          <w:p>
            <w:pPr>
              <w:jc w:val="right"/>
              <w:ind w:right="530"/>
              <w:spacing w:after="0"/>
              <w:rPr>
                <w:sz w:val="20"/>
                <w:szCs w:val="20"/>
                <w:color w:val="auto"/>
              </w:rPr>
            </w:pPr>
            <w:r>
              <w:rPr>
                <w:rFonts w:ascii="Arial" w:cs="Arial" w:eastAsia="Arial" w:hAnsi="Arial"/>
                <w:sz w:val="18"/>
                <w:szCs w:val="18"/>
                <w:color w:val="auto"/>
              </w:rPr>
              <w:t>5.7</w:t>
            </w:r>
          </w:p>
        </w:tc>
        <w:tc>
          <w:tcPr>
            <w:tcW w:w="3660" w:type="dxa"/>
            <w:vAlign w:val="bottom"/>
          </w:tcPr>
          <w:p>
            <w:pPr>
              <w:jc w:val="right"/>
              <w:ind w:right="150"/>
              <w:spacing w:after="0"/>
              <w:rPr>
                <w:sz w:val="20"/>
                <w:szCs w:val="20"/>
                <w:color w:val="auto"/>
              </w:rPr>
            </w:pPr>
            <w:r>
              <w:rPr>
                <w:rFonts w:ascii="Arial" w:cs="Arial" w:eastAsia="Arial" w:hAnsi="Arial"/>
                <w:sz w:val="18"/>
                <w:szCs w:val="18"/>
                <w:color w:val="auto"/>
              </w:rPr>
              <w:t>4.7</w:t>
            </w:r>
          </w:p>
        </w:tc>
      </w:tr>
      <w:tr>
        <w:trPr>
          <w:trHeight w:val="27"/>
        </w:trPr>
        <w:tc>
          <w:tcPr>
            <w:tcW w:w="6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9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(1.5)</w:t>
            </w:r>
          </w:p>
        </w:tc>
        <w:tc>
          <w:tcPr>
            <w:tcW w:w="3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980" w:type="dxa"/>
            <w:vAlign w:val="bottom"/>
          </w:tcPr>
          <w:p>
            <w:pPr>
              <w:jc w:val="right"/>
              <w:ind w:right="470"/>
              <w:spacing w:after="0"/>
              <w:rPr>
                <w:sz w:val="20"/>
                <w:szCs w:val="20"/>
                <w:color w:val="auto"/>
              </w:rPr>
            </w:pPr>
            <w:r>
              <w:rPr>
                <w:rFonts w:ascii="Arial" w:cs="Arial" w:eastAsia="Arial" w:hAnsi="Arial"/>
                <w:sz w:val="18"/>
                <w:szCs w:val="18"/>
                <w:color w:val="auto"/>
              </w:rPr>
              <w:t>(0.1)</w:t>
            </w:r>
          </w:p>
        </w:tc>
        <w:tc>
          <w:tcPr>
            <w:tcW w:w="366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27"/>
        </w:trPr>
        <w:tc>
          <w:tcPr>
            <w:tcW w:w="6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9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(0.4)</w:t>
            </w:r>
          </w:p>
        </w:tc>
        <w:tc>
          <w:tcPr>
            <w:tcW w:w="3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37"/>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w:t>
            </w:r>
          </w:p>
        </w:tc>
        <w:tc>
          <w:tcPr>
            <w:tcW w:w="3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The 2.0 and 4.9 percent decreases in net sales for Aquatic Systems in the second quarter and first half, respectively, of 2019 from 2018 were primarily driven by:</w:t>
      </w:r>
    </w:p>
    <w:p>
      <w:pPr>
        <w:spacing w:after="0" w:line="116" w:lineRule="exact"/>
        <w:rPr>
          <w:sz w:val="20"/>
          <w:szCs w:val="20"/>
          <w:color w:val="auto"/>
        </w:rPr>
      </w:pPr>
    </w:p>
    <w:p>
      <w:pPr>
        <w:ind w:left="500" w:hanging="330"/>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sales volume declines due to cold, wet weather during the first three months of 2019 that continued into the second quarter of 2019 in key markets;</w:t>
      </w:r>
    </w:p>
    <w:p>
      <w:pPr>
        <w:spacing w:after="0" w:line="194" w:lineRule="exact"/>
        <w:rPr>
          <w:rFonts w:ascii="Arial" w:cs="Arial" w:eastAsia="Arial" w:hAnsi="Arial"/>
          <w:sz w:val="16"/>
          <w:szCs w:val="16"/>
          <w:color w:val="auto"/>
        </w:rPr>
      </w:pPr>
    </w:p>
    <w:p>
      <w:pPr>
        <w:ind w:left="500" w:right="180" w:hanging="330"/>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than anticipated inventory levels in some of our key distribution channels impacting our residential and commercial businesses in the first half of 2019;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periods of the prior year.</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Aquatic Systems segment income as a percentage of net sales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3980"/>
              <w:spacing w:after="0"/>
              <w:rPr>
                <w:sz w:val="20"/>
                <w:szCs w:val="20"/>
                <w:color w:val="auto"/>
              </w:rPr>
            </w:pPr>
            <w:r>
              <w:rPr>
                <w:rFonts w:ascii="Arial" w:cs="Arial" w:eastAsia="Arial" w:hAnsi="Arial"/>
                <w:sz w:val="18"/>
                <w:szCs w:val="18"/>
                <w:b w:val="1"/>
                <w:bCs w:val="1"/>
                <w:color w:val="auto"/>
                <w:w w:val="88"/>
              </w:rPr>
              <w:t>Three months ended June 30, 2019</w:t>
            </w: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8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Six months ended June 30, 2019</w:t>
            </w:r>
          </w:p>
        </w:tc>
      </w:tr>
      <w:tr>
        <w:trPr>
          <w:trHeight w:val="270"/>
        </w:trPr>
        <w:tc>
          <w:tcPr>
            <w:tcW w:w="6660" w:type="dxa"/>
            <w:vAlign w:val="bottom"/>
          </w:tcPr>
          <w:p>
            <w:pPr>
              <w:ind w:left="4320"/>
              <w:spacing w:after="0"/>
              <w:rPr>
                <w:sz w:val="20"/>
                <w:szCs w:val="20"/>
                <w:color w:val="auto"/>
              </w:rPr>
            </w:pPr>
            <w:r>
              <w:rPr>
                <w:rFonts w:ascii="Arial" w:cs="Arial" w:eastAsia="Arial" w:hAnsi="Arial"/>
                <w:sz w:val="18"/>
                <w:szCs w:val="18"/>
                <w:b w:val="1"/>
                <w:bCs w:val="1"/>
                <w:color w:val="auto"/>
              </w:rPr>
              <w:t>over the prior year period</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over the prior year period</w:t>
            </w:r>
          </w:p>
        </w:tc>
      </w:tr>
      <w:tr>
        <w:trPr>
          <w:trHeight w:val="27"/>
        </w:trPr>
        <w:tc>
          <w:tcPr>
            <w:tcW w:w="6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(1.7) pts</w:t>
            </w:r>
          </w:p>
        </w:tc>
        <w:tc>
          <w:tcPr>
            <w:tcW w:w="3680" w:type="dxa"/>
            <w:vAlign w:val="bottom"/>
            <w:tcBorders>
              <w:bottom w:val="single" w:sz="8" w:color="CCEEFF"/>
            </w:tcBorders>
            <w:shd w:val="clear" w:color="auto" w:fill="CCEEFF"/>
          </w:tcPr>
          <w:p>
            <w:pPr>
              <w:ind w:left="3000"/>
              <w:spacing w:after="0"/>
              <w:rPr>
                <w:sz w:val="20"/>
                <w:szCs w:val="20"/>
                <w:color w:val="auto"/>
              </w:rPr>
            </w:pPr>
            <w:r>
              <w:rPr>
                <w:rFonts w:ascii="Arial" w:cs="Arial" w:eastAsia="Arial" w:hAnsi="Arial"/>
                <w:sz w:val="18"/>
                <w:szCs w:val="18"/>
                <w:color w:val="auto"/>
                <w:w w:val="99"/>
              </w:rPr>
              <w:t>(2.1) pts</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Inflation</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(2.8)</w:t>
            </w:r>
          </w:p>
        </w:tc>
        <w:tc>
          <w:tcPr>
            <w:tcW w:w="680" w:type="dxa"/>
            <w:vAlign w:val="bottom"/>
          </w:tcPr>
          <w:p>
            <w:pPr>
              <w:spacing w:after="0"/>
              <w:rPr>
                <w:sz w:val="21"/>
                <w:szCs w:val="21"/>
                <w:color w:val="auto"/>
              </w:rPr>
            </w:pPr>
          </w:p>
        </w:tc>
        <w:tc>
          <w:tcPr>
            <w:tcW w:w="3680" w:type="dxa"/>
            <w:vAlign w:val="bottom"/>
          </w:tcPr>
          <w:p>
            <w:pPr>
              <w:jc w:val="right"/>
              <w:ind w:right="250"/>
              <w:spacing w:after="0"/>
              <w:rPr>
                <w:sz w:val="20"/>
                <w:szCs w:val="20"/>
                <w:color w:val="auto"/>
              </w:rPr>
            </w:pPr>
            <w:r>
              <w:rPr>
                <w:rFonts w:ascii="Arial" w:cs="Arial" w:eastAsia="Arial" w:hAnsi="Arial"/>
                <w:sz w:val="18"/>
                <w:szCs w:val="18"/>
                <w:color w:val="auto"/>
              </w:rPr>
              <w:t>(2.8)</w:t>
            </w:r>
          </w:p>
        </w:tc>
      </w:tr>
      <w:tr>
        <w:trPr>
          <w:trHeight w:val="27"/>
        </w:trPr>
        <w:tc>
          <w:tcPr>
            <w:tcW w:w="6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680" w:type="dxa"/>
            <w:vAlign w:val="bottom"/>
            <w:tcBorders>
              <w:bottom w:val="single" w:sz="8" w:color="CCEEFF"/>
            </w:tcBorders>
            <w:shd w:val="clear" w:color="auto" w:fill="CCEEFF"/>
          </w:tcPr>
          <w:p>
            <w:pPr>
              <w:spacing w:after="0"/>
              <w:rPr>
                <w:sz w:val="23"/>
                <w:szCs w:val="23"/>
                <w:color w:val="auto"/>
              </w:rPr>
            </w:pPr>
          </w:p>
        </w:tc>
        <w:tc>
          <w:tcPr>
            <w:tcW w:w="36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4.2</w:t>
            </w:r>
          </w:p>
        </w:tc>
      </w:tr>
      <w:tr>
        <w:trPr>
          <w:trHeight w:val="237"/>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(0.4)</w:t>
            </w: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pts</w:t>
            </w:r>
          </w:p>
        </w:tc>
        <w:tc>
          <w:tcPr>
            <w:tcW w:w="368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99"/>
              </w:rPr>
              <w:t>(0.7) pts</w:t>
            </w:r>
          </w:p>
        </w:tc>
      </w:tr>
      <w:tr>
        <w:trPr>
          <w:trHeight w:val="27"/>
        </w:trPr>
        <w:tc>
          <w:tcPr>
            <w:tcW w:w="6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right="740"/>
        <w:spacing w:after="0" w:line="277" w:lineRule="auto"/>
        <w:rPr>
          <w:sz w:val="20"/>
          <w:szCs w:val="20"/>
          <w:color w:val="auto"/>
        </w:rPr>
      </w:pPr>
      <w:r>
        <w:rPr>
          <w:rFonts w:ascii="Arial" w:cs="Arial" w:eastAsia="Arial" w:hAnsi="Arial"/>
          <w:sz w:val="18"/>
          <w:szCs w:val="18"/>
          <w:i w:val="1"/>
          <w:iCs w:val="1"/>
          <w:color w:val="auto"/>
        </w:rPr>
        <w:t>The 0.4 and 0.7 percentage point decreases in segment income for Aquatic Systems as a percentage of net sales in the second quarter and first half, respectively, of 2019 from 2018 were primarily driven by:</w:t>
      </w:r>
    </w:p>
    <w:p>
      <w:pPr>
        <w:spacing w:after="0" w:line="116"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declines in our residential and commercial businesses.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productivity.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Filtration Solutions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Filtration Solutions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40" w:type="dxa"/>
            <w:vAlign w:val="bottom"/>
            <w:gridSpan w:val="4"/>
          </w:tcPr>
          <w:p>
            <w:pPr>
              <w:ind w:left="480"/>
              <w:spacing w:after="0"/>
              <w:rPr>
                <w:sz w:val="20"/>
                <w:szCs w:val="20"/>
                <w:color w:val="auto"/>
              </w:rPr>
            </w:pPr>
            <w:r>
              <w:rPr>
                <w:rFonts w:ascii="Arial" w:cs="Arial" w:eastAsia="Arial" w:hAnsi="Arial"/>
                <w:sz w:val="18"/>
                <w:szCs w:val="18"/>
                <w:b w:val="1"/>
                <w:bCs w:val="1"/>
                <w:color w:val="auto"/>
              </w:rPr>
              <w:t>Six months ended</w:t>
            </w:r>
          </w:p>
        </w:tc>
        <w:tc>
          <w:tcPr>
            <w:tcW w:w="1000" w:type="dxa"/>
            <w:vAlign w:val="bottom"/>
          </w:tcPr>
          <w:p>
            <w:pPr>
              <w:spacing w:after="0"/>
              <w:rPr>
                <w:sz w:val="20"/>
                <w:szCs w:val="20"/>
                <w:color w:val="auto"/>
              </w:rPr>
            </w:pPr>
          </w:p>
        </w:tc>
      </w:tr>
      <w:tr>
        <w:trPr>
          <w:trHeight w:val="27"/>
        </w:trPr>
        <w:tc>
          <w:tcPr>
            <w:tcW w:w="2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8"/>
        </w:trPr>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 / Point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 / Point</w:t>
            </w:r>
          </w:p>
        </w:tc>
      </w:tr>
      <w:tr>
        <w:trPr>
          <w:trHeight w:val="234"/>
        </w:trPr>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7"/>
        </w:trPr>
        <w:tc>
          <w:tcPr>
            <w:tcW w:w="2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285.6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262.1</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9.0 %</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513.7</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2.2 %</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52.3</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83.7</w:t>
            </w:r>
          </w:p>
        </w:tc>
        <w:tc>
          <w:tcPr>
            <w:tcW w:w="4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86.0</w:t>
            </w:r>
          </w:p>
        </w:tc>
        <w:tc>
          <w:tcPr>
            <w:tcW w:w="3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(2.7)%</w:t>
            </w:r>
          </w:p>
        </w:tc>
      </w:tr>
      <w:tr>
        <w:trPr>
          <w:trHeight w:val="27"/>
        </w:trPr>
        <w:tc>
          <w:tcPr>
            <w:tcW w:w="2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17.5%</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 pts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i w:val="1"/>
                <w:iCs w:val="1"/>
                <w:color w:val="auto"/>
              </w:rPr>
              <w:t>15.9%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16.7%</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(0.8) pts</w:t>
            </w:r>
          </w:p>
        </w:tc>
      </w:tr>
      <w:tr>
        <w:trPr>
          <w:trHeight w:val="364"/>
        </w:trPr>
        <w:tc>
          <w:tcPr>
            <w:tcW w:w="2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7380" w:type="dxa"/>
            <w:vAlign w:val="bottom"/>
            <w:gridSpan w:val="8"/>
          </w:tcPr>
          <w:p>
            <w:pPr>
              <w:spacing w:after="0"/>
              <w:rPr>
                <w:sz w:val="20"/>
                <w:szCs w:val="20"/>
                <w:color w:val="auto"/>
              </w:rPr>
            </w:pPr>
            <w:r>
              <w:rPr>
                <w:rFonts w:ascii="Arial" w:cs="Arial" w:eastAsia="Arial" w:hAnsi="Arial"/>
                <w:sz w:val="18"/>
                <w:szCs w:val="18"/>
                <w:color w:val="auto"/>
                <w:w w:val="92"/>
              </w:rPr>
              <w:t>The components of the change in Filtration Solutions net sales from the prior period were as follows:</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0"/>
              </w:rPr>
              <w:t>Three months ended June 30, 2019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Six months ended June 30, 2019</w:t>
            </w:r>
          </w:p>
        </w:tc>
      </w:tr>
      <w:tr>
        <w:trPr>
          <w:trHeight w:val="270"/>
        </w:trPr>
        <w:tc>
          <w:tcPr>
            <w:tcW w:w="2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7"/>
              </w:rPr>
              <w:t>over the prior year period</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c>
          <w:tcPr>
            <w:tcW w:w="1000" w:type="dxa"/>
            <w:vAlign w:val="bottom"/>
          </w:tcPr>
          <w:p>
            <w:pPr>
              <w:spacing w:after="0"/>
              <w:rPr>
                <w:sz w:val="23"/>
                <w:szCs w:val="23"/>
                <w:color w:val="auto"/>
              </w:rPr>
            </w:pPr>
          </w:p>
        </w:tc>
      </w:tr>
      <w:tr>
        <w:trPr>
          <w:trHeight w:val="27"/>
        </w:trPr>
        <w:tc>
          <w:tcPr>
            <w:tcW w:w="2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(0.1)%</w:t>
            </w: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Price</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27"/>
        </w:trPr>
        <w:tc>
          <w:tcPr>
            <w:tcW w:w="2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10.3</w:t>
            </w: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7.6</w:t>
            </w:r>
          </w:p>
        </w:tc>
      </w:tr>
      <w:tr>
        <w:trPr>
          <w:trHeight w:val="27"/>
        </w:trPr>
        <w:tc>
          <w:tcPr>
            <w:tcW w:w="2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(2.7)</w:t>
            </w:r>
          </w:p>
        </w:tc>
        <w:tc>
          <w:tcPr>
            <w:tcW w:w="10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r>
      <w:tr>
        <w:trPr>
          <w:trHeight w:val="237"/>
        </w:trPr>
        <w:tc>
          <w:tcPr>
            <w:tcW w:w="2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9.0 %</w:t>
            </w:r>
          </w:p>
        </w:tc>
        <w:tc>
          <w:tcPr>
            <w:tcW w:w="10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7"/>
        </w:trPr>
        <w:tc>
          <w:tcPr>
            <w:tcW w:w="2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2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The 9.0 and 2.2 percent increases in net sales for Filtration Solutions in the second quarter and first half, respectively, of 2019 from 2018 were primarily driven by:</w:t>
      </w:r>
    </w:p>
    <w:p>
      <w:pPr>
        <w:spacing w:after="0" w:line="116"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sales due to the acquisitions of Aquion and Pelican in the first quarter of 2019;</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volume in our industrial filtration business;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right="480" w:hanging="330"/>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sales volume in our residential and commercial businesses, partially due to lower component sales as Aquion sales are now considered intercompany;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periods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Filtration Solutions segment income as a percentage of net sales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4000"/>
              <w:spacing w:after="0"/>
              <w:rPr>
                <w:sz w:val="20"/>
                <w:szCs w:val="20"/>
                <w:color w:val="auto"/>
              </w:rPr>
            </w:pPr>
            <w:r>
              <w:rPr>
                <w:rFonts w:ascii="Arial" w:cs="Arial" w:eastAsia="Arial" w:hAnsi="Arial"/>
                <w:sz w:val="18"/>
                <w:szCs w:val="18"/>
                <w:b w:val="1"/>
                <w:bCs w:val="1"/>
                <w:color w:val="auto"/>
                <w:w w:val="89"/>
              </w:rPr>
              <w:t>Three months ended June 30, 2019</w:t>
            </w:r>
          </w:p>
        </w:tc>
        <w:tc>
          <w:tcPr>
            <w:tcW w:w="1060" w:type="dxa"/>
            <w:vAlign w:val="bottom"/>
          </w:tcPr>
          <w:p>
            <w:pPr>
              <w:spacing w:after="0"/>
              <w:rPr>
                <w:sz w:val="20"/>
                <w:szCs w:val="20"/>
                <w:color w:val="auto"/>
              </w:rPr>
            </w:pPr>
          </w:p>
        </w:tc>
        <w:tc>
          <w:tcPr>
            <w:tcW w:w="3660" w:type="dxa"/>
            <w:vAlign w:val="bottom"/>
          </w:tcPr>
          <w:p>
            <w:pPr>
              <w:jc w:val="right"/>
              <w:ind w:right="710"/>
              <w:spacing w:after="0"/>
              <w:rPr>
                <w:sz w:val="20"/>
                <w:szCs w:val="20"/>
                <w:color w:val="auto"/>
              </w:rPr>
            </w:pPr>
            <w:r>
              <w:rPr>
                <w:rFonts w:ascii="Arial" w:cs="Arial" w:eastAsia="Arial" w:hAnsi="Arial"/>
                <w:sz w:val="18"/>
                <w:szCs w:val="18"/>
                <w:b w:val="1"/>
                <w:bCs w:val="1"/>
                <w:color w:val="auto"/>
              </w:rPr>
              <w:t>Six months ended June 30, 2019</w:t>
            </w:r>
          </w:p>
        </w:tc>
      </w:tr>
      <w:tr>
        <w:trPr>
          <w:trHeight w:val="270"/>
        </w:trPr>
        <w:tc>
          <w:tcPr>
            <w:tcW w:w="6700" w:type="dxa"/>
            <w:vAlign w:val="bottom"/>
          </w:tcPr>
          <w:p>
            <w:pPr>
              <w:ind w:left="4340"/>
              <w:spacing w:after="0"/>
              <w:rPr>
                <w:sz w:val="20"/>
                <w:szCs w:val="20"/>
                <w:color w:val="auto"/>
              </w:rPr>
            </w:pPr>
            <w:r>
              <w:rPr>
                <w:rFonts w:ascii="Arial" w:cs="Arial" w:eastAsia="Arial" w:hAnsi="Arial"/>
                <w:sz w:val="18"/>
                <w:szCs w:val="18"/>
                <w:b w:val="1"/>
                <w:bCs w:val="1"/>
                <w:color w:val="auto"/>
              </w:rPr>
              <w:t>over the prior year period</w:t>
            </w:r>
          </w:p>
        </w:tc>
        <w:tc>
          <w:tcPr>
            <w:tcW w:w="1060" w:type="dxa"/>
            <w:vAlign w:val="bottom"/>
          </w:tcPr>
          <w:p>
            <w:pPr>
              <w:spacing w:after="0"/>
              <w:rPr>
                <w:sz w:val="23"/>
                <w:szCs w:val="23"/>
                <w:color w:val="auto"/>
              </w:rPr>
            </w:pPr>
          </w:p>
        </w:tc>
        <w:tc>
          <w:tcPr>
            <w:tcW w:w="3660" w:type="dxa"/>
            <w:vAlign w:val="bottom"/>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6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10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3"/>
              </w:rPr>
              <w:t>(0.4) pts</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pts</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Inflation</w:t>
            </w:r>
          </w:p>
        </w:tc>
        <w:tc>
          <w:tcPr>
            <w:tcW w:w="1060" w:type="dxa"/>
            <w:vAlign w:val="bottom"/>
          </w:tcPr>
          <w:p>
            <w:pPr>
              <w:jc w:val="right"/>
              <w:ind w:right="590"/>
              <w:spacing w:after="0"/>
              <w:rPr>
                <w:sz w:val="20"/>
                <w:szCs w:val="20"/>
                <w:color w:val="auto"/>
              </w:rPr>
            </w:pPr>
            <w:r>
              <w:rPr>
                <w:rFonts w:ascii="Arial" w:cs="Arial" w:eastAsia="Arial" w:hAnsi="Arial"/>
                <w:sz w:val="18"/>
                <w:szCs w:val="18"/>
                <w:color w:val="auto"/>
                <w:w w:val="97"/>
              </w:rPr>
              <w:t>(2.7)</w:t>
            </w:r>
          </w:p>
        </w:tc>
        <w:tc>
          <w:tcPr>
            <w:tcW w:w="3660" w:type="dxa"/>
            <w:vAlign w:val="bottom"/>
          </w:tcPr>
          <w:p>
            <w:pPr>
              <w:jc w:val="right"/>
              <w:ind w:right="210"/>
              <w:spacing w:after="0"/>
              <w:rPr>
                <w:sz w:val="20"/>
                <w:szCs w:val="20"/>
                <w:color w:val="auto"/>
              </w:rPr>
            </w:pPr>
            <w:r>
              <w:rPr>
                <w:rFonts w:ascii="Arial" w:cs="Arial" w:eastAsia="Arial" w:hAnsi="Arial"/>
                <w:sz w:val="18"/>
                <w:szCs w:val="18"/>
                <w:color w:val="auto"/>
              </w:rPr>
              <w:t>(2.6)</w:t>
            </w:r>
          </w:p>
        </w:tc>
      </w:tr>
      <w:tr>
        <w:trPr>
          <w:trHeight w:val="27"/>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10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0.6</w:t>
            </w:r>
          </w:p>
        </w:tc>
        <w:tc>
          <w:tcPr>
            <w:tcW w:w="3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w:t>
            </w:r>
          </w:p>
        </w:tc>
      </w:tr>
      <w:tr>
        <w:trPr>
          <w:trHeight w:val="237"/>
        </w:trPr>
        <w:tc>
          <w:tcPr>
            <w:tcW w:w="6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3"/>
              </w:rPr>
              <w:t>(2.5) pts</w:t>
            </w:r>
          </w:p>
        </w:tc>
        <w:tc>
          <w:tcPr>
            <w:tcW w:w="3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 pts</w:t>
            </w:r>
          </w:p>
        </w:tc>
      </w:tr>
      <w:tr>
        <w:trPr>
          <w:trHeight w:val="27"/>
        </w:trPr>
        <w:tc>
          <w:tcPr>
            <w:tcW w:w="6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right="520"/>
        <w:spacing w:after="0" w:line="277" w:lineRule="auto"/>
        <w:rPr>
          <w:sz w:val="20"/>
          <w:szCs w:val="20"/>
          <w:color w:val="auto"/>
        </w:rPr>
      </w:pPr>
      <w:r>
        <w:rPr>
          <w:rFonts w:ascii="Arial" w:cs="Arial" w:eastAsia="Arial" w:hAnsi="Arial"/>
          <w:sz w:val="18"/>
          <w:szCs w:val="18"/>
          <w:i w:val="1"/>
          <w:iCs w:val="1"/>
          <w:color w:val="auto"/>
        </w:rPr>
        <w:t xml:space="preserve">The 2.5 </w:t>
      </w:r>
      <w:r>
        <w:rPr>
          <w:rFonts w:ascii="Arial" w:cs="Arial" w:eastAsia="Arial" w:hAnsi="Arial"/>
          <w:sz w:val="18"/>
          <w:szCs w:val="18"/>
          <w:color w:val="auto"/>
        </w:rPr>
        <w:t>and</w:t>
      </w:r>
      <w:r>
        <w:rPr>
          <w:rFonts w:ascii="Arial" w:cs="Arial" w:eastAsia="Arial" w:hAnsi="Arial"/>
          <w:sz w:val="18"/>
          <w:szCs w:val="18"/>
          <w:i w:val="1"/>
          <w:iCs w:val="1"/>
          <w:color w:val="auto"/>
        </w:rPr>
        <w:t xml:space="preserve"> 0.8 percentage point decreases in segment income for Filtration Solutions as a percentage of net sales in the second quarter and first half, respectively, of 2019 from 2018 were primarily driven by:</w:t>
      </w:r>
    </w:p>
    <w:p>
      <w:pPr>
        <w:spacing w:after="0" w:line="116" w:lineRule="exact"/>
        <w:rPr>
          <w:sz w:val="20"/>
          <w:szCs w:val="20"/>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sales volume in our residential and commercial businesses;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the Aquion and Pelican acquisitions.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Flow Technologies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Flow Technologies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40" w:type="dxa"/>
            <w:vAlign w:val="bottom"/>
            <w:gridSpan w:val="4"/>
          </w:tcPr>
          <w:p>
            <w:pPr>
              <w:ind w:left="480"/>
              <w:spacing w:after="0"/>
              <w:rPr>
                <w:sz w:val="20"/>
                <w:szCs w:val="20"/>
                <w:color w:val="auto"/>
              </w:rPr>
            </w:pPr>
            <w:r>
              <w:rPr>
                <w:rFonts w:ascii="Arial" w:cs="Arial" w:eastAsia="Arial" w:hAnsi="Arial"/>
                <w:sz w:val="18"/>
                <w:szCs w:val="18"/>
                <w:b w:val="1"/>
                <w:bCs w:val="1"/>
                <w:color w:val="auto"/>
              </w:rPr>
              <w:t>Six months ended</w:t>
            </w:r>
          </w:p>
        </w:tc>
        <w:tc>
          <w:tcPr>
            <w:tcW w:w="100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8"/>
        </w:trPr>
        <w:tc>
          <w:tcPr>
            <w:tcW w:w="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 / Point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 / Point</w:t>
            </w:r>
          </w:p>
        </w:tc>
      </w:tr>
      <w:tr>
        <w:trPr>
          <w:trHeight w:val="234"/>
        </w:trPr>
        <w:tc>
          <w:tcPr>
            <w:tcW w:w="6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Change</w:t>
            </w:r>
          </w:p>
        </w:tc>
      </w:tr>
      <w:tr>
        <w:trPr>
          <w:trHeight w:val="27"/>
        </w:trPr>
        <w:tc>
          <w:tcPr>
            <w:tcW w:w="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243.0</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241.9</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0.5 %</w:t>
            </w: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482.2</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r>
      <w:tr>
        <w:trPr>
          <w:trHeight w:val="243"/>
        </w:trPr>
        <w:tc>
          <w:tcPr>
            <w:tcW w:w="6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41.9</w:t>
            </w:r>
          </w:p>
        </w:tc>
        <w:tc>
          <w:tcPr>
            <w:tcW w:w="2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44.4</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w:t>
            </w:r>
          </w:p>
        </w:tc>
        <w:tc>
          <w:tcPr>
            <w:tcW w:w="42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83.1</w:t>
            </w:r>
          </w:p>
        </w:tc>
        <w:tc>
          <w:tcPr>
            <w:tcW w:w="3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(13.4)%</w:t>
            </w:r>
          </w:p>
        </w:tc>
      </w:tr>
      <w:tr>
        <w:trPr>
          <w:trHeight w:val="27"/>
        </w:trPr>
        <w:tc>
          <w:tcPr>
            <w:tcW w:w="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2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 pts</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i w:val="1"/>
                <w:iCs w:val="1"/>
                <w:color w:val="auto"/>
              </w:rPr>
              <w:t>15.3%</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17.2%</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 pts</w:t>
            </w:r>
          </w:p>
        </w:tc>
      </w:tr>
      <w:tr>
        <w:trPr>
          <w:trHeight w:val="364"/>
        </w:trPr>
        <w:tc>
          <w:tcPr>
            <w:tcW w:w="244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7380" w:type="dxa"/>
            <w:vAlign w:val="bottom"/>
            <w:gridSpan w:val="9"/>
          </w:tcPr>
          <w:p>
            <w:pPr>
              <w:jc w:val="right"/>
              <w:ind w:right="120"/>
              <w:spacing w:after="0"/>
              <w:rPr>
                <w:sz w:val="20"/>
                <w:szCs w:val="20"/>
                <w:color w:val="auto"/>
              </w:rPr>
            </w:pPr>
            <w:r>
              <w:rPr>
                <w:rFonts w:ascii="Arial" w:cs="Arial" w:eastAsia="Arial" w:hAnsi="Arial"/>
                <w:sz w:val="18"/>
                <w:szCs w:val="18"/>
                <w:color w:val="auto"/>
                <w:w w:val="90"/>
              </w:rPr>
              <w:t>The components of the change in Flow Technologies net sales from the prior period were as follows:</w:t>
            </w: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Arial" w:cs="Arial" w:eastAsia="Arial" w:hAnsi="Arial"/>
                <w:sz w:val="18"/>
                <w:szCs w:val="18"/>
                <w:b w:val="1"/>
                <w:bCs w:val="1"/>
                <w:color w:val="auto"/>
                <w:w w:val="92"/>
              </w:rPr>
              <w:t>Three months ended June 30, 2019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Six months ended June 30, 2019</w:t>
            </w:r>
          </w:p>
        </w:tc>
      </w:tr>
      <w:tr>
        <w:trPr>
          <w:trHeight w:val="270"/>
        </w:trPr>
        <w:tc>
          <w:tcPr>
            <w:tcW w:w="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over the prior year period</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c>
          <w:tcPr>
            <w:tcW w:w="1000" w:type="dxa"/>
            <w:vAlign w:val="bottom"/>
          </w:tcPr>
          <w:p>
            <w:pPr>
              <w:spacing w:after="0"/>
              <w:rPr>
                <w:sz w:val="23"/>
                <w:szCs w:val="23"/>
                <w:color w:val="auto"/>
              </w:rPr>
            </w:pPr>
          </w:p>
        </w:tc>
      </w:tr>
      <w:tr>
        <w:trPr>
          <w:trHeight w:val="27"/>
        </w:trPr>
        <w:tc>
          <w:tcPr>
            <w:tcW w:w="2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2.2 %</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244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1.8</w:t>
            </w:r>
          </w:p>
        </w:tc>
      </w:tr>
      <w:tr>
        <w:trPr>
          <w:trHeight w:val="27"/>
        </w:trPr>
        <w:tc>
          <w:tcPr>
            <w:tcW w:w="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Core growth</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r>
      <w:tr>
        <w:trPr>
          <w:trHeight w:val="243"/>
        </w:trPr>
        <w:tc>
          <w:tcPr>
            <w:tcW w:w="2440" w:type="dxa"/>
            <w:vAlign w:val="bottom"/>
            <w:gridSpan w:val="2"/>
          </w:tcPr>
          <w:p>
            <w:pPr>
              <w:ind w:left="40"/>
              <w:spacing w:after="0"/>
              <w:rPr>
                <w:sz w:val="20"/>
                <w:szCs w:val="20"/>
                <w:color w:val="auto"/>
              </w:rPr>
            </w:pPr>
            <w:r>
              <w:rPr>
                <w:rFonts w:ascii="Arial" w:cs="Arial" w:eastAsia="Arial" w:hAnsi="Arial"/>
                <w:sz w:val="18"/>
                <w:szCs w:val="18"/>
                <w:color w:val="auto"/>
              </w:rPr>
              <w:t>Acquisition (divestiture)</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(2.4)</w:t>
            </w: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w:t>
            </w:r>
          </w:p>
        </w:tc>
      </w:tr>
      <w:tr>
        <w:trPr>
          <w:trHeight w:val="27"/>
        </w:trPr>
        <w:tc>
          <w:tcPr>
            <w:tcW w:w="24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(1.7)</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r>
      <w:tr>
        <w:trPr>
          <w:trHeight w:val="237"/>
        </w:trPr>
        <w:tc>
          <w:tcPr>
            <w:tcW w:w="24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0.5 %</w:t>
            </w:r>
          </w:p>
        </w:tc>
        <w:tc>
          <w:tcPr>
            <w:tcW w:w="10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0.5 percent increase in net sales for Flow Technologies in the second quarter of 2019 from 2018 was primarily driven by:</w:t>
      </w:r>
    </w:p>
    <w:p>
      <w:pPr>
        <w:spacing w:after="0" w:line="171" w:lineRule="exact"/>
        <w:rPr>
          <w:sz w:val="20"/>
          <w:szCs w:val="20"/>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sales volume in our commercial and infrastructure businesses;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sales volume primarily in our seasonal agriculture-related business due to continued wet weather;</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 of the prior year;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2.2 percent decrease in net sales for Flow Technologies in the first half of 2019 from 2018 was primarily driven by:</w:t>
      </w:r>
    </w:p>
    <w:p>
      <w:pPr>
        <w:spacing w:after="0" w:line="171"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 of the prior year;</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divestitures;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sales volume primarily in our seasonal agriculture-related business due to cold, wet weather.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sales volume in our commercial and infrastructure business;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Flow Technologies segment income as a percentage of net sales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4000"/>
              <w:spacing w:after="0"/>
              <w:rPr>
                <w:sz w:val="20"/>
                <w:szCs w:val="20"/>
                <w:color w:val="auto"/>
              </w:rPr>
            </w:pPr>
            <w:r>
              <w:rPr>
                <w:rFonts w:ascii="Arial" w:cs="Arial" w:eastAsia="Arial" w:hAnsi="Arial"/>
                <w:sz w:val="18"/>
                <w:szCs w:val="18"/>
                <w:b w:val="1"/>
                <w:bCs w:val="1"/>
                <w:color w:val="auto"/>
                <w:w w:val="89"/>
              </w:rPr>
              <w:t>Three months ended June 30, 2019</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60" w:type="dxa"/>
            <w:vAlign w:val="bottom"/>
          </w:tcPr>
          <w:p>
            <w:pPr>
              <w:jc w:val="right"/>
              <w:ind w:right="410"/>
              <w:spacing w:after="0"/>
              <w:rPr>
                <w:sz w:val="20"/>
                <w:szCs w:val="20"/>
                <w:color w:val="auto"/>
              </w:rPr>
            </w:pPr>
            <w:r>
              <w:rPr>
                <w:rFonts w:ascii="Arial" w:cs="Arial" w:eastAsia="Arial" w:hAnsi="Arial"/>
                <w:sz w:val="18"/>
                <w:szCs w:val="18"/>
                <w:b w:val="1"/>
                <w:bCs w:val="1"/>
                <w:color w:val="auto"/>
              </w:rPr>
              <w:t>Six months ended June 30, 2019</w:t>
            </w:r>
          </w:p>
        </w:tc>
        <w:tc>
          <w:tcPr>
            <w:tcW w:w="300" w:type="dxa"/>
            <w:vAlign w:val="bottom"/>
          </w:tcPr>
          <w:p>
            <w:pPr>
              <w:spacing w:after="0"/>
              <w:rPr>
                <w:sz w:val="20"/>
                <w:szCs w:val="20"/>
                <w:color w:val="auto"/>
              </w:rPr>
            </w:pPr>
          </w:p>
        </w:tc>
      </w:tr>
      <w:tr>
        <w:trPr>
          <w:trHeight w:val="270"/>
        </w:trPr>
        <w:tc>
          <w:tcPr>
            <w:tcW w:w="6700" w:type="dxa"/>
            <w:vAlign w:val="bottom"/>
          </w:tcPr>
          <w:p>
            <w:pPr>
              <w:ind w:left="4340"/>
              <w:spacing w:after="0"/>
              <w:rPr>
                <w:sz w:val="20"/>
                <w:szCs w:val="20"/>
                <w:color w:val="auto"/>
              </w:rPr>
            </w:pPr>
            <w:r>
              <w:rPr>
                <w:rFonts w:ascii="Arial" w:cs="Arial" w:eastAsia="Arial" w:hAnsi="Arial"/>
                <w:sz w:val="18"/>
                <w:szCs w:val="18"/>
                <w:b w:val="1"/>
                <w:bCs w:val="1"/>
                <w:color w:val="auto"/>
              </w:rPr>
              <w:t>over the prior year period</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360" w:type="dxa"/>
            <w:vAlign w:val="bottom"/>
          </w:tcPr>
          <w:p>
            <w:pPr>
              <w:jc w:val="right"/>
              <w:ind w:right="630"/>
              <w:spacing w:after="0"/>
              <w:rPr>
                <w:sz w:val="20"/>
                <w:szCs w:val="20"/>
                <w:color w:val="auto"/>
              </w:rPr>
            </w:pPr>
            <w:r>
              <w:rPr>
                <w:rFonts w:ascii="Arial" w:cs="Arial" w:eastAsia="Arial" w:hAnsi="Arial"/>
                <w:sz w:val="18"/>
                <w:szCs w:val="18"/>
                <w:b w:val="1"/>
                <w:bCs w:val="1"/>
                <w:color w:val="auto"/>
              </w:rPr>
              <w:t>over the prior year period</w:t>
            </w:r>
          </w:p>
        </w:tc>
        <w:tc>
          <w:tcPr>
            <w:tcW w:w="300" w:type="dxa"/>
            <w:vAlign w:val="bottom"/>
          </w:tcPr>
          <w:p>
            <w:pPr>
              <w:spacing w:after="0"/>
              <w:rPr>
                <w:sz w:val="23"/>
                <w:szCs w:val="23"/>
                <w:color w:val="auto"/>
              </w:rPr>
            </w:pPr>
          </w:p>
        </w:tc>
      </w:tr>
      <w:tr>
        <w:trPr>
          <w:trHeight w:val="27"/>
        </w:trPr>
        <w:tc>
          <w:tcPr>
            <w:tcW w:w="6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pts</w:t>
            </w:r>
          </w:p>
        </w:tc>
        <w:tc>
          <w:tcPr>
            <w:tcW w:w="3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pts</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Inflation</w:t>
            </w:r>
          </w:p>
        </w:tc>
        <w:tc>
          <w:tcPr>
            <w:tcW w:w="400" w:type="dxa"/>
            <w:vAlign w:val="bottom"/>
          </w:tcPr>
          <w:p>
            <w:pPr>
              <w:jc w:val="right"/>
              <w:spacing w:after="0"/>
              <w:rPr>
                <w:sz w:val="20"/>
                <w:szCs w:val="20"/>
                <w:color w:val="auto"/>
              </w:rPr>
            </w:pPr>
            <w:r>
              <w:rPr>
                <w:rFonts w:ascii="Arial" w:cs="Arial" w:eastAsia="Arial" w:hAnsi="Arial"/>
                <w:sz w:val="18"/>
                <w:szCs w:val="18"/>
                <w:color w:val="auto"/>
                <w:w w:val="97"/>
              </w:rPr>
              <w:t>(3.5)</w:t>
            </w:r>
          </w:p>
        </w:tc>
        <w:tc>
          <w:tcPr>
            <w:tcW w:w="660" w:type="dxa"/>
            <w:vAlign w:val="bottom"/>
          </w:tcPr>
          <w:p>
            <w:pPr>
              <w:spacing w:after="0"/>
              <w:rPr>
                <w:sz w:val="21"/>
                <w:szCs w:val="21"/>
                <w:color w:val="auto"/>
              </w:rPr>
            </w:pPr>
          </w:p>
        </w:tc>
        <w:tc>
          <w:tcPr>
            <w:tcW w:w="3660" w:type="dxa"/>
            <w:vAlign w:val="bottom"/>
            <w:gridSpan w:val="2"/>
          </w:tcPr>
          <w:p>
            <w:pPr>
              <w:jc w:val="right"/>
              <w:ind w:right="210"/>
              <w:spacing w:after="0"/>
              <w:rPr>
                <w:sz w:val="20"/>
                <w:szCs w:val="20"/>
                <w:color w:val="auto"/>
              </w:rPr>
            </w:pPr>
            <w:r>
              <w:rPr>
                <w:rFonts w:ascii="Arial" w:cs="Arial" w:eastAsia="Arial" w:hAnsi="Arial"/>
                <w:sz w:val="18"/>
                <w:szCs w:val="18"/>
                <w:color w:val="auto"/>
              </w:rPr>
              <w:t>(3.8)</w:t>
            </w:r>
          </w:p>
        </w:tc>
      </w:tr>
      <w:tr>
        <w:trPr>
          <w:trHeight w:val="27"/>
        </w:trPr>
        <w:tc>
          <w:tcPr>
            <w:tcW w:w="6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60" w:type="dxa"/>
            <w:vAlign w:val="bottom"/>
            <w:tcBorders>
              <w:bottom w:val="single" w:sz="8" w:color="CCEEFF"/>
            </w:tcBorders>
            <w:shd w:val="clear" w:color="auto" w:fill="CCEEFF"/>
          </w:tcPr>
          <w:p>
            <w:pPr>
              <w:spacing w:after="0"/>
              <w:rPr>
                <w:sz w:val="23"/>
                <w:szCs w:val="23"/>
                <w:color w:val="auto"/>
              </w:rPr>
            </w:pPr>
          </w:p>
        </w:tc>
        <w:tc>
          <w:tcPr>
            <w:tcW w:w="3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shd w:val="clear" w:color="auto" w:fill="CCEEFF"/>
          </w:tcPr>
          <w:p>
            <w:pPr>
              <w:spacing w:after="0"/>
              <w:rPr>
                <w:sz w:val="23"/>
                <w:szCs w:val="23"/>
                <w:color w:val="auto"/>
              </w:rPr>
            </w:pPr>
          </w:p>
        </w:tc>
      </w:tr>
      <w:tr>
        <w:trPr>
          <w:trHeight w:val="237"/>
        </w:trPr>
        <w:tc>
          <w:tcPr>
            <w:tcW w:w="6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(1.2) pts</w:t>
            </w:r>
          </w:p>
        </w:tc>
        <w:tc>
          <w:tcPr>
            <w:tcW w:w="3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 pts</w:t>
            </w:r>
          </w:p>
        </w:tc>
      </w:tr>
      <w:tr>
        <w:trPr>
          <w:trHeight w:val="27"/>
        </w:trPr>
        <w:tc>
          <w:tcPr>
            <w:tcW w:w="6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right="560"/>
        <w:spacing w:after="0" w:line="277" w:lineRule="auto"/>
        <w:rPr>
          <w:sz w:val="20"/>
          <w:szCs w:val="20"/>
          <w:color w:val="auto"/>
        </w:rPr>
      </w:pPr>
      <w:r>
        <w:rPr>
          <w:rFonts w:ascii="Arial" w:cs="Arial" w:eastAsia="Arial" w:hAnsi="Arial"/>
          <w:sz w:val="18"/>
          <w:szCs w:val="18"/>
          <w:i w:val="1"/>
          <w:iCs w:val="1"/>
          <w:color w:val="auto"/>
        </w:rPr>
        <w:t xml:space="preserve">The 1.2 </w:t>
      </w:r>
      <w:r>
        <w:rPr>
          <w:rFonts w:ascii="Arial" w:cs="Arial" w:eastAsia="Arial" w:hAnsi="Arial"/>
          <w:sz w:val="18"/>
          <w:szCs w:val="18"/>
          <w:color w:val="auto"/>
        </w:rPr>
        <w:t>and</w:t>
      </w:r>
      <w:r>
        <w:rPr>
          <w:rFonts w:ascii="Arial" w:cs="Arial" w:eastAsia="Arial" w:hAnsi="Arial"/>
          <w:sz w:val="18"/>
          <w:szCs w:val="18"/>
          <w:i w:val="1"/>
          <w:iCs w:val="1"/>
          <w:color w:val="auto"/>
        </w:rPr>
        <w:t xml:space="preserve"> 1.9 percentage point decreases in segment income for Flow Technologies as a percentage of net sales in the second quarter and first half, respectively, of 2019 from 2018 were primarily driven by:</w:t>
      </w:r>
    </w:p>
    <w:p>
      <w:pPr>
        <w:spacing w:after="0" w:line="116" w:lineRule="exact"/>
        <w:rPr>
          <w:sz w:val="20"/>
          <w:szCs w:val="20"/>
          <w:color w:val="auto"/>
        </w:rPr>
      </w:pPr>
    </w:p>
    <w:p>
      <w:pPr>
        <w:ind w:left="500" w:hanging="330"/>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decreased sales volumes in our higher margin Specialty Ag Spray business, which resulted in decreased leverage on operating expenses;</w:t>
      </w:r>
    </w:p>
    <w:p>
      <w:pPr>
        <w:spacing w:after="0" w:line="182" w:lineRule="exact"/>
        <w:rPr>
          <w:rFonts w:ascii="Arial" w:cs="Arial" w:eastAsia="Arial" w:hAnsi="Arial"/>
          <w:sz w:val="17"/>
          <w:szCs w:val="17"/>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divestitures;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decreased sales volume in our residential business.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productivity.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 We intend to issue commercial paper to fund our financing needs on a short-term basis and use our revolving credit facility as back-up liquidity to support commercial paper.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focusing on increasing our cash flow and repaying existing debt, while continuing to fund our research and development, marketing and capital investment initiatives. Our intent is to maintain investment grade credit ratings and a solid liquidity position.</w:t>
      </w:r>
    </w:p>
    <w:p>
      <w:pPr>
        <w:spacing w:after="0" w:line="116"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We experience seasonal cash flows primarily due to seasonal demand in a number of markets. We generally borrow in the first quarter of our fiscal year for operational purposes, which usage reverses in the second quarter as the seasonality of our businesses peaks. 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Cash provided by operating activities of continuing operations was $99.2 million in the first six months of 2019, compared to $177.8 million in the same period of 2018.</w:t>
      </w:r>
    </w:p>
    <w:p>
      <w:pPr>
        <w:spacing w:after="0" w:line="13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$99.2 million in net cash provided by operating activities of continuing operations in the first six months of 2019 primarily reflects net income from continuing operations of $226.6 million, net of non-cash depreciation, amortization and asset impairments, offset by an increase in net working capital of $100.6 million, $10.7 million of pension plan contributions and a $12.2 million pension settlement gain in conjunction with the termination of the Pentair Salaried Plan during the first six months of 2019.</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$177.8 million in net cash provided by operating activities of continuing operations in the first six months of 2018 primarily reflects net income from continuing operations of $196.7 million, net of non-cash depreciation, amortization and the loss on early extinguishment of debt, offset by an increase in net working capital of $48.1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used for investing activities of continuing operations was $314.7 million in the first six months of 2019, compared to $34.5 million in the same period of 2018. Net cash used for investing activities of continuing operations in the first six months of 2019 primarily reflects capital expenditures of $29.8 million and cash paid for the Aquion and Pelican acquisitions of $284.5 million, net of cash acquired.</w:t>
      </w:r>
    </w:p>
    <w:p>
      <w:pPr>
        <w:spacing w:after="0" w:line="13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cash used for investing activities of continuing operations in the first six months of 2018 primarily reflects capital expenditures of $20.3 million and cash paid for the settlement of a working capital adjustment related to the sale of the Valves &amp; Controls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Net cash provided by financing activities was $222.4 million in the first six months of 2019, compared with net cash used for financing activities of $161.1 million in the prior year period. Net cash provided by financing activities in the first six months of 2019 primarily relates to the proceeds from long-term debt of $400.0 million, net receipts of commercial paper and revolving long-term debt of $32.9 million, partially offset by $150.0 million of share repurchases and the payment of dividends of $62.0 million.</w:t>
      </w:r>
    </w:p>
    <w:p>
      <w:pPr>
        <w:spacing w:after="0" w:line="1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for financing activities in the first six months of 2018 primarily relates to $300.0 million of share repurchases and $125.9 million of dividend payments during the first six months of 2018. Additionally, in the first six months of 2018, $993.6 million of cash was distributed as a result of the Separation and Distribution of nVent. We used this cash to fund the repayment of commercial paper and revolving long term debt and for the early extinguishment of certain series of fixed rate debt during the first six months of 2018.</w:t>
      </w:r>
    </w:p>
    <w:p>
      <w:pPr>
        <w:spacing w:after="0" w:line="13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June 2019, Pentair, Pentair Finance S.à r.l. (“PFSA”) and Pentair Investments Switzerland GmbH (“PISG”) completed a public offering of $400.0 million aggregate principal amount of PFSA’s 4.500% Senior Notes due 2029 (the “2029 Notes”). The 2029 Notes are fully and unconditionally guaranteed as to payment of principal and interest by Pentair and PISG. We used the net proceeds of the 2029 Notes to partially repay outstanding commercial paper.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April 2018, Pentair, PISG, PFSA and Pentair, Inc. entered into a credit agreement, providing for an $800.0 million senior unsecured revolving credit facility with a term of five years (the “Senior Credit Facility”), with Pentair and PISG as guarantors and PFSA and Pentair, Inc. as borrowers. The Senior Credit Facility replaced PFSA’s existing credit facility under that certain Amended and Restated Credit Agreement, dated as of October 3, 2014.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PFSA has the option to request an increase to the Senior Credit Facility up to $1,100.0 million in the aggregate, subject to customary conditions, including the commitment of participating lenders. In May 2019, PFSA executed an increase of the Senior Credit Facility by $100.0 million for a total commitment up to $900.0 million in the aggregate. As of June 30, 2019, total availability under the Senior Credit Facility was $765.0 million.</w:t>
      </w:r>
    </w:p>
    <w:p>
      <w:pPr>
        <w:spacing w:after="0" w:line="1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$130.9 million of commercial paper outstanding as of June 30, 2019 and $76.0 million as of December 31, 2018,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June 30, 2019, we were in compliance with all financial covenants in our debt agreements.</w:t>
      </w:r>
    </w:p>
    <w:p>
      <w:pPr>
        <w:spacing w:after="0" w:line="1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$21.1 million, of which there were no outstanding borrowings at June 30, 2019. Borrowings under these credit facilities bear interest at variable rates.</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have $405.3 million aggregate principal amount of fixed rate senior notes maturing in the next twelve months. We classified this debt as long-term as of June 30, 2019 as we have the intent and ability to refinance such obligation on a long-term basis under the Senior Credit Facility.</w:t>
      </w:r>
    </w:p>
    <w:p>
      <w:pPr>
        <w:spacing w:after="0" w:line="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30, 2019, we have $54.3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We expect to continue to have cash requirements to support working capital needs and capital expenditures, to pay interest and service debt and to pay dividends to shareholders quarterly. We believe we have the ability and sufficient capacity to meet these cash requirements by using available cash and internally generated funds and to borrow under our committed and uncommitted credit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May 2018, the Board of Directors authorized the repurchase of our ordinary shares up to a maximum dollar limit of $750.0 million. The authorization expires on May 31, 2021. During the six months ended June 30, 2019, we repurchased 4.0 million of our shares for $150.0 million. As of June 30, 2019, we had $250.0 million available for share repurchases under this authorization.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On May 6, 2019, the Board of Directors declared a quarterly cash dividend of $0.18, payable on August 2, 2019 to shareholders of record at the close of business on July 19, 2019.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$30.2 million at June 30, 2019, compared to $30.8 million at December 31, 2018.</w:t>
      </w:r>
    </w:p>
    <w:p>
      <w:pPr>
        <w:spacing w:after="0" w:line="15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paid dividends in the first six months of 2019 of $62.0 million, or $0.36 per ordinary share compared with $125.9 million, or $0.70 per ordinary share, in the prior year period.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$6.5 billion as of December 31, 2018.</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measures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equals or exceeds 100 percent conversion of adjusted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8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34"/>
        </w:trPr>
        <w:tc>
          <w:tcPr>
            <w:tcW w:w="8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34"/>
        </w:trPr>
        <w:tc>
          <w:tcPr>
            <w:tcW w:w="8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expenditures of continuing operations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 from continuing operations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157.0</w:t>
            </w:r>
          </w:p>
        </w:tc>
      </w:tr>
      <w:tr>
        <w:trPr>
          <w:trHeight w:val="27"/>
        </w:trPr>
        <w:tc>
          <w:tcPr>
            <w:tcW w:w="8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expenditures of discontinued operations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146.0</w:t>
            </w:r>
          </w:p>
        </w:tc>
      </w:tr>
      <w:tr>
        <w:trPr>
          <w:trHeight w:val="27"/>
        </w:trPr>
        <w:tc>
          <w:tcPr>
            <w:tcW w:w="8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of the Notes to Condensed Consolidated Financial Statements for information pertaining to recently adopted accounting standards.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2018 Annual Report on Form 10-K, we identified the critical accounting policies that affect our more significant estimates and assumptions used in preparing our consolidated financial statements. There have been no material changes to our critical accounting policies and estimates from those disclosed in our 2018 Annual Report on Form 10-K for the year ended December 31, 2018.</w:t>
      </w:r>
    </w:p>
    <w:p>
      <w:pPr>
        <w:spacing w:after="0" w:line="1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June 30, 2019. For additional information, refer to Item 7A of our 2018 Annual Report on Form 10-K.</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ind w:left="4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2019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June 30, 2019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08" w:lineRule="exact"/>
        <w:rPr>
          <w:rFonts w:ascii="Arial" w:cs="Arial" w:eastAsia="Arial" w:hAnsi="Arial"/>
          <w:sz w:val="18"/>
          <w:szCs w:val="18"/>
          <w:b w:val="1"/>
          <w:bCs w:val="1"/>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June 30, 2019 that has materially affected, or is reasonably likely to materially affect, our internal control over financial reporting.</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or contractual disputes with suppliers, customers or parties to acquisitions and divestitures, intellectual property matters, environmental, safety and health matters, product liability, the use or installation of our products, consumer matters, and employment and labor matters.</w:t>
      </w:r>
    </w:p>
    <w:p>
      <w:pPr>
        <w:spacing w:after="0" w:line="10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23"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Our subsidiaries and numerous other unaffiliated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several dozen to more than a hundred corporate defendants.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1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June 30, 2019, there were approximately 670 claims outstanding against our subsidiaries. This amount is not adjusted for claims that are not actively being prosecuted, identified incorrect defendants, or duplicated other actions, which would ultimately reflect our current estimate of the number of viable claims made against us, our affiliates, or entities for which we assumed responsibility in connection with acquisitions or divestitures. In addition, the amount does not include certain claims pending against third parties for which we have been provided an indemnification.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9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June 30, 2019, our recorded reserves for environmental matters were not material. We do not anticipate our remaining environmental conditions will have a material adverse effect on our financial position, results of operations or cash flows. However, unknown conditions, new details about existing conditions or changes in environmental requirements may give rise to environmental liabilities that will exceed the amount of our current reserves and could have a material adverse effect in the future.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of our 2018 Annual Report on Form 10-K.</w:t>
      </w:r>
    </w:p>
    <w:p>
      <w:pPr>
        <w:spacing w:after="0" w:line="1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second quarter of 2019:</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240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(a)</w:t>
            </w:r>
          </w:p>
        </w:tc>
        <w:tc>
          <w:tcPr>
            <w:tcW w:w="360" w:type="dxa"/>
            <w:vAlign w:val="bottom"/>
          </w:tcPr>
          <w:p>
            <w:pPr>
              <w:spacing w:after="0"/>
              <w:rPr>
                <w:sz w:val="20"/>
                <w:szCs w:val="20"/>
                <w:color w:val="auto"/>
              </w:rPr>
            </w:pPr>
          </w:p>
        </w:tc>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(b)</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0" w:type="dxa"/>
            <w:vAlign w:val="bottom"/>
          </w:tcPr>
          <w:p>
            <w:pPr>
              <w:spacing w:after="0"/>
              <w:rPr>
                <w:sz w:val="20"/>
                <w:szCs w:val="20"/>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(d)</w:t>
            </w:r>
          </w:p>
        </w:tc>
      </w:tr>
      <w:tr>
        <w:trPr>
          <w:trHeight w:val="252"/>
        </w:trPr>
        <w:tc>
          <w:tcPr>
            <w:tcW w:w="24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20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Dollar value of shares that</w:t>
            </w:r>
          </w:p>
        </w:tc>
      </w:tr>
      <w:tr>
        <w:trPr>
          <w:trHeight w:val="216"/>
        </w:trPr>
        <w:tc>
          <w:tcPr>
            <w:tcW w:w="2480" w:type="dxa"/>
            <w:vAlign w:val="bottom"/>
          </w:tcPr>
          <w:p>
            <w:pPr>
              <w:spacing w:after="0"/>
              <w:rPr>
                <w:sz w:val="18"/>
                <w:szCs w:val="18"/>
                <w:color w:val="auto"/>
              </w:rPr>
            </w:pPr>
          </w:p>
        </w:tc>
        <w:tc>
          <w:tcPr>
            <w:tcW w:w="240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Total number</w:t>
            </w: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220" w:type="dxa"/>
            <w:vAlign w:val="bottom"/>
          </w:tcPr>
          <w:p>
            <w:pPr>
              <w:spacing w:after="0"/>
              <w:rPr>
                <w:sz w:val="18"/>
                <w:szCs w:val="18"/>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may yet be purchased</w:t>
            </w:r>
          </w:p>
        </w:tc>
      </w:tr>
      <w:tr>
        <w:trPr>
          <w:trHeight w:val="216"/>
        </w:trPr>
        <w:tc>
          <w:tcPr>
            <w:tcW w:w="2480" w:type="dxa"/>
            <w:vAlign w:val="bottom"/>
          </w:tcPr>
          <w:p>
            <w:pPr>
              <w:spacing w:after="0"/>
              <w:rPr>
                <w:sz w:val="18"/>
                <w:szCs w:val="18"/>
                <w:color w:val="auto"/>
              </w:rPr>
            </w:pPr>
          </w:p>
        </w:tc>
        <w:tc>
          <w:tcPr>
            <w:tcW w:w="2400" w:type="dxa"/>
            <w:vAlign w:val="bottom"/>
          </w:tcPr>
          <w:p>
            <w:pPr>
              <w:jc w:val="center"/>
              <w:ind w:left="230"/>
              <w:spacing w:after="0"/>
              <w:rPr>
                <w:sz w:val="20"/>
                <w:szCs w:val="20"/>
                <w:color w:val="auto"/>
              </w:rPr>
            </w:pPr>
            <w:r>
              <w:rPr>
                <w:rFonts w:ascii="Arial" w:cs="Arial" w:eastAsia="Arial" w:hAnsi="Arial"/>
                <w:sz w:val="18"/>
                <w:szCs w:val="18"/>
                <w:b w:val="1"/>
                <w:bCs w:val="1"/>
                <w:color w:val="auto"/>
                <w:w w:val="84"/>
              </w:rPr>
              <w:t>of shares</w:t>
            </w:r>
          </w:p>
        </w:tc>
        <w:tc>
          <w:tcPr>
            <w:tcW w:w="360" w:type="dxa"/>
            <w:vAlign w:val="bottom"/>
          </w:tcPr>
          <w:p>
            <w:pPr>
              <w:spacing w:after="0"/>
              <w:rPr>
                <w:sz w:val="18"/>
                <w:szCs w:val="18"/>
                <w:color w:val="auto"/>
              </w:rPr>
            </w:pPr>
          </w:p>
        </w:tc>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Average price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 plans</w:t>
            </w:r>
          </w:p>
        </w:tc>
        <w:tc>
          <w:tcPr>
            <w:tcW w:w="220" w:type="dxa"/>
            <w:vAlign w:val="bottom"/>
          </w:tcPr>
          <w:p>
            <w:pPr>
              <w:spacing w:after="0"/>
              <w:rPr>
                <w:sz w:val="18"/>
                <w:szCs w:val="18"/>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under the plans or</w:t>
            </w:r>
          </w:p>
        </w:tc>
      </w:tr>
      <w:tr>
        <w:trPr>
          <w:trHeight w:val="234"/>
        </w:trPr>
        <w:tc>
          <w:tcPr>
            <w:tcW w:w="2480" w:type="dxa"/>
            <w:vAlign w:val="bottom"/>
          </w:tcPr>
          <w:p>
            <w:pPr>
              <w:ind w:left="1120"/>
              <w:spacing w:after="0"/>
              <w:rPr>
                <w:sz w:val="20"/>
                <w:szCs w:val="20"/>
                <w:color w:val="auto"/>
              </w:rPr>
            </w:pPr>
            <w:r>
              <w:rPr>
                <w:rFonts w:ascii="Arial" w:cs="Arial" w:eastAsia="Arial" w:hAnsi="Arial"/>
                <w:sz w:val="18"/>
                <w:szCs w:val="18"/>
                <w:b w:val="1"/>
                <w:bCs w:val="1"/>
                <w:color w:val="auto"/>
              </w:rPr>
              <w:t>Period</w:t>
            </w:r>
          </w:p>
        </w:tc>
        <w:tc>
          <w:tcPr>
            <w:tcW w:w="240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purchased</w:t>
            </w:r>
          </w:p>
        </w:tc>
        <w:tc>
          <w:tcPr>
            <w:tcW w:w="360" w:type="dxa"/>
            <w:vAlign w:val="bottom"/>
          </w:tcPr>
          <w:p>
            <w:pPr>
              <w:spacing w:after="0"/>
              <w:rPr>
                <w:sz w:val="20"/>
                <w:szCs w:val="20"/>
                <w:color w:val="auto"/>
              </w:rPr>
            </w:pPr>
          </w:p>
        </w:tc>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paid per share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220" w:type="dxa"/>
            <w:vAlign w:val="bottom"/>
          </w:tcPr>
          <w:p>
            <w:pPr>
              <w:spacing w:after="0"/>
              <w:rPr>
                <w:sz w:val="20"/>
                <w:szCs w:val="20"/>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programs</w:t>
            </w:r>
          </w:p>
        </w:tc>
      </w:tr>
      <w:tr>
        <w:trPr>
          <w:trHeight w:val="34"/>
        </w:trPr>
        <w:tc>
          <w:tcPr>
            <w:tcW w:w="24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 April 27</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41.73</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400,000,120</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April 28 - May 25</w:t>
            </w:r>
          </w:p>
        </w:tc>
        <w:tc>
          <w:tcPr>
            <w:tcW w:w="2400" w:type="dxa"/>
            <w:vAlign w:val="bottom"/>
          </w:tcPr>
          <w:p>
            <w:pPr>
              <w:jc w:val="right"/>
              <w:spacing w:after="0"/>
              <w:rPr>
                <w:sz w:val="20"/>
                <w:szCs w:val="20"/>
                <w:color w:val="auto"/>
              </w:rPr>
            </w:pPr>
            <w:r>
              <w:rPr>
                <w:rFonts w:ascii="Arial" w:cs="Arial" w:eastAsia="Arial" w:hAnsi="Arial"/>
                <w:sz w:val="18"/>
                <w:szCs w:val="18"/>
                <w:color w:val="auto"/>
              </w:rPr>
              <w:t>2,601,781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38.81</w:t>
            </w:r>
          </w:p>
        </w:tc>
        <w:tc>
          <w:tcPr>
            <w:tcW w:w="2120" w:type="dxa"/>
            <w:vAlign w:val="bottom"/>
          </w:tcPr>
          <w:p>
            <w:pPr>
              <w:jc w:val="right"/>
              <w:spacing w:after="0"/>
              <w:rPr>
                <w:sz w:val="20"/>
                <w:szCs w:val="20"/>
                <w:color w:val="auto"/>
              </w:rPr>
            </w:pPr>
            <w:r>
              <w:rPr>
                <w:rFonts w:ascii="Arial" w:cs="Arial" w:eastAsia="Arial" w:hAnsi="Arial"/>
                <w:sz w:val="18"/>
                <w:szCs w:val="18"/>
                <w:color w:val="auto"/>
              </w:rPr>
              <w:t>2,574,607</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300,000,182</w:t>
            </w:r>
          </w:p>
        </w:tc>
      </w:tr>
      <w:tr>
        <w:trPr>
          <w:trHeight w:val="27"/>
        </w:trPr>
        <w:tc>
          <w:tcPr>
            <w:tcW w:w="24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5"/>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26 - June 30</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1,390,920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1,389,742</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250,000,187</w:t>
            </w:r>
          </w:p>
        </w:tc>
      </w:tr>
      <w:tr>
        <w:trPr>
          <w:trHeight w:val="237"/>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3,992,994</w:t>
            </w:r>
          </w:p>
        </w:tc>
        <w:tc>
          <w:tcPr>
            <w:tcW w:w="36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3,964,349</w:t>
            </w:r>
          </w:p>
        </w:tc>
        <w:tc>
          <w:tcPr>
            <w:tcW w:w="2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r>
      <w:tr>
        <w:trPr>
          <w:trHeight w:val="27"/>
        </w:trPr>
        <w:tc>
          <w:tcPr>
            <w:tcW w:w="24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right="100" w:hanging="330"/>
        <w:spacing w:after="0" w:line="279"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purchases in this column include 293 shares for the period April 1 - April 27, 27,174 shares for the period April 28 - May 25 and 1,178 shares for the period May 26 - June 30 deemed surrendered to us by participants in our 2012 Stock and Incentive Plan (the “2012 Plan”) and earlier stock incentive plans that are now outstanding under the 2012 Plan (collectively the “Plans”) to satisfy the exercise price or withholding of tax obligations related to the exercise of stock options and vesting of restricted and performance shares.</w:t>
      </w:r>
    </w:p>
    <w:p>
      <w:pPr>
        <w:spacing w:after="0" w:line="117" w:lineRule="exact"/>
        <w:rPr>
          <w:rFonts w:ascii="Arial" w:cs="Arial" w:eastAsia="Arial" w:hAnsi="Arial"/>
          <w:sz w:val="17"/>
          <w:szCs w:val="17"/>
          <w:color w:val="auto"/>
        </w:rPr>
      </w:pPr>
    </w:p>
    <w:p>
      <w:pPr>
        <w:ind w:left="500" w:hanging="330"/>
        <w:spacing w:after="0" w:line="342"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average price paid in this column includes shares deemed surrendered to us by participants in the Plans to satisfy the exercise price for the exercise price of stock options and withholding tax obligations due upon stock option exercises and vesting of restricted and performance shares.</w:t>
      </w:r>
    </w:p>
    <w:p>
      <w:pPr>
        <w:spacing w:after="0" w:line="69" w:lineRule="exact"/>
        <w:rPr>
          <w:rFonts w:ascii="Arial" w:cs="Arial" w:eastAsia="Arial" w:hAnsi="Arial"/>
          <w:sz w:val="16"/>
          <w:szCs w:val="16"/>
          <w:color w:val="auto"/>
        </w:rPr>
      </w:pPr>
    </w:p>
    <w:p>
      <w:pPr>
        <w:ind w:left="500" w:right="200" w:hanging="330"/>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6" w:lineRule="exact"/>
        <w:rPr>
          <w:rFonts w:ascii="Arial" w:cs="Arial" w:eastAsia="Arial" w:hAnsi="Arial"/>
          <w:sz w:val="18"/>
          <w:szCs w:val="18"/>
          <w:color w:val="auto"/>
        </w:rPr>
      </w:pPr>
    </w:p>
    <w:p>
      <w:pPr>
        <w:ind w:left="500" w:hanging="330"/>
        <w:spacing w:after="0" w:line="286"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May 2018, the Board of Directors authorized the repurchase of our ordinary shares up to a maximum dollar limit of $750.0 million. The 2018 authorization expires on May 31, 2021. As of June 30, 2019, we had $250.0 million available for share repurchases under this authorization. From time to time, we may enter into a Rule 10b5-1 trading plan for the purpose of repurchasing shares under this authorization.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167"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Exhibit Index to Form 10-Q for the Period Ended June 30, 2019</w:t>
      </w:r>
    </w:p>
    <w:p>
      <w:pPr>
        <w:spacing w:after="0" w:line="360" w:lineRule="exact"/>
        <w:rPr>
          <w:sz w:val="20"/>
          <w:szCs w:val="20"/>
          <w:color w:val="auto"/>
        </w:rPr>
      </w:pPr>
    </w:p>
    <w:p>
      <w:pPr>
        <w:ind w:left="960" w:right="160" w:hanging="782"/>
        <w:spacing w:after="0" w:line="312" w:lineRule="auto"/>
        <w:tabs>
          <w:tab w:leader="none" w:pos="940" w:val="left"/>
        </w:tabs>
        <w:rPr>
          <w:rFonts w:ascii="Arial" w:cs="Arial" w:eastAsia="Arial" w:hAnsi="Arial"/>
          <w:sz w:val="18"/>
          <w:szCs w:val="18"/>
          <w:b w:val="1"/>
          <w:bCs w:val="1"/>
          <w:color w:val="0000FF"/>
        </w:rPr>
      </w:pPr>
      <w:hyperlink r:id="rId23">
        <w:r>
          <w:rPr>
            <w:rFonts w:ascii="Arial" w:cs="Arial" w:eastAsia="Arial" w:hAnsi="Arial"/>
            <w:sz w:val="18"/>
            <w:szCs w:val="18"/>
            <w:b w:val="1"/>
            <w:bCs w:val="1"/>
            <w:u w:val="single" w:color="auto"/>
            <w:color w:val="0000FF"/>
          </w:rPr>
          <w:t>4.1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Sixth Supplemental Indenture, dated as of June 21, 2019, among Pentair Finance S.à r.l. (as Issuer), Pentair plc (as Parent and Guarantor), Pentair Investments Switzerland GmbH (as Guarantor), and U.S. Bank National Association (as Trustee) (Incorporated by reference to Exhibit 4.2 to the Current Report on Form 8-K of Pentair plc filed with the Commission on June 21, 2019 (File No. 001-11625)).</w:t>
      </w:r>
    </w:p>
    <w:p>
      <w:pPr>
        <w:spacing w:after="0" w:line="106"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u w:val="single" w:color="auto"/>
          <w:color w:val="0000FF"/>
        </w:rPr>
        <w:t>31.1</w:t>
      </w:r>
      <w:r>
        <w:rPr>
          <w:sz w:val="20"/>
          <w:szCs w:val="20"/>
          <w:color w:val="auto"/>
        </w:rPr>
        <w:tab/>
      </w:r>
      <w:r>
        <w:rPr>
          <w:rFonts w:ascii="Arial" w:cs="Arial" w:eastAsia="Arial" w:hAnsi="Arial"/>
          <w:sz w:val="16"/>
          <w:szCs w:val="16"/>
          <w:color w:val="auto"/>
        </w:rPr>
        <w:t>Certification of Chief Executive Officer.</w:t>
      </w:r>
    </w:p>
    <w:p>
      <w:pPr>
        <w:spacing w:after="0" w:line="185"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u w:val="single" w:color="auto"/>
          <w:color w:val="0000FF"/>
        </w:rPr>
        <w:t>31.2</w:t>
      </w:r>
      <w:r>
        <w:rPr>
          <w:sz w:val="20"/>
          <w:szCs w:val="20"/>
          <w:color w:val="auto"/>
        </w:rPr>
        <w:tab/>
      </w:r>
      <w:r>
        <w:rPr>
          <w:rFonts w:ascii="Arial" w:cs="Arial" w:eastAsia="Arial" w:hAnsi="Arial"/>
          <w:sz w:val="17"/>
          <w:szCs w:val="17"/>
          <w:color w:val="auto"/>
        </w:rPr>
        <w:t>Certification of Chief Financial Officer.</w:t>
      </w:r>
    </w:p>
    <w:p>
      <w:pPr>
        <w:spacing w:after="0" w:line="185"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u w:val="single" w:color="auto"/>
          <w:color w:val="0000FF"/>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66"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u w:val="single" w:color="auto"/>
          <w:color w:val="0000FF"/>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70" w:lineRule="exact"/>
        <w:rPr>
          <w:sz w:val="20"/>
          <w:szCs w:val="20"/>
          <w:color w:val="auto"/>
        </w:rPr>
      </w:pPr>
    </w:p>
    <w:p>
      <w:pPr>
        <w:ind w:left="960" w:hanging="790"/>
        <w:spacing w:after="0" w:line="255" w:lineRule="auto"/>
        <w:tabs>
          <w:tab w:leader="none" w:pos="9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following materials from Pentair plc’s Quarterly Report on Form 10-Q for the quarter ended June 30, 2019 are filed herewith, formatted in XBRL (Extensible Business Reporting Language): (i) the Condensed Consolidated Statements of Operations and Comprehensive Income for the three and six months ended June 30, 2019 and 2018, (ii) the Condensed Consolidated Balance Sheets as of June 30, 2019 and December 31, 2018, (iii) the Condensed Consolidated Statements of Cash Flows for the six months ended June 30, 2019 and 2018, (iv) the Condensed Consolidated Statements of Changes in Equity for the three and six months ended June 30, 2019 and 2018, and (v) Notes to Condensed Consolidated Financial Statements.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2" w:right="27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23,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Pentair plc</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and Chief Financial Officer</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Ademir Sarcevic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Ademir Sarcevic</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60"/>
          </w:cols>
          <w:pgMar w:left="240" w:top="121" w:right="3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25" w:lineRule="exact"/>
        <w:rPr>
          <w:sz w:val="20"/>
          <w:szCs w:val="20"/>
          <w:color w:val="auto"/>
        </w:rPr>
      </w:pPr>
    </w:p>
    <w:p>
      <w:pPr>
        <w:ind w:left="280" w:hanging="258"/>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23, 2019</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C. Borin, certify that:</w:t>
      </w:r>
    </w:p>
    <w:p>
      <w:pPr>
        <w:spacing w:after="0" w:line="225" w:lineRule="exact"/>
        <w:rPr>
          <w:sz w:val="20"/>
          <w:szCs w:val="20"/>
          <w:color w:val="auto"/>
        </w:rPr>
      </w:pPr>
    </w:p>
    <w:p>
      <w:pPr>
        <w:ind w:left="280" w:hanging="258"/>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23, 2019</w:t>
      </w:r>
      <w:r>
        <w:rPr>
          <w:sz w:val="20"/>
          <w:szCs w:val="20"/>
          <w:color w:val="auto"/>
        </w:rPr>
        <w:tab/>
      </w:r>
      <w:r>
        <w:rPr>
          <w:rFonts w:ascii="Arial" w:cs="Arial" w:eastAsia="Arial" w:hAnsi="Arial"/>
          <w:sz w:val="16"/>
          <w:szCs w:val="16"/>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June 30, 2019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23, 2019</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June 30, 2019 as filed with the Securities and Exchange Commission on the date hereof (the “Report”), I, Mark C. Borin, Executive Vice President and Chief Financial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23, 2019</w:t>
      </w:r>
      <w:r>
        <w:rPr>
          <w:sz w:val="20"/>
          <w:szCs w:val="20"/>
          <w:color w:val="auto"/>
        </w:rPr>
        <w:tab/>
      </w:r>
      <w:r>
        <w:rPr>
          <w:rFonts w:ascii="Arial" w:cs="Arial" w:eastAsia="Arial" w:hAnsi="Arial"/>
          <w:sz w:val="16"/>
          <w:szCs w:val="16"/>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2"/>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3"/>
    </w:lvl>
  </w:abstractNum>
  <w:abstractNum w:abstractNumId="5">
    <w:nsid w:val="1E7FF521"/>
    <w:multiLevelType w:val="hybridMultilevel"/>
    <w:lvl w:ilvl="0">
      <w:lvlJc w:val="left"/>
      <w:lvlText w:val="%1."/>
      <w:numFmt w:val="decimal"/>
      <w:start w:val="4"/>
    </w:lvl>
  </w:abstractNum>
  <w:abstractNum w:abstractNumId="6">
    <w:nsid w:val="7C3DBD3D"/>
    <w:multiLevelType w:val="hybridMultilevel"/>
    <w:lvl w:ilvl="0">
      <w:lvlJc w:val="left"/>
      <w:lvlText w:val="%1."/>
      <w:numFmt w:val="decimal"/>
      <w:start w:val="5"/>
    </w:lvl>
  </w:abstractNum>
  <w:abstractNum w:abstractNumId="7">
    <w:nsid w:val="737B8DDC"/>
    <w:multiLevelType w:val="hybridMultilevel"/>
    <w:lvl w:ilvl="0">
      <w:lvlJc w:val="left"/>
      <w:lvlText w:val="%1."/>
      <w:numFmt w:val="decimal"/>
      <w:start w:val="8"/>
    </w:lvl>
  </w:abstractNum>
  <w:abstractNum w:abstractNumId="8">
    <w:nsid w:val="6CEAF087"/>
    <w:multiLevelType w:val="hybridMultilevel"/>
    <w:lvl w:ilvl="0">
      <w:lvlJc w:val="left"/>
      <w:lvlText w:val="%1."/>
      <w:numFmt w:val="decimal"/>
      <w:start w:val="9"/>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10"/>
    </w:lvl>
  </w:abstractNum>
  <w:abstractNum w:abstractNumId="11">
    <w:nsid w:val="3006C83E"/>
    <w:multiLevelType w:val="hybridMultilevel"/>
    <w:lvl w:ilvl="0">
      <w:lvlJc w:val="left"/>
      <w:lvlText w:val="•"/>
      <w:numFmt w:val="bullet"/>
      <w:start w:val="1"/>
    </w:lvl>
    <w:lvl w:ilvl="1">
      <w:lvlJc w:val="left"/>
      <w:lvlText w:val="•"/>
      <w:numFmt w:val="bullet"/>
      <w:start w:val="1"/>
    </w:lvl>
  </w:abstractNum>
  <w:abstractNum w:abstractNumId="12">
    <w:nsid w:val="614FD4A1"/>
    <w:multiLevelType w:val="hybridMultilevel"/>
    <w:lvl w:ilvl="0">
      <w:lvlJc w:val="left"/>
      <w:lvlText w:val="%1."/>
      <w:numFmt w:val="decimal"/>
      <w:start w:val="11"/>
    </w:lvl>
  </w:abstractNum>
  <w:abstractNum w:abstractNumId="13">
    <w:nsid w:val="419AC241"/>
    <w:multiLevelType w:val="hybridMultilevel"/>
    <w:lvl w:ilvl="0">
      <w:lvlJc w:val="left"/>
      <w:lvlText w:val="%1."/>
      <w:numFmt w:val="decimal"/>
      <w:start w:val="12"/>
    </w:lvl>
  </w:abstractNum>
  <w:abstractNum w:abstractNumId="14">
    <w:nsid w:val="5577F8E1"/>
    <w:multiLevelType w:val="hybridMultilevel"/>
    <w:lvl w:ilvl="0">
      <w:lvlJc w:val="left"/>
      <w:lvlText w:val="%1."/>
      <w:numFmt w:val="decimal"/>
      <w:start w:val="13"/>
    </w:lvl>
  </w:abstractNum>
  <w:abstractNum w:abstractNumId="15">
    <w:nsid w:val="440BADFC"/>
    <w:multiLevelType w:val="hybridMultilevel"/>
    <w:lvl w:ilvl="0">
      <w:lvlJc w:val="left"/>
      <w:lvlText w:val="%1."/>
      <w:numFmt w:val="decimal"/>
      <w:start w:val="14"/>
    </w:lvl>
  </w:abstractNum>
  <w:abstractNum w:abstractNumId="16">
    <w:nsid w:val="5072367"/>
    <w:multiLevelType w:val="hybridMultilevel"/>
    <w:lvl w:ilvl="0">
      <w:lvlJc w:val="left"/>
      <w:lvlText w:val="%1."/>
      <w:numFmt w:val="decimal"/>
      <w:start w:val="15"/>
    </w:lvl>
  </w:abstractNum>
  <w:abstractNum w:abstractNumId="17">
    <w:nsid w:val="3804823E"/>
    <w:multiLevelType w:val="hybridMultilevel"/>
    <w:lvl w:ilvl="0">
      <w:lvlJc w:val="left"/>
      <w:lvlText w:val="%1."/>
      <w:numFmt w:val="decimal"/>
      <w:start w:val="16"/>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decimal"/>
      <w:start w:val="10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23" Type="http://schemas.openxmlformats.org/officeDocument/2006/relationships/hyperlink" Target="http://www.sec.gov/Archives/edgar/data/77360/000110465919037009/a19-10746_8ex4d2.htm#Exhibit4_2_1223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2019-11-30T20:51:59Z</dcterms:created>
  <dcterms:modified xsi:type="dcterms:W3CDTF">2019-11-30T20:51:59Z</dcterms:modified>
</cp:coreProperties>
</file>