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Hausmann Heather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5500 WAYZATA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GOLDEN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PENTAIR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CIO and CISO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4"/>
        <w:gridCol w:w="900"/>
        <w:gridCol w:w="771"/>
        <w:gridCol w:w="598"/>
        <w:gridCol w:w="342"/>
        <w:gridCol w:w="780"/>
        <w:gridCol w:w="437"/>
        <w:gridCol w:w="744"/>
        <w:gridCol w:w="1390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80.71</w:t>
            </w:r>
            <w:r>
              <w:rPr/>
              <w:t xml:space="preserve"> 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- Restricted Stock Units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10,397.674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surrendered to pay taxes applicable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End-of-period holdings reflect the vesting of restricted stock units that were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Wilson, Attorney-in-Fact for Heather M. Hausmann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112" TargetMode="External"/><Relationship Id="rId5" Type="http://schemas.openxmlformats.org/officeDocument/2006/relationships/hyperlink" Target="http://www.sec.gov/cgi-bin/browse-edgar?action=getcompany&amp;CIK=00000773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3281</Characters>
  <CharactersWithSpaces>3821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