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572135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left="4300" w:right="142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-30480</wp:posOffset>
            </wp:positionV>
            <wp:extent cx="197167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98-1141328</w:t>
            </w:r>
          </w:p>
        </w:tc>
      </w:tr>
      <w:tr>
        <w:trPr>
          <w:trHeight w:val="228"/>
        </w:trPr>
        <w:tc>
          <w:tcPr>
            <w:tcW w:w="57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100" w:type="dxa"/>
            <w:vAlign w:val="bottom"/>
          </w:tcPr>
          <w:p>
            <w:pPr>
              <w:spacing w:after="0"/>
              <w:rPr>
                <w:sz w:val="19"/>
                <w:szCs w:val="19"/>
                <w:color w:val="auto"/>
              </w:rPr>
            </w:pPr>
          </w:p>
        </w:tc>
        <w:tc>
          <w:tcPr>
            <w:tcW w:w="440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40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London,</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TW13QS</w:t>
            </w:r>
          </w:p>
        </w:tc>
        <w:tc>
          <w:tcPr>
            <w:tcW w:w="33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4080" w:type="dxa"/>
            <w:vAlign w:val="bottom"/>
          </w:tcPr>
          <w:p>
            <w:pPr>
              <w:spacing w:after="0"/>
              <w:rPr>
                <w:sz w:val="19"/>
                <w:szCs w:val="19"/>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June 30, 2024, 165,497,736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5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6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80" w:type="dxa"/>
            <w:vAlign w:val="bottom"/>
            <w:gridSpan w:val="1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gridSpan w:val="3"/>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500" w:type="dxa"/>
            <w:vAlign w:val="bottom"/>
            <w:gridSpan w:val="3"/>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40" w:type="dxa"/>
            <w:vAlign w:val="bottom"/>
            <w:gridSpan w:val="8"/>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2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186.1</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319.4</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320" w:type="dxa"/>
            <w:vAlign w:val="bottom"/>
          </w:tcPr>
          <w:p>
            <w:pPr>
              <w:spacing w:after="0"/>
              <w:rPr>
                <w:sz w:val="17"/>
                <w:szCs w:val="17"/>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$10.6 and $11.2, respectively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short-term borrowings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165.5 and 165.3 issued at June 30, 2024 and December 31,</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respectively</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of short-term borrowings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repayments of revolving 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1"/>
                <w:szCs w:val="11"/>
                <w:color w:val="auto"/>
              </w:rPr>
            </w:pPr>
          </w:p>
        </w:tc>
        <w:tc>
          <w:tcPr>
            <w:tcW w:w="104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1"/>
                <w:szCs w:val="11"/>
                <w:color w:val="auto"/>
              </w:rPr>
            </w:pPr>
          </w:p>
        </w:tc>
        <w:tc>
          <w:tcPr>
            <w:tcW w:w="1420" w:type="dxa"/>
            <w:vAlign w:val="bottom"/>
            <w:vMerge w:val="restart"/>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5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80" w:type="dxa"/>
            <w:vAlign w:val="bottom"/>
          </w:tcPr>
          <w:p>
            <w:pPr>
              <w:spacing w:after="0"/>
              <w:rPr>
                <w:sz w:val="12"/>
                <w:szCs w:val="12"/>
                <w:color w:val="auto"/>
              </w:rPr>
            </w:pPr>
          </w:p>
        </w:tc>
        <w:tc>
          <w:tcPr>
            <w:tcW w:w="1420" w:type="dxa"/>
            <w:vAlign w:val="bottom"/>
          </w:tcPr>
          <w:p>
            <w:pPr>
              <w:jc w:val="center"/>
              <w:ind w:right="9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$0.22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$0.22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“Pentair,” or the “Company”)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U.S. Securities and Exchange Commission (“SEC”) final rules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 issued the final rules under SEC Release No. 33-11275, The Enhancement and Standardization of Climate-Related Disclosures for Investors. In April 2024, the SEC voluntarily stayed the new rules as a result of pending legal challenges. These rules, if adopted, will require registrants to disclose certain climate-related information, including Scope 1 and Scope 2 greenhouse gas emissions and other climate-related topics, in registration statements and annual reports, when material. Disclosure requirements, absent the results of pending legal challenges, may begin phasing in with our annual reporting for the year ending December 31, 2025. We are currently evaluating the impact the rules will have on our disclosures.</w:t>
      </w:r>
    </w:p>
    <w:p>
      <w:pPr>
        <w:spacing w:after="0" w:line="21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1,099.3</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2,116.5</w:t>
            </w:r>
          </w:p>
        </w:tc>
        <w:tc>
          <w:tcPr>
            <w:tcW w:w="3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2,111.1</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Developing includes China, Eastern Europe, Latin America, the Middle East and Southeast Asia.</w:t>
      </w:r>
    </w:p>
    <w:p>
      <w:pPr>
        <w:spacing w:after="0" w:line="65"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June 30, 2024, we had $88.1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9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90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$9.0 million increase in net contract assets from December 31, 2023 to June 30, 2024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85% of our contract liabilities at December 31, 2023 were recognized in revenue in the first half of 2024.</w:t>
      </w:r>
    </w:p>
    <w:p>
      <w:pPr>
        <w:spacing w:after="0" w:line="23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and six months ended June 30, 2024 and 2023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5"/>
                <w:szCs w:val="15"/>
                <w:color w:val="auto"/>
              </w:rPr>
            </w:pPr>
          </w:p>
        </w:tc>
        <w:tc>
          <w:tcPr>
            <w:tcW w:w="1240" w:type="dxa"/>
            <w:vAlign w:val="bottom"/>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2024, we issued our annual share-based compensation grants under the Pentair plc 2020 Share and Incentive Plan to eligible employees. The total number of awards issued was approximately 0.5 million, of which 0.2 million were restricted stock units (“RSUs”), 0.2 million were stock options and 0.1 million were performance share units (“PSUs”). The weighted-average grant date fair value of the RSUs, stock options and PSUs issued was $75.70, $25.10 and $71.83, respectively.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included a reduction in hourly and salaried headcount of approximately 200 employees during the six months ended June 30, 2024.</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Operations and Comprehensive Income included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right="20" w:firstLine="6"/>
        <w:spacing w:after="0" w:line="211" w:lineRule="auto"/>
        <w:tabs>
          <w:tab w:leader="none" w:pos="199"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restructuring costs and related adjustments primarily consist of certain accruals, various contract termination costs, asset impairments and inventory write-offs associated with business and product line exits.</w:t>
      </w:r>
    </w:p>
    <w:p>
      <w:pPr>
        <w:spacing w:after="0" w:line="1" w:lineRule="exact"/>
        <w:rPr>
          <w:rFonts w:ascii="Times New Roman" w:cs="Times New Roman" w:eastAsia="Times New Roman" w:hAnsi="Times New Roman"/>
          <w:sz w:val="22"/>
          <w:szCs w:val="22"/>
          <w:color w:val="auto"/>
          <w:vertAlign w:val="superscript"/>
        </w:rPr>
      </w:pPr>
    </w:p>
    <w:p>
      <w:pPr>
        <w:ind w:left="200" w:hanging="174"/>
        <w:spacing w:after="0" w:line="217"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transformation costs primarily consist of professional services and project management related costs, partially offset by gain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as well as Corporate and other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5"/>
                <w:szCs w:val="15"/>
                <w:color w:val="auto"/>
              </w:rPr>
            </w:pP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5"/>
                <w:szCs w:val="15"/>
                <w:color w:val="auto"/>
              </w:rPr>
            </w:pPr>
          </w:p>
        </w:tc>
        <w:tc>
          <w:tcPr>
            <w:tcW w:w="122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4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Condensed Consolidated Balance Sheets is summarized as follows for the six months ended June 30,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8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5"/>
              </w:rPr>
              <w:t>13.4</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4180" w:type="dxa"/>
            <w:vAlign w:val="bottom"/>
          </w:tcPr>
          <w:p>
            <w:pPr>
              <w:spacing w:after="0"/>
              <w:rPr>
                <w:sz w:val="19"/>
                <w:szCs w:val="19"/>
                <w:color w:val="auto"/>
              </w:rPr>
            </w:pPr>
          </w:p>
        </w:tc>
        <w:tc>
          <w:tcPr>
            <w:tcW w:w="13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4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5"/>
              </w:rPr>
              <w:t>11.4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1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3" w:lineRule="exact"/>
        <w:rPr>
          <w:sz w:val="20"/>
          <w:szCs w:val="20"/>
          <w:color w:val="auto"/>
        </w:rPr>
      </w:pPr>
    </w:p>
    <w:p>
      <w:pPr>
        <w:sectPr>
          <w:pgSz w:w="11900" w:h="16838" w:orient="portrait"/>
          <w:cols w:equalWidth="0" w:num="2">
            <w:col w:w="4860" w:space="280"/>
            <w:col w:w="610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250"/>
        </w:trPr>
        <w:tc>
          <w:tcPr>
            <w:tcW w:w="4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w:t>
            </w:r>
          </w:p>
        </w:tc>
        <w:tc>
          <w:tcPr>
            <w:tcW w:w="62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4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w:t>
            </w:r>
          </w:p>
        </w:tc>
        <w:tc>
          <w:tcPr>
            <w:tcW w:w="60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154.2</w:t>
            </w:r>
          </w:p>
        </w:tc>
        <w:tc>
          <w:tcPr>
            <w:tcW w:w="62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319.6</w:t>
            </w: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6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impact of stock options, restricted stock units and</w:t>
            </w: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8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0.94</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0.93</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0.93</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0.92</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8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Anti-dilutive stock options excluded from the calculation of</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3"/>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six months ended June 30, 2024:</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4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90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90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9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8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44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w:t>
            </w:r>
          </w:p>
        </w:tc>
        <w:tc>
          <w:tcPr>
            <w:tcW w:w="2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8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2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710.7</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rebates and incentives</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Billings in excess of cost</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restructuring</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liabilities</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contract liabilities</w:t>
            </w:r>
          </w:p>
        </w:tc>
        <w:tc>
          <w:tcPr>
            <w:tcW w:w="28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20" w:type="dxa"/>
            <w:vAlign w:val="bottom"/>
          </w:tcPr>
          <w:p>
            <w:pPr>
              <w:spacing w:after="0"/>
              <w:rPr>
                <w:sz w:val="17"/>
                <w:szCs w:val="17"/>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320" w:type="dxa"/>
            <w:vAlign w:val="bottom"/>
          </w:tcPr>
          <w:p>
            <w:pPr>
              <w:spacing w:after="0"/>
              <w:rPr>
                <w:sz w:val="17"/>
                <w:szCs w:val="17"/>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7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3,250.6</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 amortization expense was $13.4 million and $13.9 million for the three months ended June 30, 2024 and 2023, and $26.9 million and $27.7 million for the six months ended June 30, 2024 and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2024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Q3-Q4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Average interest rate as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80" w:type="dxa"/>
            <w:vAlign w:val="bottom"/>
          </w:tcPr>
          <w:p>
            <w:pPr>
              <w:spacing w:after="0"/>
              <w:rPr>
                <w:sz w:val="17"/>
                <w:szCs w:val="17"/>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vMerge w:val="continue"/>
          </w:tcPr>
          <w:p>
            <w:pPr>
              <w:spacing w:after="0"/>
              <w:rPr>
                <w:sz w:val="21"/>
                <w:szCs w:val="21"/>
                <w:color w:val="auto"/>
              </w:rPr>
            </w:pPr>
          </w:p>
        </w:tc>
        <w:tc>
          <w:tcPr>
            <w:tcW w:w="28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6.637%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6.802%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2023 - 2027</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(Senior Credit Facility)</w:t>
            </w:r>
          </w:p>
        </w:tc>
        <w:tc>
          <w:tcPr>
            <w:tcW w:w="2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4.650%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4.500%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5.900%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8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 of short-term borrowings</w:t>
            </w:r>
          </w:p>
        </w:tc>
        <w:tc>
          <w:tcPr>
            <w:tcW w:w="2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During the second quarter of 2024, PFSA repaid $200.0 million of term loans under the Senior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total availability under the Senior Credit Facility was $900.0 million. In addition, PFSA has the option to request to increase the revolving credit facility and/or to enter into one or more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$20.8 million, of which there were no outstanding borrowings at June 30, 2024. Borrowings under these credit facilities bear interest at variable 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$25.0 million of Term Loan Facility payments due in the next twelve months. We classified this debt as long-term as of June 30, 2024 as we have the intent and ability to refinance such obligation on a long-term basis under the revolving credit facility under the Senior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June 30, 2024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Q3 - Q4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w:t>
            </w:r>
          </w:p>
        </w:tc>
      </w:tr>
    </w:tbl>
    <w:p>
      <w:pPr>
        <w:spacing w:after="0" w:line="248" w:lineRule="exact"/>
        <w:rPr>
          <w:sz w:val="20"/>
          <w:szCs w:val="20"/>
          <w:color w:val="auto"/>
        </w:rPr>
      </w:pPr>
    </w:p>
    <w:p>
      <w:pPr>
        <w:ind w:right="7880" w:firstLine="8"/>
        <w:spacing w:after="0" w:line="278" w:lineRule="auto"/>
        <w:tabs>
          <w:tab w:leader="none" w:pos="40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Financial Instruments </w:t>
      </w:r>
      <w:r>
        <w:rPr>
          <w:rFonts w:ascii="Times New Roman" w:cs="Times New Roman" w:eastAsia="Times New Roman" w:hAnsi="Times New Roman"/>
          <w:sz w:val="17"/>
          <w:szCs w:val="17"/>
          <w:b w:val="1"/>
          <w:bCs w:val="1"/>
          <w:i w:val="1"/>
          <w:iCs w:val="1"/>
          <w:color w:val="auto"/>
        </w:rPr>
        <w:t>Derivative financial instruments</w:t>
      </w:r>
    </w:p>
    <w:p>
      <w:pPr>
        <w:spacing w:after="0" w:line="1" w:lineRule="exact"/>
        <w:rPr>
          <w:rFonts w:ascii="Times New Roman" w:cs="Times New Roman" w:eastAsia="Times New Roman" w:hAnsi="Times New Roman"/>
          <w:sz w:val="17"/>
          <w:szCs w:val="17"/>
          <w:b w:val="1"/>
          <w:bCs w:val="1"/>
          <w:color w:val="auto"/>
        </w:rPr>
      </w:pPr>
    </w:p>
    <w:p>
      <w:pPr>
        <w:jc w:val="both"/>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we had outstanding foreign currency derivative contracts with gross notional U.S. dollar equivalent amounts of $17.9 million and $23.9 million, respectively. The impact of these contracts on the Condensed Consolidated Statements of Operations and Comprehensive Income was not material for any period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June 30, 2024 and December 31, 2023, we had outstanding cross currency swap agreements with a combined notional amount of $909.8 million and $940.2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$27.7 million and $51.6 million at June 30, 2024 and December 31, 2023,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 rate debt through the use of interest rate swaps and collars. We enter into these agreements to hedge the variability of interest expense and cash flows attributable to changes in interest rates of our variable rate debt. As of June 30, 2024, we had an aggregate notional amount of $300.0 million and $200.0 million in interest rate swaps and collars, respectively, that are designated as cash flow hedges.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Condensed Consolidated Balance Sheets. We had unrealized gains of $5.2 million and $0.3 million at June 30, 2024 and December 31, 2023, respectively, recorded in </w:t>
      </w: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associated with our interest rate swap and collar activity. The periodic interest settlements related to our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swaps and collars are classified as operating activities.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b w:val="1"/>
          <w:bCs w:val="1"/>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b w:val="1"/>
          <w:bCs w:val="1"/>
          <w:color w:val="auto"/>
        </w:rPr>
      </w:pPr>
    </w:p>
    <w:p>
      <w:pPr>
        <w:jc w:val="both"/>
        <w:ind w:left="500" w:hanging="330"/>
        <w:spacing w:after="0" w:line="267" w:lineRule="auto"/>
        <w:tabs>
          <w:tab w:leader="none" w:pos="49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 and</w:t>
      </w:r>
    </w:p>
    <w:p>
      <w:pPr>
        <w:spacing w:after="0" w:line="119" w:lineRule="exact"/>
        <w:rPr>
          <w:rFonts w:ascii="Times New Roman" w:cs="Times New Roman" w:eastAsia="Times New Roman" w:hAnsi="Times New Roman"/>
          <w:sz w:val="18"/>
          <w:szCs w:val="18"/>
          <w:b w:val="1"/>
          <w:bCs w:val="1"/>
          <w:color w:val="auto"/>
        </w:rPr>
      </w:pPr>
    </w:p>
    <w:p>
      <w:pPr>
        <w:jc w:val="both"/>
        <w:ind w:left="460" w:hanging="331"/>
        <w:spacing w:after="0" w:line="261" w:lineRule="auto"/>
        <w:tabs>
          <w:tab w:leader="none" w:pos="4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400" w:type="dxa"/>
            <w:vAlign w:val="bottom"/>
          </w:tcPr>
          <w:p>
            <w:pPr>
              <w:spacing w:after="0"/>
              <w:rPr>
                <w:sz w:val="14"/>
                <w:szCs w:val="14"/>
                <w:color w:val="auto"/>
              </w:rPr>
            </w:pPr>
          </w:p>
        </w:tc>
        <w:tc>
          <w:tcPr>
            <w:tcW w:w="880" w:type="dxa"/>
            <w:vAlign w:val="bottom"/>
          </w:tcPr>
          <w:p>
            <w:pPr>
              <w:jc w:val="center"/>
              <w:ind w:right="29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2024 was 14.6%, compared to 14.8% for the six months ended June 30, 2023.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$37.3 million and $38.6 million at June 30, 2024 and December 31, 2023,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are in the process of being adopted by a number of jurisdictions in which we operate. In particular, the U.K. completed passage of legislation to comply with the Pillar Two framework which became effective on January 1, 2024. For the six months ended June 30, 2024, the impact of Pillar Two on our condensed consolidated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and six months ended June 30, 2024 and 2023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2.0</w:t>
            </w: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2.6</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and six months ended June 30, 2024 and 2023 were not material.</w:t>
      </w:r>
    </w:p>
    <w:p>
      <w:pPr>
        <w:spacing w:after="0" w:line="185" w:lineRule="exact"/>
        <w:rPr>
          <w:sz w:val="20"/>
          <w:szCs w:val="20"/>
          <w:color w:val="auto"/>
        </w:rPr>
      </w:pPr>
    </w:p>
    <w:p>
      <w:pPr>
        <w:ind w:right="9200" w:firstLine="8"/>
        <w:spacing w:after="0" w:line="263" w:lineRule="auto"/>
        <w:tabs>
          <w:tab w:leader="none" w:pos="4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three and six months ended June 30, 2024, we repurchased 0.6 million of our ordinary shares for $50.0 million. As of June 30, 2024, we had $550.0 million available for share repurchases under this authorization.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6, 2024, the Board of Directors declared a quarterly cash dividend of $0.23 per share, payable on August 2, 2024 to shareholders of record at the close of business on July 19, 2024.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$38.1 million at June 30, 2024, compared to $38.0 million at December 31, 2023.</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composed of three reporting segments: Flow, Water Solutions and Pool. We evaluate performance based on net sales and reportable segment income and use a variety of ratios to measure performance of our reporting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reporting segment under accounting standards codification (“ASC”) 280.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of the Company’s reportable segments as well as Corporate and other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reportable segment income to consolidated income from continuing operations before income taxes: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Flow</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Solutions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Pool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8280" w:firstLine="8"/>
        <w:spacing w:after="0" w:line="263" w:lineRule="auto"/>
        <w:tabs>
          <w:tab w:leader="none" w:pos="4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Warranties</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for the six months ended June 30, 2024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6260" w:type="dxa"/>
            <w:vAlign w:val="bottom"/>
            <w:tcBorders>
              <w:bottom w:val="single" w:sz="8" w:color="auto"/>
            </w:tcBorders>
            <w:vMerge w:val="continue"/>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outstanding value of bonds, letters of credit and bank guarantees totaled $107.2 million and $124.3 million,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environmental, social and governance (“ESG”) goals and targets. Additional information concerning these and other factors is contained in our filings with the U.S. Securities and Exchange Commission, including this Form 10-Q and our Annual Report on Form 10-K for the year ended December 31, 2023. All forward-looking statements speak only as of the date of this report. Pentair assumes no obligation, and disclaims any obligation, to update the information contained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moving, improving or helping people enjoy water, we help manage life’s most essential resource. We are composed of three reporting segments: Flow, Water Solutions and Pool. For the first six months of 2024, the Flow, Water Solutions and Pool segments represented approximately 37%, 28% and 35% of total revenues, respectively. We classify our operations into reporting segments based primarily on types of products offered and markets served:</w:t>
      </w:r>
    </w:p>
    <w:p>
      <w:pPr>
        <w:spacing w:after="0" w:line="130" w:lineRule="exact"/>
        <w:rPr>
          <w:sz w:val="20"/>
          <w:szCs w:val="20"/>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28"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six months of 2024 and are reasonably likely to impact our results in the future:</w:t>
      </w:r>
    </w:p>
    <w:p>
      <w:pPr>
        <w:spacing w:after="0" w:line="127"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2021, we created a transformation office and launched and committed resources to the Transformation Program designed to accelerate growth and drive margin expansion by driving operational excellence, reducing complexity and streamlining our processes. During 2023 and the first six months of 2024,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throughout the remainder of 2024 and beyond.</w:t>
      </w:r>
    </w:p>
    <w:p>
      <w:pPr>
        <w:spacing w:after="0" w:line="129"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began using 80/20 guiding principles to enable our Transformation Program. This 80/20 analysis is expected to create value by focusing on the right customers and products through quadrant based strategies. We expect the analysis to result in actions to improve operating performance by reducing lower margin sales and removing complexity in the future.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and the first six months of 2024, we executed certain business restructuring initiatives aimed at reducing our fixed cost structure and realigning our business. We expect these actions to continue throughout the remainder of 2024 and to drive margin growth.</w:t>
      </w:r>
    </w:p>
    <w:p>
      <w:pPr>
        <w:spacing w:after="0" w:line="107"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and the first six months of 2024, we experienced inflationary cost increases for certain raw materials as well as logistics and transportation costs. The current volatile market for commodities has the potential to continue to drive price increases in our supply chain. While we have taken pricing actions and implemented transformation initiatives that we expect to improve productivity and offset cost increases, we anticipate supply chain pressures and inflationary cost increases to continue for the remainder of 2024.</w:t>
      </w:r>
    </w:p>
    <w:p>
      <w:pPr>
        <w:spacing w:after="0" w:line="125"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are in the process of being adopted by a number of jurisdictions in which we operate. Pillar Two has negatively impacted our effective tax rate in 2024. That impact could change in the future as we continue to evaluate the enacted legislative changes and as new guidance becomes available.</w:t>
      </w:r>
    </w:p>
    <w:p>
      <w:pPr>
        <w:spacing w:after="0" w:line="121"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 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Focusing growth initiatives that accelerate our investments in digital, innovation, technology and ESG;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Continuing to implement our Transformation Program initiatives that will drive operational excellence, reduce complexity and improve our organizational structure, which includes the focus on 80/20 actions to drive profitable growth; and</w:t>
      </w:r>
    </w:p>
    <w:p>
      <w:pPr>
        <w:spacing w:after="0" w:line="10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Building a high performance growth culture and delivering on our commitments while living our Win Right values.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June 30, 2024 and 2023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1,099.3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661.4</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683.0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39.8 %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36.9 %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165.1</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15.3 %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 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22.6 %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19.3 %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consolidated results of operations for the six months ended June 30, 2024 and 2023 were as follows: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580" w:type="dxa"/>
            <w:vAlign w:val="bottom"/>
            <w:gridSpan w:val="2"/>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2,116.5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1,288.5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1,329.8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828.0</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781.3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39.1 %</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37.0 %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6"/>
        </w:trPr>
        <w:tc>
          <w:tcPr>
            <w:tcW w:w="4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350.3</w:t>
            </w:r>
          </w:p>
        </w:tc>
        <w:tc>
          <w:tcPr>
            <w:tcW w:w="5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338.4</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16.6 %</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16.0 %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w:t>
            </w:r>
          </w:p>
        </w:tc>
        <w:tc>
          <w:tcPr>
            <w:tcW w:w="5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428.8</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20.3 %</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18.6 %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5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53.6</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374.3</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w:t>
            </w:r>
          </w:p>
        </w:tc>
        <w:tc>
          <w:tcPr>
            <w:tcW w:w="5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 pts</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4100" w:type="dxa"/>
            <w:vAlign w:val="bottom"/>
          </w:tcPr>
          <w:p>
            <w:pPr>
              <w:spacing w:after="0"/>
              <w:rPr>
                <w:sz w:val="24"/>
                <w:szCs w:val="24"/>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560" w:type="dxa"/>
            <w:vAlign w:val="bottom"/>
          </w:tcPr>
          <w:p>
            <w:pPr>
              <w:spacing w:after="0"/>
              <w:rPr>
                <w:sz w:val="24"/>
                <w:szCs w:val="24"/>
                <w:color w:val="auto"/>
              </w:rPr>
            </w:pPr>
          </w:p>
        </w:tc>
        <w:tc>
          <w:tcPr>
            <w:tcW w:w="35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5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1.6 %</w:t>
            </w: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1.6 and 0.3 percent increases in net sales in the second quarter and first half, respectively, of 2024 from 2023 were primarily driven by:</w:t>
      </w:r>
    </w:p>
    <w:p>
      <w:pPr>
        <w:spacing w:after="0" w:line="173"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volume within our Pool segment due to higher demand compared to the prior year;</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increased sales volume in our commercial flow business within our Flow segment in the first half of 2024 compared to the prior year; and</w:t>
      </w:r>
    </w:p>
    <w:p>
      <w:pPr>
        <w:spacing w:after="0" w:line="171" w:lineRule="exact"/>
        <w:rPr>
          <w:rFonts w:ascii="Times New Roman" w:cs="Times New Roman" w:eastAsia="Times New Roman" w:hAnsi="Times New Roman"/>
          <w:sz w:val="18"/>
          <w:szCs w:val="18"/>
          <w:b w:val="1"/>
          <w:bCs w:val="1"/>
          <w:i w:val="1"/>
          <w:iCs w:val="1"/>
          <w:color w:val="auto"/>
        </w:rPr>
      </w:pPr>
    </w:p>
    <w:p>
      <w:pPr>
        <w:ind w:left="500" w:hanging="330"/>
        <w:spacing w:after="0" w:line="282" w:lineRule="auto"/>
        <w:tabs>
          <w:tab w:leader="none" w:pos="49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flow and industrial solutions businesses within our Flow segment, in our commercial business within our Water Solutions segment and in our Pool segment to mitigate inflationary cost increases.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residential flow and industrial solutions businesses within our Flow segment compared to the prior year;</w:t>
      </w:r>
    </w:p>
    <w:p>
      <w:pPr>
        <w:spacing w:after="0" w:line="171" w:lineRule="exact"/>
        <w:rPr>
          <w:rFonts w:ascii="Times New Roman" w:cs="Times New Roman" w:eastAsia="Times New Roman" w:hAnsi="Times New Roman"/>
          <w:sz w:val="18"/>
          <w:szCs w:val="18"/>
          <w:b w:val="1"/>
          <w:bCs w:val="1"/>
          <w:color w:val="auto"/>
        </w:rPr>
      </w:pPr>
    </w:p>
    <w:p>
      <w:pPr>
        <w:ind w:left="50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within our commercial and residential businesses in our Water Solutions segment compared to the prior year, in addition to the completion of a large project in 2023 within our commercial business that did not recur in the first half of 2024;</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unfavorable foreign currency effects compared to the prior year;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product line exit in our Pool segment that occurred in the first half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2.9 and 2.1 percentage point increases in gross profit as a percentage of net sales in the second quarter and first half, respectively, of 2024 from 2023 were primarily driven by:</w:t>
      </w:r>
    </w:p>
    <w:p>
      <w:pPr>
        <w:spacing w:after="0" w:line="127"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increases in selling prices to mitigate impacts of inflationary costs;</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productivity mainly driven by manufacturing leverage within our Pool segment and transformation initiatives;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 impairment and write-offs of $0.8 million recorded in the first half of 2024, compared to $3.9 million in the first half of 2023.</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0.3 percentage point decrease in SG&amp;A as a percentage of net sales in the second quarter of 2024 from 2023 was primarily driven by:</w:t>
      </w:r>
    </w:p>
    <w:p>
      <w:pPr>
        <w:spacing w:after="0" w:line="153" w:lineRule="exact"/>
        <w:rPr>
          <w:sz w:val="20"/>
          <w:szCs w:val="20"/>
          <w:color w:val="auto"/>
        </w:rPr>
      </w:pPr>
    </w:p>
    <w:p>
      <w:pPr>
        <w:ind w:left="500" w:right="20" w:hanging="330"/>
        <w:spacing w:after="0" w:line="282" w:lineRule="auto"/>
        <w:tabs>
          <w:tab w:leader="none" w:pos="49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reduction in our legal accrual of $7.9 million in the second quarter of 2024, compared to an increase in our legal accrual of $4.1 million in the second quarter of 2023.</w:t>
      </w:r>
    </w:p>
    <w:p>
      <w:pPr>
        <w:spacing w:after="0" w:line="200" w:lineRule="exact"/>
        <w:rPr>
          <w:sz w:val="20"/>
          <w:szCs w:val="20"/>
          <w:color w:val="auto"/>
        </w:rPr>
      </w:pPr>
    </w:p>
    <w:p>
      <w:pPr>
        <w:spacing w:after="0" w:line="286"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transformation costs of $11.8 million in the second quarter of 2024, compared to $6.0 million in the second quarter of 2023;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restructuring and other costs of $5.9 million in the second quarter of 2024, compared to $0.6 million in the second quarter of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0.6 percentage point increase in SG&amp;A as a percentage of net sales in the first half of 2024 from 2023 was primarily driven by:</w:t>
      </w:r>
    </w:p>
    <w:p>
      <w:pPr>
        <w:spacing w:after="0" w:line="173"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transformation costs of $28.8 million in the first half of 2024, compared to $14.5 million in the first half of 2023;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restructuring and other costs of $10.5 million in the first half of 2024, compared to $3.5 million in the first half of 2023.</w:t>
      </w:r>
    </w:p>
    <w:p>
      <w:pPr>
        <w:spacing w:after="0" w:line="200" w:lineRule="exact"/>
        <w:rPr>
          <w:sz w:val="20"/>
          <w:szCs w:val="20"/>
          <w:color w:val="auto"/>
        </w:rPr>
      </w:pPr>
    </w:p>
    <w:p>
      <w:pPr>
        <w:spacing w:after="0" w:line="349" w:lineRule="exact"/>
        <w:rPr>
          <w:sz w:val="20"/>
          <w:szCs w:val="20"/>
          <w:color w:val="auto"/>
        </w:rPr>
      </w:pPr>
    </w:p>
    <w:p>
      <w:pPr>
        <w:ind w:left="500" w:hanging="330"/>
        <w:spacing w:after="0" w:line="282" w:lineRule="auto"/>
        <w:tabs>
          <w:tab w:leader="none" w:pos="495"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reduction in our legal accrual of $8.2 million in the first half of 2024, compared to an increase in our legal accrual of $2.2 million in the first half of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17.3 and 16.5 percent decreases in net interest expense in the second quarter and first half, respectively, of 2024 from 2023 were primarily driven by:</w:t>
      </w:r>
    </w:p>
    <w:p>
      <w:pPr>
        <w:spacing w:after="0" w:line="153"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variable debt compared to the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0.8 percentage point increase in the effective tax rate in the second quarter of 2024 from 2023 was primarily driven by:</w:t>
      </w:r>
    </w:p>
    <w:p>
      <w:pPr>
        <w:spacing w:after="0" w:line="153"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unfavorable mix of global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0.2 percentage point decrease in the effective tax rate in the first half of 2024 from 2023 was primarily driven b</w:t>
      </w:r>
      <w:r>
        <w:rPr>
          <w:rFonts w:ascii="Times New Roman" w:cs="Times New Roman" w:eastAsia="Times New Roman" w:hAnsi="Times New Roman"/>
          <w:sz w:val="18"/>
          <w:szCs w:val="18"/>
          <w:color w:val="auto"/>
        </w:rPr>
        <w:t>y:</w:t>
      </w:r>
    </w:p>
    <w:p>
      <w:pPr>
        <w:spacing w:after="0" w:line="173"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favorable impact of discrete items that occurred during the first half of 2024 that did not occur in the same period of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660" w:hanging="490"/>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unfavorable mix of global earnings.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(“segment income”) and use a variety of ratios to measure performance of our reporting segments.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Pr>
          <w:p>
            <w:pPr>
              <w:ind w:left="38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4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396.8</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411.6</w:t>
            </w:r>
          </w:p>
        </w:tc>
        <w:tc>
          <w:tcPr>
            <w:tcW w:w="1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c>
          <w:tcPr>
            <w:tcW w:w="14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4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139.8</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21.3 %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8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i w:val="1"/>
                <w:iCs w:val="1"/>
                <w:color w:val="auto"/>
              </w:rPr>
              <w:t>3.1 pts</w:t>
            </w:r>
          </w:p>
        </w:tc>
        <w:tc>
          <w:tcPr>
            <w:tcW w:w="1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20.7 %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3.3 pts</w:t>
            </w:r>
          </w:p>
        </w:tc>
        <w:tc>
          <w:tcPr>
            <w:tcW w:w="0" w:type="dxa"/>
            <w:vAlign w:val="bottom"/>
          </w:tcPr>
          <w:p>
            <w:pPr>
              <w:spacing w:after="0"/>
              <w:rPr>
                <w:sz w:val="1"/>
                <w:szCs w:val="1"/>
                <w:color w:val="auto"/>
              </w:rPr>
            </w:pPr>
          </w:p>
        </w:tc>
      </w:tr>
      <w:tr>
        <w:trPr>
          <w:trHeight w:val="45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the change in Flow net sales from the prior period were as follows: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3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0" w:type="dxa"/>
            <w:vAlign w:val="bottom"/>
          </w:tcPr>
          <w:p>
            <w:pPr>
              <w:spacing w:after="0"/>
              <w:rPr>
                <w:sz w:val="1"/>
                <w:szCs w:val="1"/>
                <w:color w:val="auto"/>
              </w:rPr>
            </w:pPr>
          </w:p>
        </w:tc>
      </w:tr>
      <w:tr>
        <w:trPr>
          <w:trHeight w:val="238"/>
        </w:trPr>
        <w:tc>
          <w:tcPr>
            <w:tcW w:w="2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3.6 and 2.8 percent decreases in net sales for Flow in the second quarter and first half, respectively, of 2024 from 2023 were primarily driven by:</w:t>
      </w:r>
    </w:p>
    <w:p>
      <w:pPr>
        <w:spacing w:after="0" w:line="173"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residential flow and industrial solutions businesses compared to the prior year;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unfavorable foreign currency effects compared to the prior year.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volume in our commercial flow business in the first half of 2024 compared to the prior year;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flow and industrial solutions businesses to mitigate inflationary cost increases.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54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240" w:type="dxa"/>
            <w:vAlign w:val="bottom"/>
          </w:tcPr>
          <w:p>
            <w:pPr>
              <w:spacing w:after="0"/>
              <w:rPr>
                <w:sz w:val="19"/>
                <w:szCs w:val="19"/>
                <w:color w:val="auto"/>
              </w:rPr>
            </w:pPr>
          </w:p>
        </w:tc>
      </w:tr>
      <w:tr>
        <w:trPr>
          <w:trHeight w:val="238"/>
        </w:trPr>
        <w:tc>
          <w:tcPr>
            <w:tcW w:w="654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40" w:type="dxa"/>
            <w:vAlign w:val="bottom"/>
            <w:tcBorders>
              <w:bottom w:val="single" w:sz="8" w:color="auto"/>
            </w:tcBorders>
          </w:tcPr>
          <w:p>
            <w:pPr>
              <w:spacing w:after="0"/>
              <w:rPr>
                <w:sz w:val="20"/>
                <w:szCs w:val="20"/>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3380" w:type="dxa"/>
            <w:vAlign w:val="bottom"/>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7"/>
              </w:rPr>
              <w:t>2.1</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Pr>
          <w:p>
            <w:pPr>
              <w:spacing w:after="0"/>
              <w:rPr>
                <w:sz w:val="19"/>
                <w:szCs w:val="19"/>
                <w:color w:val="auto"/>
              </w:rPr>
            </w:pPr>
          </w:p>
        </w:tc>
        <w:tc>
          <w:tcPr>
            <w:tcW w:w="3380" w:type="dxa"/>
            <w:vAlign w:val="bottom"/>
          </w:tcPr>
          <w:p>
            <w:pPr>
              <w:jc w:val="center"/>
              <w:ind w:left="2870"/>
              <w:spacing w:after="0"/>
              <w:rPr>
                <w:sz w:val="20"/>
                <w:szCs w:val="20"/>
                <w:color w:val="auto"/>
              </w:rPr>
            </w:pPr>
            <w:r>
              <w:rPr>
                <w:rFonts w:ascii="Times New Roman" w:cs="Times New Roman" w:eastAsia="Times New Roman" w:hAnsi="Times New Roman"/>
                <w:sz w:val="18"/>
                <w:szCs w:val="18"/>
                <w:color w:val="auto"/>
                <w:w w:val="98"/>
              </w:rPr>
              <w:t>(2.3)</w:t>
            </w:r>
          </w:p>
        </w:tc>
        <w:tc>
          <w:tcPr>
            <w:tcW w:w="240" w:type="dxa"/>
            <w:vAlign w:val="bottom"/>
          </w:tcPr>
          <w:p>
            <w:pPr>
              <w:spacing w:after="0"/>
              <w:rPr>
                <w:sz w:val="19"/>
                <w:szCs w:val="19"/>
                <w:color w:val="auto"/>
              </w:rPr>
            </w:pP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64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7"/>
              </w:rPr>
              <w:t>3.5</w:t>
            </w:r>
          </w:p>
        </w:tc>
        <w:tc>
          <w:tcPr>
            <w:tcW w:w="240" w:type="dxa"/>
            <w:vAlign w:val="bottom"/>
            <w:tcBorders>
              <w:bottom w:val="single" w:sz="8" w:color="auto"/>
            </w:tcBorders>
            <w:shd w:val="clear" w:color="auto" w:fill="CCEEFF"/>
          </w:tcPr>
          <w:p>
            <w:pPr>
              <w:spacing w:after="0"/>
              <w:rPr>
                <w:sz w:val="19"/>
                <w:szCs w:val="19"/>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3380" w:type="dxa"/>
            <w:vAlign w:val="bottom"/>
            <w:tcBorders>
              <w:bottom w:val="single" w:sz="8" w:color="auto"/>
            </w:tcBorders>
          </w:tcPr>
          <w:p>
            <w:pPr>
              <w:jc w:val="center"/>
              <w:ind w:left="2910"/>
              <w:spacing w:after="0"/>
              <w:rPr>
                <w:sz w:val="20"/>
                <w:szCs w:val="20"/>
                <w:color w:val="auto"/>
              </w:rPr>
            </w:pPr>
            <w:r>
              <w:rPr>
                <w:rFonts w:ascii="Times New Roman" w:cs="Times New Roman" w:eastAsia="Times New Roman" w:hAnsi="Times New Roman"/>
                <w:sz w:val="18"/>
                <w:szCs w:val="18"/>
                <w:color w:val="auto"/>
                <w:w w:val="97"/>
              </w:rPr>
              <w:t>3.3</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3.1 and 3.3 percentage point increases in segment income for Flow as a percentage of net sales in the second quarter and first half, respectively, of 2024 from 2023 were primarily driven by:</w:t>
      </w:r>
    </w:p>
    <w:p>
      <w:pPr>
        <w:spacing w:after="0" w:line="106" w:lineRule="exact"/>
        <w:rPr>
          <w:sz w:val="20"/>
          <w:szCs w:val="20"/>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flow and industrial solutions businesses to mitigate impacts of inflation;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productivity mainly driven by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80" w:type="dxa"/>
            <w:vAlign w:val="bottom"/>
          </w:tcPr>
          <w:p>
            <w:pPr>
              <w:ind w:left="400"/>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5"/>
                <w:szCs w:val="15"/>
                <w:color w:val="auto"/>
              </w:rPr>
            </w:pPr>
          </w:p>
        </w:tc>
        <w:tc>
          <w:tcPr>
            <w:tcW w:w="10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310.5</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336.2</w:t>
            </w:r>
          </w:p>
        </w:tc>
        <w:tc>
          <w:tcPr>
            <w:tcW w:w="1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c>
          <w:tcPr>
            <w:tcW w:w="14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4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127.2</w:t>
            </w:r>
          </w:p>
        </w:tc>
        <w:tc>
          <w:tcPr>
            <w:tcW w:w="3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22.2 %</w:t>
            </w:r>
          </w:p>
        </w:tc>
        <w:tc>
          <w:tcPr>
            <w:tcW w:w="18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i w:val="1"/>
                <w:iCs w:val="1"/>
                <w:color w:val="auto"/>
              </w:rPr>
              <w:t>1.3 pts</w:t>
            </w:r>
          </w:p>
        </w:tc>
        <w:tc>
          <w:tcPr>
            <w:tcW w:w="1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22.0 %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20.9 %</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1.1 pts</w:t>
            </w:r>
          </w:p>
        </w:tc>
        <w:tc>
          <w:tcPr>
            <w:tcW w:w="0" w:type="dxa"/>
            <w:vAlign w:val="bottom"/>
          </w:tcPr>
          <w:p>
            <w:pPr>
              <w:spacing w:after="0"/>
              <w:rPr>
                <w:sz w:val="1"/>
                <w:szCs w:val="1"/>
                <w:color w:val="auto"/>
              </w:rPr>
            </w:pPr>
          </w:p>
        </w:tc>
      </w:tr>
      <w:tr>
        <w:trPr>
          <w:trHeight w:val="45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from the prior period were as follows: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39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7.6 and 4.0 percent decreases in net sales for Water Solutions in the second quarter and first half, respectively, of 2024 from 2023 were primarily driven by:</w:t>
      </w:r>
    </w:p>
    <w:p>
      <w:pPr>
        <w:spacing w:after="0" w:line="106" w:lineRule="exact"/>
        <w:rPr>
          <w:sz w:val="20"/>
          <w:szCs w:val="20"/>
          <w:color w:val="auto"/>
        </w:rPr>
      </w:pPr>
    </w:p>
    <w:p>
      <w:pPr>
        <w:ind w:left="500" w:right="20" w:hanging="330"/>
        <w:spacing w:after="0" w:line="282" w:lineRule="auto"/>
        <w:tabs>
          <w:tab w:leader="none" w:pos="49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commercial and residential businesses compared to the prior year, in addition to the completion of a large project in 2023 within our commercial business that did not recur in the first half of 2024; and</w:t>
      </w:r>
    </w:p>
    <w:p>
      <w:pPr>
        <w:spacing w:after="0" w:line="107"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unfavorable foreign currency effects compared to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business to mitigate inflationary cost increases.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00" w:type="dxa"/>
            <w:vAlign w:val="bottom"/>
          </w:tcPr>
          <w:p>
            <w:pPr>
              <w:spacing w:after="0"/>
              <w:rPr>
                <w:sz w:val="19"/>
                <w:szCs w:val="19"/>
                <w:color w:val="auto"/>
              </w:rPr>
            </w:pPr>
          </w:p>
        </w:tc>
        <w:tc>
          <w:tcPr>
            <w:tcW w:w="46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58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60" w:type="dxa"/>
            <w:vAlign w:val="bottom"/>
          </w:tcPr>
          <w:p>
            <w:pPr>
              <w:spacing w:after="0"/>
              <w:rPr>
                <w:sz w:val="19"/>
                <w:szCs w:val="19"/>
                <w:color w:val="auto"/>
              </w:rPr>
            </w:pPr>
          </w:p>
        </w:tc>
      </w:tr>
      <w:tr>
        <w:trPr>
          <w:trHeight w:val="238"/>
        </w:trPr>
        <w:tc>
          <w:tcPr>
            <w:tcW w:w="26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5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w:t>
            </w:r>
          </w:p>
        </w:tc>
        <w:tc>
          <w:tcPr>
            <w:tcW w:w="4620" w:type="dxa"/>
            <w:vAlign w:val="bottom"/>
            <w:shd w:val="clear" w:color="auto" w:fill="CCEEFF"/>
          </w:tcPr>
          <w:p>
            <w:pPr>
              <w:jc w:val="center"/>
              <w:ind w:left="4110"/>
              <w:spacing w:after="0"/>
              <w:rPr>
                <w:sz w:val="20"/>
                <w:szCs w:val="20"/>
                <w:color w:val="auto"/>
              </w:rPr>
            </w:pPr>
            <w:r>
              <w:rPr>
                <w:rFonts w:ascii="Times New Roman" w:cs="Times New Roman" w:eastAsia="Times New Roman" w:hAnsi="Times New Roman"/>
                <w:sz w:val="18"/>
                <w:szCs w:val="18"/>
                <w:color w:val="auto"/>
                <w:w w:val="97"/>
              </w:rPr>
              <w:t>1.4</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140" w:type="dxa"/>
            <w:vAlign w:val="bottom"/>
            <w:shd w:val="clear" w:color="auto" w:fill="CCEEFF"/>
          </w:tcPr>
          <w:p>
            <w:pPr>
              <w:jc w:val="center"/>
              <w:ind w:left="2630"/>
              <w:spacing w:after="0"/>
              <w:rPr>
                <w:sz w:val="20"/>
                <w:szCs w:val="20"/>
                <w:color w:val="auto"/>
              </w:rPr>
            </w:pPr>
            <w:r>
              <w:rPr>
                <w:rFonts w:ascii="Times New Roman" w:cs="Times New Roman" w:eastAsia="Times New Roman" w:hAnsi="Times New Roman"/>
                <w:sz w:val="18"/>
                <w:szCs w:val="18"/>
                <w:color w:val="auto"/>
                <w:w w:val="97"/>
              </w:rPr>
              <w:t>1.9</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4620" w:type="dxa"/>
            <w:vAlign w:val="bottom"/>
          </w:tcPr>
          <w:p>
            <w:pPr>
              <w:jc w:val="center"/>
              <w:ind w:left="409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19"/>
                <w:szCs w:val="19"/>
                <w:color w:val="auto"/>
              </w:rPr>
            </w:pPr>
          </w:p>
        </w:tc>
        <w:tc>
          <w:tcPr>
            <w:tcW w:w="314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tcPr>
          <w:p>
            <w:pPr>
              <w:spacing w:after="0"/>
              <w:rPr>
                <w:sz w:val="19"/>
                <w:szCs w:val="19"/>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6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shd w:val="clear" w:color="auto" w:fill="CCEEFF"/>
          </w:tcPr>
          <w:p>
            <w:pPr>
              <w:spacing w:after="0"/>
              <w:rPr>
                <w:sz w:val="19"/>
                <w:szCs w:val="19"/>
                <w:color w:val="auto"/>
              </w:rPr>
            </w:pPr>
          </w:p>
        </w:tc>
        <w:tc>
          <w:tcPr>
            <w:tcW w:w="314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w w:val="98"/>
              </w:rPr>
              <w:t>(2.3)</w:t>
            </w:r>
          </w:p>
        </w:tc>
        <w:tc>
          <w:tcPr>
            <w:tcW w:w="260" w:type="dxa"/>
            <w:vAlign w:val="bottom"/>
            <w:shd w:val="clear" w:color="auto" w:fill="CCEEFF"/>
          </w:tcPr>
          <w:p>
            <w:pPr>
              <w:spacing w:after="0"/>
              <w:rPr>
                <w:sz w:val="19"/>
                <w:szCs w:val="19"/>
                <w:color w:val="auto"/>
              </w:rPr>
            </w:pPr>
          </w:p>
        </w:tc>
      </w:tr>
      <w:tr>
        <w:trPr>
          <w:trHeight w:val="229"/>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620" w:type="dxa"/>
            <w:vAlign w:val="bottom"/>
            <w:tcBorders>
              <w:bottom w:val="single" w:sz="8" w:color="auto"/>
            </w:tcBorders>
          </w:tcPr>
          <w:p>
            <w:pPr>
              <w:jc w:val="center"/>
              <w:ind w:left="4110"/>
              <w:spacing w:after="0"/>
              <w:rPr>
                <w:sz w:val="20"/>
                <w:szCs w:val="20"/>
                <w:color w:val="auto"/>
              </w:rPr>
            </w:pPr>
            <w:r>
              <w:rPr>
                <w:rFonts w:ascii="Times New Roman" w:cs="Times New Roman" w:eastAsia="Times New Roman" w:hAnsi="Times New Roman"/>
                <w:sz w:val="18"/>
                <w:szCs w:val="18"/>
                <w:color w:val="auto"/>
                <w:w w:val="97"/>
              </w:rPr>
              <w:t>2.0</w:t>
            </w:r>
          </w:p>
        </w:tc>
        <w:tc>
          <w:tcPr>
            <w:tcW w:w="5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w w:val="97"/>
              </w:rPr>
              <w:t>1.8</w:t>
            </w:r>
          </w:p>
        </w:tc>
        <w:tc>
          <w:tcPr>
            <w:tcW w:w="260" w:type="dxa"/>
            <w:vAlign w:val="bottom"/>
            <w:tcBorders>
              <w:bottom w:val="single" w:sz="8" w:color="auto"/>
            </w:tcBorders>
          </w:tcPr>
          <w:p>
            <w:pPr>
              <w:spacing w:after="0"/>
              <w:rPr>
                <w:sz w:val="19"/>
                <w:szCs w:val="19"/>
                <w:color w:val="auto"/>
              </w:rPr>
            </w:pPr>
          </w:p>
        </w:tc>
      </w:tr>
      <w:tr>
        <w:trPr>
          <w:trHeight w:val="248"/>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20" w:type="dxa"/>
            <w:vAlign w:val="bottom"/>
            <w:tcBorders>
              <w:bottom w:val="single" w:sz="8" w:color="auto"/>
            </w:tcBorders>
            <w:shd w:val="clear" w:color="auto" w:fill="CCEEFF"/>
          </w:tcPr>
          <w:p>
            <w:pPr>
              <w:jc w:val="center"/>
              <w:ind w:left="4110"/>
              <w:spacing w:after="0"/>
              <w:rPr>
                <w:sz w:val="20"/>
                <w:szCs w:val="20"/>
                <w:color w:val="auto"/>
              </w:rPr>
            </w:pPr>
            <w:r>
              <w:rPr>
                <w:rFonts w:ascii="Times New Roman" w:cs="Times New Roman" w:eastAsia="Times New Roman" w:hAnsi="Times New Roman"/>
                <w:sz w:val="18"/>
                <w:szCs w:val="18"/>
                <w:color w:val="auto"/>
                <w:w w:val="97"/>
              </w:rPr>
              <w:t>1.3</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140" w:type="dxa"/>
            <w:vAlign w:val="bottom"/>
            <w:tcBorders>
              <w:bottom w:val="single" w:sz="8" w:color="auto"/>
            </w:tcBorders>
            <w:shd w:val="clear" w:color="auto" w:fill="CCEEFF"/>
          </w:tcPr>
          <w:p>
            <w:pPr>
              <w:jc w:val="center"/>
              <w:ind w:left="26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2600" w:type="dxa"/>
            <w:vAlign w:val="bottom"/>
            <w:tcBorders>
              <w:top w:val="single" w:sz="8" w:color="CCEEFF"/>
              <w:bottom w:val="single" w:sz="8" w:color="auto"/>
            </w:tcBorders>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1.3 and 1.1 percentage point increases in segment income for Water Solutions as a percentage of net sales in the second quarter and first half, respectively, of 2024 from 2023 were primarily driven by:</w:t>
      </w:r>
    </w:p>
    <w:p>
      <w:pPr>
        <w:spacing w:after="0" w:line="106"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productivity mainly driven by transformation initiatives;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business to mitigate impacts of inflation and favorable mix.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unfavorable foreign currency effects compared to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4"/>
                <w:szCs w:val="14"/>
                <w:color w:val="auto"/>
              </w:rPr>
            </w:pPr>
          </w:p>
        </w:tc>
        <w:tc>
          <w:tcPr>
            <w:tcW w:w="98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334.3</w:t>
            </w:r>
          </w:p>
        </w:tc>
        <w:tc>
          <w:tcPr>
            <w:tcW w:w="19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698.6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105.1</w:t>
            </w:r>
          </w:p>
        </w:tc>
        <w:tc>
          <w:tcPr>
            <w:tcW w:w="1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27.1%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221.3</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i w:val="1"/>
                <w:iCs w:val="1"/>
                <w:color w:val="auto"/>
              </w:rPr>
              <w:t>2.7 pts</w:t>
            </w:r>
          </w:p>
        </w:tc>
        <w:tc>
          <w:tcPr>
            <w:tcW w:w="13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32.5 %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0.8 pts</w:t>
            </w:r>
          </w:p>
        </w:tc>
        <w:tc>
          <w:tcPr>
            <w:tcW w:w="0" w:type="dxa"/>
            <w:vAlign w:val="bottom"/>
          </w:tcPr>
          <w:p>
            <w:pPr>
              <w:spacing w:after="0"/>
              <w:rPr>
                <w:sz w:val="1"/>
                <w:szCs w:val="1"/>
                <w:color w:val="auto"/>
              </w:rPr>
            </w:pPr>
          </w:p>
        </w:tc>
      </w:tr>
      <w:tr>
        <w:trPr>
          <w:trHeight w:val="45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the change in Pool net sales from the prior period were as follows: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3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5.2 %</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7.5 %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17.1 and 7.5 percent increases in net sales for Pool in the second quarter and first half, respectively, of 2024 from 2023 were primarily driven by:</w:t>
      </w:r>
    </w:p>
    <w:p>
      <w:pPr>
        <w:spacing w:after="0" w:line="173"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volume due to higher demand compared to the prior year;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inflationary cost increases.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product line exit that occurred in the first half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40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660" w:type="dxa"/>
            <w:vAlign w:val="bottom"/>
          </w:tcPr>
          <w:p>
            <w:pPr>
              <w:spacing w:after="0"/>
              <w:rPr>
                <w:sz w:val="19"/>
                <w:szCs w:val="19"/>
                <w:color w:val="auto"/>
              </w:rPr>
            </w:pPr>
          </w:p>
        </w:tc>
        <w:tc>
          <w:tcPr>
            <w:tcW w:w="3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280" w:type="dxa"/>
            <w:vAlign w:val="bottom"/>
          </w:tcPr>
          <w:p>
            <w:pPr>
              <w:spacing w:after="0"/>
              <w:rPr>
                <w:sz w:val="19"/>
                <w:szCs w:val="19"/>
                <w:color w:val="auto"/>
              </w:rPr>
            </w:pPr>
          </w:p>
        </w:tc>
      </w:tr>
      <w:tr>
        <w:trPr>
          <w:trHeight w:val="238"/>
        </w:trPr>
        <w:tc>
          <w:tcPr>
            <w:tcW w:w="28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6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Growth/Price/Divestiture</w:t>
            </w:r>
          </w:p>
        </w:tc>
        <w:tc>
          <w:tcPr>
            <w:tcW w:w="4080" w:type="dxa"/>
            <w:vAlign w:val="bottom"/>
            <w:shd w:val="clear" w:color="auto" w:fill="CCEEFF"/>
          </w:tcPr>
          <w:p>
            <w:pPr>
              <w:jc w:val="center"/>
              <w:ind w:left="3570"/>
              <w:spacing w:after="0"/>
              <w:rPr>
                <w:sz w:val="20"/>
                <w:szCs w:val="20"/>
                <w:color w:val="auto"/>
              </w:rPr>
            </w:pPr>
            <w:r>
              <w:rPr>
                <w:rFonts w:ascii="Times New Roman" w:cs="Times New Roman" w:eastAsia="Times New Roman" w:hAnsi="Times New Roman"/>
                <w:sz w:val="18"/>
                <w:szCs w:val="18"/>
                <w:color w:val="auto"/>
                <w:w w:val="97"/>
              </w:rPr>
              <w:t>1.6</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34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080" w:type="dxa"/>
            <w:vAlign w:val="bottom"/>
          </w:tcPr>
          <w:p>
            <w:pPr>
              <w:jc w:val="center"/>
              <w:ind w:left="3530"/>
              <w:spacing w:after="0"/>
              <w:rPr>
                <w:sz w:val="20"/>
                <w:szCs w:val="20"/>
                <w:color w:val="auto"/>
              </w:rPr>
            </w:pPr>
            <w:r>
              <w:rPr>
                <w:rFonts w:ascii="Times New Roman" w:cs="Times New Roman" w:eastAsia="Times New Roman" w:hAnsi="Times New Roman"/>
                <w:sz w:val="18"/>
                <w:szCs w:val="18"/>
                <w:color w:val="auto"/>
                <w:w w:val="98"/>
              </w:rPr>
              <w:t>(2.1)</w:t>
            </w:r>
          </w:p>
        </w:tc>
        <w:tc>
          <w:tcPr>
            <w:tcW w:w="660" w:type="dxa"/>
            <w:vAlign w:val="bottom"/>
          </w:tcPr>
          <w:p>
            <w:pPr>
              <w:spacing w:after="0"/>
              <w:rPr>
                <w:sz w:val="19"/>
                <w:szCs w:val="19"/>
                <w:color w:val="auto"/>
              </w:rPr>
            </w:pPr>
          </w:p>
        </w:tc>
        <w:tc>
          <w:tcPr>
            <w:tcW w:w="334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w w:val="98"/>
              </w:rPr>
              <w:t>(1.9)</w:t>
            </w:r>
          </w:p>
        </w:tc>
        <w:tc>
          <w:tcPr>
            <w:tcW w:w="280" w:type="dxa"/>
            <w:vAlign w:val="bottom"/>
          </w:tcPr>
          <w:p>
            <w:pPr>
              <w:spacing w:after="0"/>
              <w:rPr>
                <w:sz w:val="19"/>
                <w:szCs w:val="19"/>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080" w:type="dxa"/>
            <w:vAlign w:val="bottom"/>
            <w:tcBorders>
              <w:bottom w:val="single" w:sz="8" w:color="auto"/>
            </w:tcBorders>
            <w:shd w:val="clear" w:color="auto" w:fill="CCEEFF"/>
          </w:tcPr>
          <w:p>
            <w:pPr>
              <w:jc w:val="center"/>
              <w:ind w:left="3570"/>
              <w:spacing w:after="0"/>
              <w:rPr>
                <w:sz w:val="20"/>
                <w:szCs w:val="20"/>
                <w:color w:val="auto"/>
              </w:rPr>
            </w:pPr>
            <w:r>
              <w:rPr>
                <w:rFonts w:ascii="Times New Roman" w:cs="Times New Roman" w:eastAsia="Times New Roman" w:hAnsi="Times New Roman"/>
                <w:sz w:val="18"/>
                <w:szCs w:val="18"/>
                <w:color w:val="auto"/>
                <w:w w:val="97"/>
              </w:rPr>
              <w:t>3.2</w:t>
            </w:r>
          </w:p>
        </w:tc>
        <w:tc>
          <w:tcPr>
            <w:tcW w:w="66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tcBorders>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bottom w:val="single" w:sz="8" w:color="auto"/>
            </w:tcBorders>
          </w:tcPr>
          <w:p>
            <w:pPr>
              <w:jc w:val="center"/>
              <w:ind w:left="3570"/>
              <w:spacing w:after="0"/>
              <w:rPr>
                <w:sz w:val="20"/>
                <w:szCs w:val="20"/>
                <w:color w:val="auto"/>
              </w:rPr>
            </w:pPr>
            <w:r>
              <w:rPr>
                <w:rFonts w:ascii="Times New Roman" w:cs="Times New Roman" w:eastAsia="Times New Roman" w:hAnsi="Times New Roman"/>
                <w:sz w:val="18"/>
                <w:szCs w:val="18"/>
                <w:color w:val="auto"/>
                <w:w w:val="97"/>
              </w:rPr>
              <w:t>2.7</w:t>
            </w: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340" w:type="dxa"/>
            <w:vAlign w:val="bottom"/>
            <w:tcBorders>
              <w:bottom w:val="single" w:sz="8" w:color="auto"/>
            </w:tcBorders>
          </w:tcPr>
          <w:p>
            <w:pPr>
              <w:jc w:val="center"/>
              <w:ind w:left="285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2.7 and 0.8 percentage point increases in segment income for Pool as a percentage of net sales in the second quarter and first half, respectively, of 2024 from 2023 were primarily driven by:</w:t>
      </w:r>
    </w:p>
    <w:p>
      <w:pPr>
        <w:spacing w:after="0" w:line="106"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productivity driven by manufacturing leverage and transformation initiatives;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impacts of inflation.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OF ORDERS BY SEGMENT</w:t>
            </w: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2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(247.4)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2024 net sales. The decrease in our overall backlog from December 31, 2023 was primarily driven by our backlog trending down to more historical levels as a result of increased manufacturing capacity and improved lead times within each of our reportable segments as well as delivery of orders associated with certain advance sale (“early buy”) programs within our Pool segment.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2024 and drew on our revolving credit facility to fund our operations. This cash usage reversed in the second quarter as the seasonality of our businesses peaked and generated significant cash to fund our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End-user demand for pool equipment in the Pool segment, water solution products in the Water Solutions segment, and residential water supply and agricultural products within the Flow segment follows warm weather trends, with seasonal highs from April to September.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tcPr>
          <w:p>
            <w:pPr>
              <w:spacing w:after="0"/>
              <w:rPr>
                <w:sz w:val="24"/>
                <w:szCs w:val="24"/>
                <w:color w:val="auto"/>
              </w:rPr>
            </w:pPr>
          </w:p>
        </w:tc>
        <w:tc>
          <w:tcPr>
            <w:tcW w:w="29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tcPr>
          <w:p>
            <w:pPr>
              <w:jc w:val="center"/>
              <w:ind w:left="4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540" w:type="dxa"/>
            <w:vAlign w:val="bottom"/>
          </w:tcPr>
          <w:p>
            <w:pPr>
              <w:spacing w:after="0"/>
              <w:rPr>
                <w:sz w:val="14"/>
                <w:szCs w:val="14"/>
                <w:color w:val="auto"/>
              </w:rPr>
            </w:pPr>
          </w:p>
        </w:tc>
        <w:tc>
          <w:tcPr>
            <w:tcW w:w="1200" w:type="dxa"/>
            <w:vAlign w:val="bottom"/>
          </w:tcPr>
          <w:p>
            <w:pPr>
              <w:jc w:val="center"/>
              <w:ind w:left="4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(351.1)</w:t>
            </w: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(276.0)</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in the first six months of 2024 primarily reflects net income from continuing operations, net of non-cash depreciation, definite-lived intangible amortization, share-based compensation and asset impairment, of $394.0 million. Additionally, we had a cash inflow of $15.4 million as a result of changes in net working capital, primarily due to lower inventory and increased accounts payable balances. The decrease in inventory was primarily related to supply chain efficiencies and improved lead times. The higher accounts payable balance was attributable to inventory purchases for our peak sales season.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in the first six months of 2023 primarily reflects net income from continuing operations, net of non-cash depreciation, definite-lived intangible amortization and asset impairment, of $344.2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in the first six months of 2024 primarily reflects capital expenditures of $36.3 million.</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six months of 2023 primarily reflects capital expenditures of $35.4 million, partially offset by proceeds from the sale of property and equipment of $5.0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2024 primarily relates to the repayment of $200.0 million term loans under the Senior Credit Facility, $37.5 million Term Loan Facility principal payments, dividend payments of $76.2 million and share repurchases of $50.0 million.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2023 primarily relates to net repayments of revolving long-term debt of $204.3 million and dividend payments of $72.5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0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During the second quarter of 2024, PFSA repaid $200.0 million of term loans under the Senior Credit Facility. The revolving credit facility has a maturity date of December 16, 2026.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total availability under the Senior Credit Facility was $900.0 million. In addition, PFSA has the option to request to increase the revolving credit facility and/or to enter into one or more tranches of term loans in an aggregate amount of up to $300.0 million, subject to customary conditions, including the commitment of the participating lenders.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$20.8 million, of which there were no outstanding borrowings at June 30, 2024. Borrowings under these credit facilities bear interest at variable rates.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$25.0 million of Term Loan Facility payments due in the next twelve months. We classified this debt as long-term as of June 30, 2024 as we have the intent and ability to refinance such obligation on a long-term basis under the revolving credit facility under the Senior Credit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$105.5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This authorization expires on December 31, 2025. During the three and six months ended June 30, 2024, we repurchased 0.6 million of our ordinary shares for $50.0 million. As of June 30, 2024, we had $550.0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6, 2024, the Board of Directors declared a quarterly cash dividend of $0.23 per share, payable on August 2, 2024 to shareholders of record at the close of business on July 19, 2024.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$38.1 million at June 30, 2024, compared to $38.0 million at December 31, 2023.</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in the first six months of 2024 of $76.2 million, or $0.46 per ordinary share compared with $72.5 million, or $0.44 per ordinary share, in the prior year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$6.9 billion as of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June 30, 2024 and December 31, 2023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bl>
    <w:p>
      <w:pPr>
        <w:ind w:left="200" w:hanging="174"/>
        <w:spacing w:after="0" w:line="206" w:lineRule="auto"/>
        <w:tabs>
          <w:tab w:leader="none" w:pos="2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 assets due from non-guarantor subsidiaries were included as of June 30, 2024 and December 31, 2023, respectively.</w:t>
      </w:r>
    </w:p>
    <w:p>
      <w:pPr>
        <w:spacing w:after="0" w:line="66"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assets due from non-guarantor subsidiaries of $2,554.2 million and $2,673.3 million as of June 30, 2024 and December 31, 2023,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$1,606.3 million and $1,583.6 million as of June 30, 2024 and December 31, 2023,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$155.8 million and $268.4 million as of June 30, 2024 and December 31, 2023,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2023,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2023.</w:t>
      </w:r>
    </w:p>
    <w:p>
      <w:pPr>
        <w:spacing w:after="0" w:line="1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June 30, 2024. For additional information refer to Item 7A of our Annual Report on Form 10-K for the year ended December 31, 2023.</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2024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2024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rFonts w:ascii="Times New Roman" w:cs="Times New Roman" w:eastAsia="Times New Roman" w:hAnsi="Times New Roman"/>
          <w:sz w:val="18"/>
          <w:szCs w:val="18"/>
          <w:b w:val="1"/>
          <w:bCs w:val="1"/>
          <w:color w:val="auto"/>
        </w:rPr>
      </w:pPr>
    </w:p>
    <w:p>
      <w:pPr>
        <w:ind w:left="42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second quarter of 2024: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2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9"/>
                <w:szCs w:val="19"/>
                <w:color w:val="auto"/>
              </w:rPr>
            </w:pPr>
          </w:p>
        </w:tc>
        <w:tc>
          <w:tcPr>
            <w:tcW w:w="1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3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 yet</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26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9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3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27</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83.71</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 May 25</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194,427</w:t>
            </w:r>
          </w:p>
        </w:tc>
        <w:tc>
          <w:tcPr>
            <w:tcW w:w="340" w:type="dxa"/>
            <w:vAlign w:val="bottom"/>
          </w:tcPr>
          <w:p>
            <w:pPr>
              <w:spacing w:after="0"/>
              <w:rPr>
                <w:sz w:val="19"/>
                <w:szCs w:val="19"/>
                <w:color w:val="auto"/>
              </w:rPr>
            </w:pP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83.86</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190,705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584,002,629</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 June 30</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429,728</w:t>
            </w: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79.26</w:t>
            </w:r>
          </w:p>
        </w:tc>
        <w:tc>
          <w:tcPr>
            <w:tcW w:w="2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429,001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550,002,247</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626,834</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619,706</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purchases in this column include 2,679 shares for the period April 1 - April 27, 3,722 shares for the period April 28 - May 25 and 727 shares for the period May 26 - June 30 deemed surrendered to us by participants in our equity incentive plans to satisfy the exercise price or withholding of tax obligations related to the exercise of stock options and vesting of restricted and performance shares.</w:t>
      </w:r>
    </w:p>
    <w:p>
      <w:pPr>
        <w:spacing w:after="0" w:line="13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3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0"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2020, the Board of Directors authorized the repurchase of our ordinary shares up to a maximum dollar limit of $750.0 million. This authorization expires on December 31, 2025. As of June 30, 2024, we had $550.0 million remaining availability for repurchases under this authorization. From time to time, we may enter into a Rule 10b5-1 trading plan for the purpose of repurchasing shares under this authorization.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340" w:hanging="332"/>
        <w:spacing w:after="0" w:line="282" w:lineRule="auto"/>
        <w:tabs>
          <w:tab w:leader="none" w:pos="3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none of our directors or Section 16 officers adopted or terminated a “Rule 10b5-1 trading arrangement” or “non-Rule 10b5-1 trading arrangement” (as each term is defined in Item 408(a) of Regulation S-K), except as set forth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(a)</w:t>
            </w:r>
          </w:p>
        </w:tc>
        <w:tc>
          <w:tcPr>
            <w:tcW w:w="18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4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6"/>
              </w:rPr>
              <w:t>Type of Trading</w:t>
            </w:r>
          </w:p>
        </w:tc>
        <w:tc>
          <w:tcPr>
            <w:tcW w:w="1860" w:type="dxa"/>
            <w:vAlign w:val="bottom"/>
          </w:tcPr>
          <w:p>
            <w:pPr>
              <w:jc w:val="center"/>
              <w:ind w:lef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Duration of Trading</w:t>
            </w:r>
          </w:p>
        </w:tc>
        <w:tc>
          <w:tcPr>
            <w:tcW w:w="28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Aggregate Number of Shares to be</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8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Rule 10b5-1 trading</w:t>
            </w:r>
          </w:p>
        </w:tc>
        <w:tc>
          <w:tcPr>
            <w:tcW w:w="1860" w:type="dxa"/>
            <w:vAlign w:val="bottom"/>
            <w:shd w:val="clear" w:color="auto" w:fill="CCEEFF"/>
          </w:tcPr>
          <w:p>
            <w:pPr>
              <w:spacing w:after="0"/>
              <w:rPr>
                <w:sz w:val="14"/>
                <w:szCs w:val="14"/>
                <w:color w:val="auto"/>
              </w:rPr>
            </w:pPr>
          </w:p>
        </w:tc>
        <w:tc>
          <w:tcPr>
            <w:tcW w:w="28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Up to 4,008 shares issuable upon the</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40" w:type="dxa"/>
            <w:vAlign w:val="bottom"/>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8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exercise of options to acquire shares</w:t>
            </w: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A. Jones, Director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04/30/2024</w:t>
            </w:r>
          </w:p>
        </w:tc>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arrangement</w:t>
            </w:r>
          </w:p>
        </w:tc>
        <w:tc>
          <w:tcPr>
            <w:tcW w:w="18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08/30/2024</w:t>
            </w:r>
          </w:p>
        </w:tc>
        <w:tc>
          <w:tcPr>
            <w:tcW w:w="2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pursuant to the trading arrangement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trading arrangement marked as a Rule 10b5-1 trading arrangement is intended to satisfy the affirmative defense of Rule 10b5-1(c).</w:t>
      </w:r>
    </w:p>
    <w:p>
      <w:pPr>
        <w:spacing w:after="0" w:line="180"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trading arrangement permits transactions through and including the earlier to occur of the completion of all sales under the trading arrangement or the date listed in the table.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June 30, 2024</w:t>
      </w:r>
    </w:p>
    <w:p>
      <w:pPr>
        <w:spacing w:after="0" w:line="337" w:lineRule="exact"/>
        <w:rPr>
          <w:sz w:val="20"/>
          <w:szCs w:val="20"/>
          <w:color w:val="auto"/>
        </w:rPr>
      </w:pPr>
    </w:p>
    <w:p>
      <w:pPr>
        <w:ind w:left="940" w:right="120" w:hanging="806"/>
        <w:spacing w:after="0" w:line="237" w:lineRule="auto"/>
        <w:tabs>
          <w:tab w:leader="none" w:pos="940" w:val="left"/>
        </w:tabs>
        <w:numPr>
          <w:ilvl w:val="0"/>
          <w:numId w:val="4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6"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31"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7" w:lineRule="auto"/>
        <w:tabs>
          <w:tab w:leader="none" w:pos="9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June 30, 2024 are filed herewith, formatted in iXBRL (Inline Extensible Business Reporting Language): (i) the Condensed Consolidated Statements of Operations and Comprehensive Income for the three and six months ended June 30, 2024 and 2023, (ii) the Condensed Consolidated Balance Sheets as of June 30, 2024 and December 31, 2023, (iii) the Condensed Consolidated Statements of Cash Flows for the six months ended June 30, 2024 and 2023, (iv) the Condensed Consolidated Statements of Changes in Equity for the three and six months ended June 30, 2024 and 2023, (v) Notes to Condensed Consolidated Financial Statements, and (vi) the information included in Part II, Item 5(c). The instance document does not appear in the interactive data file because its XBRL tags are embedded within the Inline XBRL document.</w:t>
      </w:r>
    </w:p>
    <w:p>
      <w:pPr>
        <w:spacing w:after="0" w:line="4" w:lineRule="exact"/>
        <w:rPr>
          <w:sz w:val="20"/>
          <w:szCs w:val="20"/>
          <w:color w:val="auto"/>
        </w:rPr>
      </w:pPr>
    </w:p>
    <w:p>
      <w:pPr>
        <w:ind w:left="940" w:hanging="793"/>
        <w:spacing w:after="0"/>
        <w:tabs>
          <w:tab w:leader="none" w:pos="9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2"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July 23, 2024.</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ind w:left="67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2024</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June 30, 2024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June 30, 2024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07" w:lineRule="exact"/>
        <w:rPr>
          <w:sz w:val="20"/>
          <w:szCs w:val="20"/>
          <w:color w:val="auto"/>
        </w:rPr>
      </w:pPr>
    </w:p>
    <w:p>
      <w:pPr>
        <w:ind w:left="720" w:hanging="388"/>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0"/>
    </w:lvl>
  </w:abstractNum>
  <w:abstractNum w:abstractNumId="9">
    <w:nsid w:val="6CEAF087"/>
    <w:multiLevelType w:val="hybridMultilevel"/>
    <w:lvl w:ilvl="0">
      <w:lvlJc w:val="left"/>
      <w:lvlText w:val="•"/>
      <w:numFmt w:val="bullet"/>
      <w:start w:val="1"/>
    </w:lvl>
    <w:lvl w:ilvl="1">
      <w:lvlJc w:val="left"/>
      <w:lvlText w:val="•"/>
      <w:numFmt w:val="bullet"/>
      <w:start w:val="1"/>
    </w:lvl>
  </w:abstractNum>
  <w:abstractNum w:abstractNumId="10">
    <w:nsid w:val="22221A70"/>
    <w:multiLevelType w:val="hybridMultilevel"/>
    <w:lvl w:ilvl="0">
      <w:lvlJc w:val="left"/>
      <w:lvlText w:val="%1."/>
      <w:numFmt w:val="decimal"/>
      <w:start w:val="11"/>
    </w:lvl>
  </w:abstractNum>
  <w:abstractNum w:abstractNumId="11">
    <w:nsid w:val="4516DDE9"/>
    <w:multiLevelType w:val="hybridMultilevel"/>
    <w:lvl w:ilvl="0">
      <w:lvlJc w:val="left"/>
      <w:lvlText w:val="%1."/>
      <w:numFmt w:val="decimal"/>
      <w:start w:val="13"/>
    </w:lvl>
  </w:abstractNum>
  <w:abstractNum w:abstractNumId="12">
    <w:nsid w:val="3006C83E"/>
    <w:multiLevelType w:val="hybridMultilevel"/>
    <w:lvl w:ilvl="0">
      <w:lvlJc w:val="left"/>
      <w:lvlText w:val="%1."/>
      <w:numFmt w:val="decimal"/>
      <w:start w:val="15"/>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lvl w:ilvl="1">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22"/>
    </w:lvl>
  </w:abstractNum>
  <w:abstractNum w:abstractNumId="48">
    <w:nsid w:val="79A1DEAA"/>
    <w:multiLevelType w:val="hybridMultilevel"/>
    <w:lvl w:ilvl="0">
      <w:lvlJc w:val="left"/>
      <w:lvlText w:val="%1"/>
      <w:numFmt w:val="decimal"/>
      <w:start w:val="101"/>
    </w:lvl>
  </w:abstractNum>
  <w:abstractNum w:abstractNumId="49">
    <w:nsid w:val="75C6C33A"/>
    <w:multiLevelType w:val="hybridMultilevel"/>
    <w:lvl w:ilvl="0">
      <w:lvlJc w:val="left"/>
      <w:lvlText w:val="%1"/>
      <w:numFmt w:val="decimal"/>
      <w:start w:val="10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2024-07-23T15:52:07Z</dcterms:created>
  <dcterms:modified xsi:type="dcterms:W3CDTF">2024-07-23T15:52:07Z</dcterms:modified>
</cp:coreProperties>
</file>