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Fishman Robert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5500 WAYZATA BOULEVARD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GOLDEN VALLEY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07/14/2026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PENTAIR plc</w:t>
              </w:r>
            </w:hyperlink>
            <w:r>
              <w:rPr/>
              <w:t xml:space="preserve"> [ </w:t>
            </w:r>
            <w:r>
              <w:rPr>
                <w:rFonts w:ascii="Times;serif" w:hAnsi="Times;serif"/>
                <w:color w:val="0000FF"/>
                <w:sz w:val="24"/>
                <w:shd w:fill="FFFFFF" w:val="clear"/>
              </w:rPr>
              <w:t>PNR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EVP and CFO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3"/>
        <w:gridCol w:w="1959"/>
        <w:gridCol w:w="1162"/>
        <w:gridCol w:w="265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83,492</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 Restricted Stock Units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5,296.894</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01/04/2031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26,022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18,853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27,878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17,696</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12,591</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is presently exercisable in full.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stock options become exercisable on the first, second and third anniversary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K. Wilson, Attorney-in-Fact for Robert P. Fishman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0" w:after="240"/>
        <w:jc w:val="center"/>
        <w:rPr>
          <w:b/>
          <w:caps/>
          <w:sz w:val="22"/>
        </w:rPr>
      </w:pPr>
      <w:bookmarkStart w:id="2" w:name="sec16poa-fishman.htm"/>
      <w:bookmarkStart w:id="3" w:name="kssec16poafishman"/>
      <w:bookmarkEnd w:id="2"/>
      <w:bookmarkEnd w:id="3"/>
      <w:r>
        <w:rPr>
          <w:b/>
          <w:caps/>
          <w:sz w:val="22"/>
        </w:rPr>
        <w:t xml:space="preserve">POWER OF ATTORNEY </w:t>
      </w:r>
      <w:r>
        <w:br w:type="page"/>
      </w:r>
    </w:p>
    <w:p>
      <w:pPr>
        <w:pStyle w:val="TextBody"/>
        <w:bidi w:val="0"/>
        <w:spacing w:before="0" w:after="240"/>
        <w:ind w:left="0" w:right="0" w:firstLine="720"/>
        <w:jc w:val="both"/>
        <w:rPr>
          <w:sz w:val="22"/>
        </w:rPr>
      </w:pPr>
      <w:r>
        <w:rPr>
          <w:sz w:val="22"/>
        </w:rPr>
        <w:t xml:space="preserve">Know all by these presents, that, for good and valuable consideration, the sufficiency and receipt of which are hereby acknowledged, the undersigned hereby constitutes and appoints each of Lance T Bonner, Mandi Crane, John K. Wilson, Catherine M. Walker and Tiffany R. Diggins, and any of their substitutes, signing singly, the undersigned’s true and lawful attorney-in-fact to: </w:t>
      </w:r>
    </w:p>
    <w:p>
      <w:pPr>
        <w:pStyle w:val="TextBody"/>
        <w:bidi w:val="0"/>
        <w:spacing w:before="0" w:after="240"/>
        <w:ind w:left="721" w:right="0" w:hanging="0"/>
        <w:jc w:val="left"/>
        <w:rPr>
          <w:sz w:val="22"/>
        </w:rPr>
      </w:pPr>
      <w:r>
        <w:rPr>
          <w:sz w:val="24"/>
        </w:rPr>
        <w:t>(1)</w:t>
      </w:r>
      <w:r>
        <w:rPr>
          <w:sz w:val="22"/>
        </w:rPr>
        <w:t xml:space="preserve"> </w:t>
      </w:r>
    </w:p>
    <w:p>
      <w:pPr>
        <w:pStyle w:val="TextBody"/>
        <w:bidi w:val="0"/>
        <w:spacing w:before="0" w:after="240"/>
        <w:ind w:left="720" w:right="0" w:hanging="0"/>
        <w:jc w:val="both"/>
        <w:rPr>
          <w:sz w:val="22"/>
        </w:rPr>
      </w:pPr>
      <w:r>
        <w:rPr>
          <w:sz w:val="22"/>
        </w:rPr>
        <w:t xml:space="preserve">execute for and on behalf of the undersigned (in accordance with Section 16(a) of the Securities Exchange Act of 1934, as amended, and the rules thereunder (the “Exchange Act”)), in the undersigned’s capacity as an officer and/or director of Pentair plc, a public limited company organized under the laws of Ireland (the “Company”), any and all Forms 3, 4 and/or 5, and any amendments thereto, that are necessary or advisable for the undersigned to file under Section 16(a) (collectively, “Documents”); </w:t>
      </w:r>
    </w:p>
    <w:p>
      <w:pPr>
        <w:pStyle w:val="TextBody"/>
        <w:bidi w:val="0"/>
        <w:spacing w:before="0" w:after="240"/>
        <w:ind w:left="721" w:right="0" w:hanging="0"/>
        <w:jc w:val="left"/>
        <w:rPr>
          <w:sz w:val="22"/>
        </w:rPr>
      </w:pPr>
      <w:r>
        <w:rPr>
          <w:sz w:val="24"/>
        </w:rPr>
        <w:t>(2)</w:t>
      </w:r>
      <w:r>
        <w:rPr>
          <w:sz w:val="22"/>
        </w:rPr>
        <w:t xml:space="preserve"> </w:t>
      </w:r>
    </w:p>
    <w:p>
      <w:pPr>
        <w:pStyle w:val="TextBody"/>
        <w:bidi w:val="0"/>
        <w:spacing w:before="0" w:after="240"/>
        <w:ind w:left="720" w:right="0" w:hanging="0"/>
        <w:jc w:val="both"/>
        <w:rPr>
          <w:sz w:val="22"/>
        </w:rPr>
      </w:pPr>
      <w:r>
        <w:rPr>
          <w:sz w:val="22"/>
        </w:rPr>
        <w:t xml:space="preserve">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including completing and executing a Uniform Application for Access Codes to File on EDGAR on Form ID and to act as Account Administrators to manage the Company’s EDGAR account, as set forth in Part 6 of the Form ID EDGAR application; and </w:t>
      </w:r>
    </w:p>
    <w:p>
      <w:pPr>
        <w:pStyle w:val="TextBody"/>
        <w:bidi w:val="0"/>
        <w:spacing w:before="0" w:after="240"/>
        <w:ind w:left="721" w:right="0" w:hanging="0"/>
        <w:jc w:val="left"/>
        <w:rPr>
          <w:sz w:val="22"/>
        </w:rPr>
      </w:pPr>
      <w:r>
        <w:rPr>
          <w:sz w:val="24"/>
        </w:rPr>
        <w:t>(3)</w:t>
      </w:r>
      <w:r>
        <w:rPr>
          <w:sz w:val="22"/>
        </w:rPr>
        <w:t xml:space="preserve"> </w:t>
      </w:r>
    </w:p>
    <w:p>
      <w:pPr>
        <w:pStyle w:val="TextBody"/>
        <w:bidi w:val="0"/>
        <w:spacing w:before="0" w:after="240"/>
        <w:ind w:left="720" w:right="0" w:hanging="0"/>
        <w:jc w:val="both"/>
        <w:rPr>
          <w:sz w:val="22"/>
        </w:rPr>
      </w:pPr>
      <w:r>
        <w:rPr>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240"/>
        <w:ind w:left="0" w:right="0" w:firstLine="720"/>
        <w:jc w:val="both"/>
        <w:rPr>
          <w:sz w:val="22"/>
        </w:rPr>
      </w:pPr>
      <w:r>
        <w:rPr>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w:t>
      </w:r>
    </w:p>
    <w:p>
      <w:pPr>
        <w:pStyle w:val="TextBody"/>
        <w:bidi w:val="0"/>
        <w:spacing w:before="0" w:after="240"/>
        <w:ind w:left="0" w:right="0" w:firstLine="720"/>
        <w:jc w:val="both"/>
        <w:rPr>
          <w:sz w:val="22"/>
        </w:rPr>
      </w:pPr>
      <w:r>
        <w:rPr>
          <w:sz w:val="22"/>
        </w:rPr>
        <w:t xml:space="preserve">This Power of Attorney revokes any power of attorney previously executed by the undersigned with respect to the foregoing subject matter.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 </w:t>
      </w:r>
    </w:p>
    <w:p>
      <w:pPr>
        <w:pStyle w:val="HorizontalLine"/>
        <w:pBdr>
          <w:bottom w:val="double" w:sz="2" w:space="0" w:color="808080"/>
        </w:pBdr>
        <w:bidi w:val="0"/>
        <w:spacing w:before="0" w:after="283"/>
        <w:jc w:val="left"/>
        <w:rPr/>
      </w:pPr>
      <w:r>
        <w:rPr/>
      </w:r>
    </w:p>
    <w:p>
      <w:pPr>
        <w:pStyle w:val="TextBody"/>
        <w:bidi w:val="0"/>
        <w:spacing w:before="0" w:after="480"/>
        <w:ind w:left="0" w:right="0" w:firstLine="720"/>
        <w:jc w:val="both"/>
        <w:rPr>
          <w:sz w:val="22"/>
        </w:rPr>
      </w:pPr>
      <w:r>
        <w:rPr>
          <w:b/>
          <w:sz w:val="22"/>
        </w:rPr>
        <w:t>IN WITNESS WHEREOF</w:t>
      </w:r>
      <w:r>
        <w:rPr>
          <w:sz w:val="22"/>
        </w:rPr>
        <w:t xml:space="preserve">, the undersigned has caused this Power of Attorney to be executed as of this 14th day of July, 2026 </w:t>
      </w:r>
    </w:p>
    <w:p>
      <w:pPr>
        <w:pStyle w:val="TextBody"/>
        <w:bidi w:val="0"/>
        <w:spacing w:before="0" w:after="0"/>
        <w:ind w:left="0" w:right="0" w:firstLine="4320"/>
        <w:jc w:val="left"/>
        <w:rPr/>
      </w:pPr>
      <w:r>
        <w:rPr>
          <w:sz w:val="22"/>
          <w:u w:val="single"/>
        </w:rPr>
        <w:t>/s/ Robert P. Fishman</w:t>
      </w:r>
      <w:r>
        <w:rPr/>
        <w:t xml:space="preserve"> </w:t>
      </w:r>
    </w:p>
    <w:p>
      <w:pPr>
        <w:pStyle w:val="TextBody"/>
        <w:bidi w:val="0"/>
        <w:spacing w:before="0" w:after="240"/>
        <w:ind w:left="4320" w:right="0" w:hanging="0"/>
        <w:jc w:val="left"/>
        <w:rPr/>
      </w:pPr>
      <w:r>
        <w:rPr>
          <w:sz w:val="22"/>
        </w:rPr>
        <w:t>Robert P. Fishman</w:t>
      </w: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99744" TargetMode="External"/><Relationship Id="rId3" Type="http://schemas.openxmlformats.org/officeDocument/2006/relationships/hyperlink" Target="http://www.sec.gov/cgi-bin/browse-edgar?action=getcompany&amp;CIK=000007736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1093</Words>
  <Characters>5849</Characters>
  <CharactersWithSpaces>6871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