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4" w:lineRule="exact"/>
        <w:rPr>
          <w:sz w:val="24"/>
          <w:szCs w:val="24"/>
          <w:color w:val="auto"/>
        </w:rPr>
      </w:pPr>
    </w:p>
    <w:p>
      <w:pPr>
        <w:ind w:left="1160" w:hanging="1125"/>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11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2020</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jc w:val="center"/>
        <w:ind w:left="4300" w:right="1380" w:hanging="4265"/>
        <w:spacing w:after="0" w:line="274" w:lineRule="auto"/>
        <w:tabs>
          <w:tab w:leader="none" w:pos="11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7760" w:type="dxa"/>
            <w:vAlign w:val="bottom"/>
            <w:tcBorders>
              <w:top w:val="single" w:sz="8" w:color="auto"/>
            </w:tcBorders>
            <w:gridSpan w:val="3"/>
          </w:tcPr>
          <w:p>
            <w:pPr>
              <w:ind w:left="362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33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r>
      <w:tr>
        <w:trPr>
          <w:trHeight w:val="360"/>
        </w:trPr>
        <w:tc>
          <w:tcPr>
            <w:tcW w:w="43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Ireland</w:t>
            </w:r>
          </w:p>
        </w:tc>
        <w:tc>
          <w:tcPr>
            <w:tcW w:w="1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0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c>
          <w:tcPr>
            <w:tcW w:w="180" w:type="dxa"/>
            <w:vAlign w:val="bottom"/>
          </w:tcPr>
          <w:p>
            <w:pPr>
              <w:spacing w:after="0"/>
              <w:rPr>
                <w:sz w:val="24"/>
                <w:szCs w:val="24"/>
                <w:color w:val="auto"/>
              </w:rPr>
            </w:pPr>
          </w:p>
        </w:tc>
      </w:tr>
      <w:tr>
        <w:trPr>
          <w:trHeight w:val="27"/>
        </w:trPr>
        <w:tc>
          <w:tcPr>
            <w:tcW w:w="5860" w:type="dxa"/>
            <w:vAlign w:val="bottom"/>
            <w:tcBorders>
              <w:bottom w:val="single" w:sz="8" w:color="auto"/>
            </w:tcBorders>
            <w:gridSpan w:val="2"/>
          </w:tcPr>
          <w:p>
            <w:pPr>
              <w:spacing w:after="0"/>
              <w:rPr>
                <w:sz w:val="2"/>
                <w:szCs w:val="2"/>
                <w:color w:val="auto"/>
              </w:rPr>
            </w:pPr>
          </w:p>
        </w:tc>
        <w:tc>
          <w:tcPr>
            <w:tcW w:w="52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86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38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360" w:type="dxa"/>
            <w:vAlign w:val="bottom"/>
          </w:tcPr>
          <w:p>
            <w:pPr>
              <w:ind w:left="1660"/>
              <w:spacing w:after="0"/>
              <w:rPr>
                <w:sz w:val="20"/>
                <w:szCs w:val="20"/>
                <w:color w:val="auto"/>
              </w:rPr>
            </w:pPr>
            <w:r>
              <w:rPr>
                <w:rFonts w:ascii="Arial" w:cs="Arial" w:eastAsia="Arial" w:hAnsi="Arial"/>
                <w:sz w:val="18"/>
                <w:szCs w:val="18"/>
                <w:b w:val="1"/>
                <w:bCs w:val="1"/>
                <w:color w:val="auto"/>
              </w:rPr>
              <w:t>Regal House, 70 London Road,</w:t>
            </w:r>
          </w:p>
        </w:tc>
        <w:tc>
          <w:tcPr>
            <w:tcW w:w="1500" w:type="dxa"/>
            <w:vAlign w:val="bottom"/>
          </w:tcPr>
          <w:p>
            <w:pPr>
              <w:ind w:left="300"/>
              <w:spacing w:after="0"/>
              <w:rPr>
                <w:sz w:val="20"/>
                <w:szCs w:val="20"/>
                <w:color w:val="auto"/>
              </w:rPr>
            </w:pPr>
            <w:r>
              <w:rPr>
                <w:rFonts w:ascii="Arial" w:cs="Arial" w:eastAsia="Arial" w:hAnsi="Arial"/>
                <w:sz w:val="18"/>
                <w:szCs w:val="18"/>
                <w:b w:val="1"/>
                <w:bCs w:val="1"/>
                <w:color w:val="auto"/>
              </w:rPr>
              <w:t>Twickenham,</w:t>
            </w: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rPr>
              <w:t>London,  TW13QS</w:t>
            </w:r>
          </w:p>
        </w:tc>
        <w:tc>
          <w:tcPr>
            <w:tcW w:w="3480" w:type="dxa"/>
            <w:vAlign w:val="bottom"/>
            <w:gridSpan w:val="2"/>
          </w:tcPr>
          <w:p>
            <w:pPr>
              <w:ind w:left="140"/>
              <w:spacing w:after="0"/>
              <w:rPr>
                <w:sz w:val="20"/>
                <w:szCs w:val="20"/>
                <w:color w:val="auto"/>
              </w:rPr>
            </w:pPr>
            <w:r>
              <w:rPr>
                <w:rFonts w:ascii="Arial" w:cs="Arial" w:eastAsia="Arial" w:hAnsi="Arial"/>
                <w:sz w:val="18"/>
                <w:szCs w:val="18"/>
                <w:b w:val="1"/>
                <w:bCs w:val="1"/>
                <w:color w:val="auto"/>
              </w:rPr>
              <w:t>United Kingdom</w:t>
            </w:r>
          </w:p>
        </w:tc>
      </w:tr>
      <w:tr>
        <w:trPr>
          <w:trHeight w:val="27"/>
        </w:trPr>
        <w:tc>
          <w:tcPr>
            <w:tcW w:w="7760" w:type="dxa"/>
            <w:vAlign w:val="bottom"/>
            <w:tcBorders>
              <w:bottom w:val="single" w:sz="8" w:color="auto"/>
            </w:tcBorders>
            <w:gridSpan w:val="3"/>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760" w:type="dxa"/>
            <w:vAlign w:val="bottom"/>
            <w:gridSpan w:val="3"/>
          </w:tcPr>
          <w:p>
            <w:pPr>
              <w:ind w:left="4000"/>
              <w:spacing w:after="0"/>
              <w:rPr>
                <w:sz w:val="20"/>
                <w:szCs w:val="20"/>
                <w:color w:val="auto"/>
              </w:rPr>
            </w:pPr>
            <w:r>
              <w:rPr>
                <w:rFonts w:ascii="Arial" w:cs="Arial" w:eastAsia="Arial" w:hAnsi="Arial"/>
                <w:sz w:val="18"/>
                <w:szCs w:val="18"/>
                <w:color w:val="auto"/>
              </w:rPr>
              <w:t>(Address of principal executive offices)</w:t>
            </w:r>
          </w:p>
        </w:tc>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78"/>
        </w:trPr>
        <w:tc>
          <w:tcPr>
            <w:tcW w:w="4800" w:type="dxa"/>
            <w:vAlign w:val="bottom"/>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8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52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60" w:type="dxa"/>
            <w:vAlign w:val="bottom"/>
          </w:tcPr>
          <w:p>
            <w:pPr>
              <w:spacing w:after="0"/>
              <w:rPr>
                <w:sz w:val="18"/>
                <w:szCs w:val="18"/>
                <w:color w:val="auto"/>
              </w:rPr>
            </w:pP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Non-accelerated filer</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March 31, 2020, 165,725,188 shares of Registrant’s common stock were outstanding.</w:t>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1480"/>
              <w:spacing w:after="0"/>
              <w:rPr>
                <w:sz w:val="20"/>
                <w:szCs w:val="20"/>
                <w:color w:val="auto"/>
              </w:rPr>
            </w:pPr>
            <w:r>
              <w:rPr>
                <w:rFonts w:ascii="Arial" w:cs="Arial" w:eastAsia="Arial" w:hAnsi="Arial"/>
                <w:sz w:val="18"/>
                <w:szCs w:val="18"/>
                <w:b w:val="1"/>
                <w:bCs w:val="1"/>
                <w:color w:val="auto"/>
              </w:rPr>
              <w:t>Pentair plc and Subsidiaries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28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3"/>
            <w:vMerge w:val="continue"/>
          </w:tcPr>
          <w:p>
            <w:pPr>
              <w:spacing w:after="0"/>
              <w:rPr>
                <w:sz w:val="24"/>
                <w:szCs w:val="24"/>
                <w:color w:val="auto"/>
              </w:rPr>
            </w:pPr>
          </w:p>
        </w:tc>
        <w:tc>
          <w:tcPr>
            <w:tcW w:w="72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and Comprehensive Income</w:t>
              </w:r>
            </w:hyperlink>
          </w:p>
        </w:tc>
        <w:tc>
          <w:tcPr>
            <w:tcW w:w="90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w:t>
              </w:r>
            </w:hyperlink>
          </w:p>
        </w:tc>
        <w:tc>
          <w:tcPr>
            <w:tcW w:w="90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900" w:type="dxa"/>
            <w:vAlign w:val="bottom"/>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Equity</w:t>
              </w:r>
            </w:hyperlink>
          </w:p>
        </w:tc>
        <w:tc>
          <w:tcPr>
            <w:tcW w:w="900" w:type="dxa"/>
            <w:vAlign w:val="bottom"/>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900" w:type="dxa"/>
            <w:vAlign w:val="bottom"/>
          </w:tcPr>
          <w:p>
            <w:pPr>
              <w:ind w:left="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0"/>
                <w:szCs w:val="20"/>
                <w:color w:val="auto"/>
              </w:rPr>
            </w:pPr>
            <w:r>
              <w:rPr>
                <w:rFonts w:ascii="Arial" w:cs="Arial" w:eastAsia="Arial" w:hAnsi="Arial"/>
                <w:sz w:val="18"/>
                <w:szCs w:val="18"/>
                <w:color w:val="auto"/>
              </w:rPr>
              <w:t>ITEM 2.</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900" w:type="dxa"/>
            <w:vAlign w:val="bottom"/>
          </w:tcPr>
          <w:p>
            <w:pPr>
              <w:ind w:left="4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0"/>
                <w:szCs w:val="20"/>
                <w:color w:val="auto"/>
              </w:rPr>
            </w:pPr>
            <w:r>
              <w:rPr>
                <w:rFonts w:ascii="Arial" w:cs="Arial" w:eastAsia="Arial" w:hAnsi="Arial"/>
                <w:sz w:val="18"/>
                <w:szCs w:val="18"/>
                <w:color w:val="auto"/>
              </w:rPr>
              <w:t>ITEM 3.</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Quantitative and Qualitative Disclosures about Market Risk</w:t>
              </w:r>
            </w:hyperlink>
          </w:p>
        </w:tc>
        <w:tc>
          <w:tcPr>
            <w:tcW w:w="900" w:type="dxa"/>
            <w:vAlign w:val="bottom"/>
          </w:tcPr>
          <w:p>
            <w:pPr>
              <w:ind w:left="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8"/>
                <w:szCs w:val="18"/>
                <w:color w:val="auto"/>
              </w:rPr>
              <w:t>ITEM 4.</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Controls and Procedures</w:t>
              </w:r>
            </w:hyperlink>
          </w:p>
        </w:tc>
        <w:tc>
          <w:tcPr>
            <w:tcW w:w="900" w:type="dxa"/>
            <w:vAlign w:val="bottom"/>
          </w:tcPr>
          <w:p>
            <w:pPr>
              <w:ind w:left="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351"/>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5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Proceedings</w:t>
              </w:r>
            </w:hyperlink>
          </w:p>
        </w:tc>
        <w:tc>
          <w:tcPr>
            <w:tcW w:w="900" w:type="dxa"/>
            <w:vAlign w:val="bottom"/>
          </w:tcPr>
          <w:p>
            <w:pPr>
              <w:ind w:left="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8"/>
                <w:szCs w:val="18"/>
                <w:color w:val="auto"/>
              </w:rPr>
              <w:t>ITEM 1A.</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Risk Factors</w:t>
              </w:r>
            </w:hyperlink>
          </w:p>
        </w:tc>
        <w:tc>
          <w:tcPr>
            <w:tcW w:w="900" w:type="dxa"/>
            <w:vAlign w:val="bottom"/>
          </w:tcPr>
          <w:p>
            <w:pPr>
              <w:ind w:left="4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0"/>
                <w:szCs w:val="20"/>
                <w:color w:val="auto"/>
              </w:rPr>
            </w:pPr>
            <w:r>
              <w:rPr>
                <w:rFonts w:ascii="Arial" w:cs="Arial" w:eastAsia="Arial" w:hAnsi="Arial"/>
                <w:sz w:val="18"/>
                <w:szCs w:val="18"/>
                <w:color w:val="auto"/>
              </w:rPr>
              <w:t>ITEM 2.</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900" w:type="dxa"/>
            <w:vAlign w:val="bottom"/>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391"/>
        </w:trPr>
        <w:tc>
          <w:tcPr>
            <w:tcW w:w="1440" w:type="dxa"/>
            <w:vAlign w:val="bottom"/>
          </w:tcPr>
          <w:p>
            <w:pPr>
              <w:spacing w:after="0"/>
              <w:rPr>
                <w:sz w:val="20"/>
                <w:szCs w:val="20"/>
                <w:color w:val="auto"/>
              </w:rPr>
            </w:pPr>
            <w:r>
              <w:rPr>
                <w:rFonts w:ascii="Arial" w:cs="Arial" w:eastAsia="Arial" w:hAnsi="Arial"/>
                <w:sz w:val="18"/>
                <w:szCs w:val="18"/>
                <w:color w:val="auto"/>
              </w:rPr>
              <w:t>ITEM 6.</w:t>
            </w: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w:t>
              </w:r>
            </w:hyperlink>
          </w:p>
        </w:tc>
        <w:tc>
          <w:tcPr>
            <w:tcW w:w="900" w:type="dxa"/>
            <w:vAlign w:val="bottom"/>
          </w:tcPr>
          <w:p>
            <w:pPr>
              <w:ind w:left="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860" w:type="dxa"/>
            <w:vAlign w:val="bottom"/>
            <w:gridSpan w:val="3"/>
          </w:tcPr>
          <w:p>
            <w:pPr>
              <w:ind w:left="70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Signatures</w:t>
              </w:r>
            </w:hyperlink>
          </w:p>
        </w:tc>
        <w:tc>
          <w:tcPr>
            <w:tcW w:w="90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837"/>
        </w:trPr>
        <w:tc>
          <w:tcPr>
            <w:tcW w:w="1440" w:type="dxa"/>
            <w:vAlign w:val="bottom"/>
          </w:tcPr>
          <w:p>
            <w:pPr>
              <w:spacing w:after="0"/>
              <w:rPr>
                <w:sz w:val="24"/>
                <w:szCs w:val="24"/>
                <w:color w:val="auto"/>
              </w:rPr>
            </w:pPr>
          </w:p>
        </w:tc>
        <w:tc>
          <w:tcPr>
            <w:tcW w:w="8860" w:type="dxa"/>
            <w:vAlign w:val="bottom"/>
            <w:gridSpan w:val="3"/>
          </w:tcPr>
          <w:p>
            <w:pPr>
              <w:ind w:left="410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76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2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688.9</w:t>
            </w:r>
          </w:p>
        </w:tc>
      </w:tr>
      <w:tr>
        <w:trPr>
          <w:trHeight w:val="223"/>
        </w:trPr>
        <w:tc>
          <w:tcPr>
            <w:tcW w:w="87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458.4</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453.3</w:t>
            </w:r>
          </w:p>
        </w:tc>
      </w:tr>
      <w:tr>
        <w:trPr>
          <w:trHeight w:val="33"/>
        </w:trPr>
        <w:tc>
          <w:tcPr>
            <w:tcW w:w="8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235.6</w:t>
            </w:r>
          </w:p>
        </w:tc>
      </w:tr>
      <w:tr>
        <w:trPr>
          <w:trHeight w:val="224"/>
        </w:trPr>
        <w:tc>
          <w:tcPr>
            <w:tcW w:w="87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131.9</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147.3</w:t>
            </w: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2"/>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r>
      <w:tr>
        <w:trPr>
          <w:trHeight w:val="21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w:t>
            </w: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3"/>
        </w:trPr>
        <w:tc>
          <w:tcPr>
            <w:tcW w:w="8760" w:type="dxa"/>
            <w:vAlign w:val="bottom"/>
          </w:tcPr>
          <w:p>
            <w:pPr>
              <w:ind w:left="40"/>
              <w:spacing w:after="0"/>
              <w:rPr>
                <w:sz w:val="20"/>
                <w:szCs w:val="20"/>
                <w:color w:val="auto"/>
              </w:rPr>
            </w:pPr>
            <w:r>
              <w:rPr>
                <w:rFonts w:ascii="Arial" w:cs="Arial" w:eastAsia="Arial" w:hAnsi="Arial"/>
                <w:sz w:val="16"/>
                <w:szCs w:val="16"/>
                <w:color w:val="auto"/>
              </w:rPr>
              <w:t>Gain on sale of businesses</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24"/>
        </w:trPr>
        <w:tc>
          <w:tcPr>
            <w:tcW w:w="876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8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r>
      <w:tr>
        <w:trPr>
          <w:trHeight w:val="224"/>
        </w:trPr>
        <w:tc>
          <w:tcPr>
            <w:tcW w:w="87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8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r>
      <w:tr>
        <w:trPr>
          <w:trHeight w:val="223"/>
        </w:trPr>
        <w:tc>
          <w:tcPr>
            <w:tcW w:w="87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0"/>
        </w:trPr>
        <w:tc>
          <w:tcPr>
            <w:tcW w:w="8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7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net of tax</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23"/>
        </w:trPr>
        <w:tc>
          <w:tcPr>
            <w:tcW w:w="8760" w:type="dxa"/>
            <w:vAlign w:val="bottom"/>
          </w:tcPr>
          <w:p>
            <w:pPr>
              <w:ind w:left="40"/>
              <w:spacing w:after="0"/>
              <w:rPr>
                <w:sz w:val="20"/>
                <w:szCs w:val="20"/>
                <w:color w:val="auto"/>
              </w:rPr>
            </w:pPr>
            <w:r>
              <w:rPr>
                <w:rFonts w:ascii="Arial" w:cs="Arial" w:eastAsia="Arial" w:hAnsi="Arial"/>
                <w:sz w:val="16"/>
                <w:szCs w:val="16"/>
                <w:color w:val="auto"/>
              </w:rPr>
              <w:t>Changes in cumulative translation adjustment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2"/>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market value of derivative 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1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w:t>
            </w:r>
          </w:p>
        </w:tc>
      </w:tr>
      <w:tr>
        <w:trPr>
          <w:trHeight w:val="73"/>
        </w:trPr>
        <w:tc>
          <w:tcPr>
            <w:tcW w:w="87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(loss) per ordinary share</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Basic</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r>
      <w:tr>
        <w:trPr>
          <w:trHeight w:val="223"/>
        </w:trPr>
        <w:tc>
          <w:tcPr>
            <w:tcW w:w="87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8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ordinary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0"/>
        </w:trPr>
        <w:tc>
          <w:tcPr>
            <w:tcW w:w="8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Diluted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23"/>
        </w:trPr>
        <w:tc>
          <w:tcPr>
            <w:tcW w:w="876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ordinary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r>
      <w:tr>
        <w:trPr>
          <w:trHeight w:val="20"/>
        </w:trPr>
        <w:tc>
          <w:tcPr>
            <w:tcW w:w="8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760" w:type="dxa"/>
            <w:vAlign w:val="bottom"/>
          </w:tcPr>
          <w:p>
            <w:pPr>
              <w:ind w:left="40"/>
              <w:spacing w:after="0"/>
              <w:rPr>
                <w:sz w:val="20"/>
                <w:szCs w:val="20"/>
                <w:color w:val="auto"/>
              </w:rPr>
            </w:pPr>
            <w:r>
              <w:rPr>
                <w:rFonts w:ascii="Arial" w:cs="Arial" w:eastAsia="Arial" w:hAnsi="Arial"/>
                <w:sz w:val="16"/>
                <w:szCs w:val="16"/>
                <w:b w:val="1"/>
                <w:bCs w:val="1"/>
                <w:color w:val="auto"/>
              </w:rPr>
              <w:t>Weighted average ordinary shares outstanding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w:t>
            </w:r>
          </w:p>
        </w:tc>
      </w:tr>
      <w:tr>
        <w:trPr>
          <w:trHeight w:val="223"/>
        </w:trPr>
        <w:tc>
          <w:tcPr>
            <w:tcW w:w="8760" w:type="dxa"/>
            <w:vAlign w:val="bottom"/>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168.7</w:t>
            </w:r>
          </w:p>
        </w:tc>
        <w:tc>
          <w:tcPr>
            <w:tcW w:w="2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172.5</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44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5400"/>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w:t>
            </w:r>
          </w:p>
        </w:tc>
      </w:tr>
      <w:tr>
        <w:trPr>
          <w:trHeight w:val="223"/>
        </w:trPr>
        <w:tc>
          <w:tcPr>
            <w:tcW w:w="792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$8.6 and $10.3, respectively</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665.0</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502.9</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392.4</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112.9</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99.1</w:t>
            </w:r>
          </w:p>
        </w:tc>
      </w:tr>
      <w:tr>
        <w:trPr>
          <w:trHeight w:val="33"/>
        </w:trPr>
        <w:tc>
          <w:tcPr>
            <w:tcW w:w="7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1,339.6</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1,061.9</w:t>
            </w:r>
          </w:p>
        </w:tc>
      </w:tr>
      <w:tr>
        <w:trPr>
          <w:trHeight w:val="223"/>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280.7</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283.2</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3"/>
        </w:trPr>
        <w:tc>
          <w:tcPr>
            <w:tcW w:w="7920" w:type="dxa"/>
            <w:vAlign w:val="bottom"/>
          </w:tcPr>
          <w:p>
            <w:pPr>
              <w:ind w:left="40"/>
              <w:spacing w:after="0"/>
              <w:rPr>
                <w:sz w:val="20"/>
                <w:szCs w:val="20"/>
                <w:color w:val="auto"/>
              </w:rPr>
            </w:pPr>
            <w:r>
              <w:rPr>
                <w:rFonts w:ascii="Arial" w:cs="Arial" w:eastAsia="Arial" w:hAnsi="Arial"/>
                <w:sz w:val="16"/>
                <w:szCs w:val="16"/>
                <w:color w:val="auto"/>
              </w:rPr>
              <w:t>Goodwill</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2,256.8</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2,258.3</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Intangibles, net</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339.2</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223.1</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196.9</w:t>
            </w:r>
          </w:p>
        </w:tc>
      </w:tr>
      <w:tr>
        <w:trPr>
          <w:trHeight w:val="33"/>
        </w:trPr>
        <w:tc>
          <w:tcPr>
            <w:tcW w:w="7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2,806.4</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2,794.4</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4,426.7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4,139.5</w:t>
            </w:r>
          </w:p>
        </w:tc>
      </w:tr>
      <w:tr>
        <w:trPr>
          <w:trHeight w:val="73"/>
        </w:trPr>
        <w:tc>
          <w:tcPr>
            <w:tcW w:w="79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7"/>
        </w:trPr>
        <w:tc>
          <w:tcPr>
            <w:tcW w:w="7920" w:type="dxa"/>
            <w:vAlign w:val="bottom"/>
            <w:tcBorders>
              <w:bottom w:val="single" w:sz="8" w:color="CCEEFF"/>
            </w:tcBorders>
            <w:shd w:val="clear" w:color="auto" w:fill="CCEEFF"/>
          </w:tcPr>
          <w:p>
            <w:pPr>
              <w:ind w:left="4880"/>
              <w:spacing w:after="0"/>
              <w:rPr>
                <w:sz w:val="20"/>
                <w:szCs w:val="20"/>
                <w:color w:val="auto"/>
              </w:rPr>
            </w:pPr>
            <w:r>
              <w:rPr>
                <w:rFonts w:ascii="Arial" w:cs="Arial" w:eastAsia="Arial" w:hAnsi="Arial"/>
                <w:sz w:val="16"/>
                <w:szCs w:val="16"/>
                <w:b w:val="1"/>
                <w:bCs w:val="1"/>
                <w:color w:val="auto"/>
              </w:rPr>
              <w:t>Liabilities and Equity</w:t>
            </w:r>
          </w:p>
        </w:tc>
        <w:tc>
          <w:tcPr>
            <w:tcW w:w="4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325.1</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Employee compensation and benefits</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71.0</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682.8</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749.0</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3"/>
        </w:trPr>
        <w:tc>
          <w:tcPr>
            <w:tcW w:w="79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1,450.5</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1,029.1</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w:t>
            </w:r>
          </w:p>
        </w:tc>
      </w:tr>
      <w:tr>
        <w:trPr>
          <w:trHeight w:val="223"/>
        </w:trPr>
        <w:tc>
          <w:tcPr>
            <w:tcW w:w="79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104.4</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2,534.2</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2,185.6</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7920" w:type="dxa"/>
            <w:vAlign w:val="bottom"/>
          </w:tcPr>
          <w:p>
            <w:pPr>
              <w:ind w:left="40"/>
              <w:spacing w:after="0"/>
              <w:rPr>
                <w:sz w:val="20"/>
                <w:szCs w:val="20"/>
                <w:color w:val="auto"/>
              </w:rPr>
            </w:pPr>
            <w:r>
              <w:rPr>
                <w:rFonts w:ascii="Arial" w:cs="Arial" w:eastAsia="Arial" w:hAnsi="Arial"/>
                <w:sz w:val="16"/>
                <w:szCs w:val="16"/>
                <w:color w:val="auto"/>
                <w:w w:val="92"/>
              </w:rPr>
              <w:t>Ordinary shares $0.01 par value, 426.0 authorized, 165.7 and 168.3 issued at March 31, 2020 and December 31, 2019,</w:t>
            </w: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79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44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1,673.9</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1,777.7</w:t>
            </w:r>
          </w:p>
        </w:tc>
      </w:tr>
      <w:tr>
        <w:trPr>
          <w:trHeight w:val="223"/>
        </w:trPr>
        <w:tc>
          <w:tcPr>
            <w:tcW w:w="79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4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442.1</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401.0</w:t>
            </w:r>
          </w:p>
        </w:tc>
      </w:tr>
      <w:tr>
        <w:trPr>
          <w:trHeight w:val="33"/>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equity</w:t>
            </w:r>
          </w:p>
        </w:tc>
        <w:tc>
          <w:tcPr>
            <w:tcW w:w="4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1,892.5</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1,953.9</w:t>
            </w:r>
          </w:p>
        </w:tc>
      </w:tr>
      <w:tr>
        <w:trPr>
          <w:trHeight w:val="33"/>
        </w:trPr>
        <w:tc>
          <w:tcPr>
            <w:tcW w:w="7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4,139.5</w:t>
            </w:r>
          </w:p>
        </w:tc>
      </w:tr>
      <w:tr>
        <w:trPr>
          <w:trHeight w:val="20"/>
        </w:trPr>
        <w:tc>
          <w:tcPr>
            <w:tcW w:w="7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1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16"/>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w w:val="96"/>
              </w:rPr>
              <w:t>Adjustments to reconcile net income from continuing operations to net cash provided by (used for) operating</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8100" w:type="dxa"/>
            <w:vAlign w:val="bottom"/>
          </w:tcPr>
          <w:p>
            <w:pPr>
              <w:ind w:left="200"/>
              <w:spacing w:after="0"/>
              <w:rPr>
                <w:sz w:val="20"/>
                <w:szCs w:val="20"/>
                <w:color w:val="auto"/>
              </w:rPr>
            </w:pPr>
            <w:r>
              <w:rPr>
                <w:rFonts w:ascii="Arial" w:cs="Arial" w:eastAsia="Arial" w:hAnsi="Arial"/>
                <w:sz w:val="16"/>
                <w:szCs w:val="16"/>
                <w:b w:val="1"/>
                <w:bCs w:val="1"/>
                <w:color w:val="auto"/>
              </w:rPr>
              <w:t>activities of continuing operations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loss (income) of unconsolidated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businesses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6"/>
        </w:trPr>
        <w:tc>
          <w:tcPr>
            <w:tcW w:w="8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r>
      <w:tr>
        <w:trPr>
          <w:trHeight w:val="224"/>
        </w:trPr>
        <w:tc>
          <w:tcPr>
            <w:tcW w:w="81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24"/>
        </w:trPr>
        <w:tc>
          <w:tcPr>
            <w:tcW w:w="81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(49.9)</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23"/>
        </w:trPr>
        <w:tc>
          <w:tcPr>
            <w:tcW w:w="81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8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used for operating activities of continuing operations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(162.4)</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(257.1)</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 of discontinued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17"/>
        </w:trPr>
        <w:tc>
          <w:tcPr>
            <w:tcW w:w="8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used for operating activities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(162.4)</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(256.3)</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Proceeds from the sale of businesses, net</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8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receipts of commercial paper and revolving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420.9</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584.1</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33"/>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559.0</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23"/>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74.3</w:t>
            </w:r>
          </w:p>
        </w:tc>
      </w:tr>
      <w:tr>
        <w:trPr>
          <w:trHeight w:val="33"/>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0"/>
        </w:trPr>
        <w:tc>
          <w:tcPr>
            <w:tcW w:w="8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84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Ordinary shares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340" w:type="dxa"/>
            <w:vAlign w:val="bottom"/>
            <w:gridSpan w:val="2"/>
            <w:vMerge w:val="restart"/>
          </w:tcPr>
          <w:p>
            <w:pPr>
              <w:jc w:val="center"/>
              <w:ind w:left="39"/>
              <w:spacing w:after="0"/>
              <w:rPr>
                <w:sz w:val="20"/>
                <w:szCs w:val="20"/>
                <w:color w:val="auto"/>
              </w:rPr>
            </w:pPr>
            <w:r>
              <w:rPr>
                <w:rFonts w:ascii="Arial" w:cs="Arial" w:eastAsia="Arial" w:hAnsi="Arial"/>
                <w:sz w:val="16"/>
                <w:szCs w:val="16"/>
                <w:b w:val="1"/>
                <w:bCs w:val="1"/>
                <w:color w:val="auto"/>
                <w:w w:val="94"/>
              </w:rPr>
              <w:t>Additional paid-</w:t>
            </w:r>
          </w:p>
        </w:tc>
        <w:tc>
          <w:tcPr>
            <w:tcW w:w="220" w:type="dxa"/>
            <w:vAlign w:val="bottom"/>
          </w:tcPr>
          <w:p>
            <w:pPr>
              <w:spacing w:after="0"/>
              <w:rPr>
                <w:sz w:val="4"/>
                <w:szCs w:val="4"/>
                <w:color w:val="auto"/>
              </w:rPr>
            </w:pPr>
          </w:p>
        </w:tc>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4"/>
                <w:szCs w:val="4"/>
                <w:color w:val="auto"/>
              </w:rPr>
            </w:pP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4"/>
              </w:rPr>
              <w:t>other</w:t>
            </w: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32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in capital</w:t>
            </w:r>
          </w:p>
        </w:tc>
        <w:tc>
          <w:tcPr>
            <w:tcW w:w="22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comprehensive loss</w:t>
            </w: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 December 31, 2019</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1,953.9</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Dividends declared, $0.19 per share</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Exercise of options, net of shares tendered for payment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 March 31, 2020</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1,673.9</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1,892.5</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60" w:type="dxa"/>
            <w:vAlign w:val="bottom"/>
          </w:tcPr>
          <w:p>
            <w:pPr>
              <w:spacing w:after="0"/>
              <w:rPr>
                <w:sz w:val="24"/>
                <w:szCs w:val="24"/>
                <w:color w:val="auto"/>
              </w:rPr>
            </w:pPr>
          </w:p>
        </w:tc>
        <w:tc>
          <w:tcPr>
            <w:tcW w:w="184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Ordinary shares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60" w:type="dxa"/>
            <w:vAlign w:val="bottom"/>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340" w:type="dxa"/>
            <w:vAlign w:val="bottom"/>
            <w:gridSpan w:val="2"/>
            <w:vMerge w:val="restart"/>
          </w:tcPr>
          <w:p>
            <w:pPr>
              <w:jc w:val="center"/>
              <w:ind w:left="39"/>
              <w:spacing w:after="0"/>
              <w:rPr>
                <w:sz w:val="20"/>
                <w:szCs w:val="20"/>
                <w:color w:val="auto"/>
              </w:rPr>
            </w:pPr>
            <w:r>
              <w:rPr>
                <w:rFonts w:ascii="Arial" w:cs="Arial" w:eastAsia="Arial" w:hAnsi="Arial"/>
                <w:sz w:val="16"/>
                <w:szCs w:val="16"/>
                <w:b w:val="1"/>
                <w:bCs w:val="1"/>
                <w:color w:val="auto"/>
                <w:w w:val="94"/>
              </w:rPr>
              <w:t>Additional paid-</w:t>
            </w:r>
          </w:p>
        </w:tc>
        <w:tc>
          <w:tcPr>
            <w:tcW w:w="220" w:type="dxa"/>
            <w:vAlign w:val="bottom"/>
          </w:tcPr>
          <w:p>
            <w:pPr>
              <w:spacing w:after="0"/>
              <w:rPr>
                <w:sz w:val="4"/>
                <w:szCs w:val="4"/>
                <w:color w:val="auto"/>
              </w:rPr>
            </w:pPr>
          </w:p>
        </w:tc>
        <w:tc>
          <w:tcPr>
            <w:tcW w:w="1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4"/>
                <w:szCs w:val="4"/>
                <w:color w:val="auto"/>
              </w:rPr>
            </w:pP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4"/>
              </w:rPr>
              <w:t>other</w:t>
            </w: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32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in capital</w:t>
            </w:r>
          </w:p>
        </w:tc>
        <w:tc>
          <w:tcPr>
            <w:tcW w:w="22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comprehensive loss</w:t>
            </w: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 December 31, 2018</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1,836.1</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Dividends declared, $0.18 per share</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 net of shares tendered for payment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Issuance of restricted shares, net of cancellations</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surrendered by employees to pay taxes</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 March 31, 2019</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1,870.4</w:t>
            </w:r>
          </w:p>
        </w:tc>
        <w:tc>
          <w:tcPr>
            <w:tcW w:w="0" w:type="dxa"/>
            <w:vAlign w:val="bottom"/>
          </w:tcPr>
          <w:p>
            <w:pPr>
              <w:spacing w:after="0"/>
              <w:rPr>
                <w:sz w:val="1"/>
                <w:szCs w:val="1"/>
                <w:color w:val="auto"/>
              </w:rPr>
            </w:pP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2019.</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2020, the World Health Organization declared the novel coronavirus 2019 (“COVID-19”) a global pandemic. The broader implications of the COVID-19 pandemic on our business, financial condition and results of operations remain uncertain and will depend on certain developments, including the duration and severity of the COVID-19 pandemic, its impact on our customers and suppliers and the range of governmental and community reactions to the pandemic. We may experience reduced customer demand or constrained supply that could materially adversely impact our business, financial condition, results of operations, liquidity and cash flows in future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On January 1, 2020, we adopted Accounting Standards Update No. 2016-13 “Financial Instruments-Credit Losses” and the related amendments (the “new standard”). The new standard changes the methodology used to measure credit losses for certain financial instruments and financial assets, including trade receivables. The approach utilizes an expected credit loss model that requires consideration of a broader range of information to estimate expected credit losses over the lifetime of an asset, which may result in earlier recognition of credit losses than under the previous accounting standards.</w:t>
      </w:r>
    </w:p>
    <w:p>
      <w:pPr>
        <w:spacing w:after="0" w:line="16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the new standard, we record an allowance for credit losses, reducing our trade receivables balance to an amount we estimate is collectible from our customers. The estimates used in determining the allowance for credit losses are based on historical collection experience, including write-offs and recoveries, periodic credit evaluations of our customers’ financial situation, and current circumstances as well as reasonable and supportable forecasts of future economic conditions. The adoption of this new standard did not have a material impact on our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The following table summarizes the activity in the allowance for credit losses:</w:t>
            </w:r>
          </w:p>
        </w:tc>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7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6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4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7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2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net of recoveries</w:t>
            </w:r>
          </w:p>
        </w:tc>
        <w:tc>
          <w:tcPr>
            <w:tcW w:w="2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76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68"/>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76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24" w:lineRule="auto"/>
        <w:tabs>
          <w:tab w:leader="none" w:pos="22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Other amounts are primarily the effects of changes in currency translations and the impact of allowance for credits.</w:t>
      </w:r>
    </w:p>
    <w:p>
      <w:pPr>
        <w:spacing w:after="0" w:line="200" w:lineRule="exact"/>
        <w:rPr>
          <w:sz w:val="20"/>
          <w:szCs w:val="20"/>
          <w:color w:val="auto"/>
        </w:rPr>
      </w:pP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 2020, we early adopted the SEC’s rule titled “Financial Disclosures about Guarantors and Issuers of Guaranteed Securities and Affiliates Whose Securities Collateralize a Registrant’s Securities,” which simplifies the disclosure requirements related to our guaranteed registered securities under Rule 3-10 of Regulation S-X.</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right"/>
              <w:ind w:right="77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291"/>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80" w:type="dxa"/>
            <w:vAlign w:val="bottom"/>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104.3</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r>
      <w:tr>
        <w:trPr>
          <w:trHeight w:val="270"/>
        </w:trPr>
        <w:tc>
          <w:tcPr>
            <w:tcW w:w="81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w:t>
            </w:r>
          </w:p>
        </w:tc>
      </w:tr>
      <w:tr>
        <w:trPr>
          <w:trHeight w:val="26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r>
      <w:tr>
        <w:trPr>
          <w:trHeight w:val="20"/>
        </w:trPr>
        <w:tc>
          <w:tcPr>
            <w:tcW w:w="8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8100" w:type="dxa"/>
            <w:vAlign w:val="bottom"/>
          </w:tcPr>
          <w:p>
            <w:pPr>
              <w:ind w:left="40"/>
              <w:spacing w:after="0" w:line="250"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Developing includes China, Eastern Europe, Latin America, the Middle East and Southeast Asia.</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29"/>
        </w:trPr>
        <w:tc>
          <w:tcPr>
            <w:tcW w:w="8100" w:type="dxa"/>
            <w:vAlign w:val="bottom"/>
          </w:tcPr>
          <w:p>
            <w:pPr>
              <w:ind w:left="40"/>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Other Developed includes Australia, Canada and Japan.</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7"/>
        </w:trPr>
        <w:tc>
          <w:tcPr>
            <w:tcW w:w="810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2"/>
        </w:trPr>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right"/>
              <w:ind w:right="770"/>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291"/>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80" w:type="dxa"/>
            <w:vAlign w:val="bottom"/>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141.4</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150.7</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r>
      <w:tr>
        <w:trPr>
          <w:trHeight w:val="237"/>
        </w:trPr>
        <w:tc>
          <w:tcPr>
            <w:tcW w:w="8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688.9</w:t>
            </w:r>
          </w:p>
        </w:tc>
      </w:tr>
      <w:tr>
        <w:trPr>
          <w:trHeight w:val="27"/>
        </w:trPr>
        <w:tc>
          <w:tcPr>
            <w:tcW w:w="8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On March 31, 2020, we had $50.4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3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10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1"/>
                <w:szCs w:val="21"/>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3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79.8 %</w:t>
            </w:r>
          </w:p>
        </w:tc>
      </w:tr>
      <w:tr>
        <w:trPr>
          <w:trHeight w:val="20"/>
        </w:trPr>
        <w:tc>
          <w:tcPr>
            <w:tcW w:w="32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$6.7 million increase in net contract assets from December 31, 2019 to March 31, 2020 was primarily the result of timing of milestone payments and impact of foreign currency fluctuations. Approximately 45% of our contract liabilities at December 31, 2019 were recognized in revenue in the first quarter of 2020. There were no impairment losses recognized on our contract assets for the three months ended March 31,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 February 2019, as part of Consumer Solutions, we completed the acquisitions of Aquion, Inc. (“Aquion”) and Pelican Water Systems (“Pelican”) for $163.4 million and $121.1 million, respectively, in cash, net of cash acquired and final working capital true-ups.</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allocated to goodwill in the amount of $101.9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allocated to goodwill in the amount of $118.0 million, $7.6 million of which is expected to be deductible for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proforma impact of these acquisitions is not material.</w:t>
      </w:r>
    </w:p>
    <w:p>
      <w:pPr>
        <w:spacing w:after="0" w:line="22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months ended March 31, 2020 and 2019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5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8"/>
                <w:szCs w:val="18"/>
                <w:color w:val="auto"/>
              </w:rPr>
            </w:pP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3.2</w:t>
            </w:r>
          </w:p>
        </w:tc>
        <w:tc>
          <w:tcPr>
            <w:tcW w:w="116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11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1.4</w:t>
            </w:r>
          </w:p>
        </w:tc>
      </w:tr>
      <w:tr>
        <w:trPr>
          <w:trHeight w:val="27"/>
        </w:trPr>
        <w:tc>
          <w:tcPr>
            <w:tcW w:w="8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w:t>
            </w:r>
          </w:p>
        </w:tc>
        <w:tc>
          <w:tcPr>
            <w:tcW w:w="1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6.2</w:t>
            </w:r>
          </w:p>
        </w:tc>
        <w:tc>
          <w:tcPr>
            <w:tcW w:w="116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5.4</w:t>
            </w:r>
          </w:p>
        </w:tc>
      </w:tr>
      <w:tr>
        <w:trPr>
          <w:trHeight w:val="27"/>
        </w:trPr>
        <w:tc>
          <w:tcPr>
            <w:tcW w:w="8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2020, we issued our annual share-based compensation grants under the Pentair plc 2012 Stock and Incentive Plan to eligible employees. The total number of awards issued was approximately 0.8 million, of which 0.3 million were restricted stock units (“RSUs”), 0.4 million were stock options and 0.1 million were performance share units (“PSUs”). The weighted-average grant date fair value of the RSUs, stock options and PSUs issued was $42.77, $9.58, and $45.40, respectively.</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51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34"/>
        </w:trPr>
        <w:tc>
          <w:tcPr>
            <w:tcW w:w="6060" w:type="dxa"/>
            <w:vAlign w:val="bottom"/>
          </w:tcPr>
          <w:p>
            <w:pPr>
              <w:spacing w:after="0"/>
              <w:rPr>
                <w:sz w:val="20"/>
                <w:szCs w:val="20"/>
                <w:color w:val="auto"/>
              </w:rPr>
            </w:pPr>
          </w:p>
        </w:tc>
        <w:tc>
          <w:tcPr>
            <w:tcW w:w="51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27"/>
        </w:trPr>
        <w:tc>
          <w:tcPr>
            <w:tcW w:w="6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606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180" w:type="dxa"/>
            <w:vAlign w:val="bottom"/>
          </w:tcPr>
          <w:p>
            <w:pPr>
              <w:jc w:val="right"/>
              <w:ind w:right="90"/>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During the three months ended March 31, 2020 and the year ended December 31, 2019, we initiated and continued execution of certain business restructuring initiatives aimed at reducing our fixed cost structure and realigning our business, including the reduction in headcount of approximately 75 employees and 375 employees,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Restructuring-related costs within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9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11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March 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restructuring costs</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75"/>
        </w:trPr>
        <w:tc>
          <w:tcPr>
            <w:tcW w:w="832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320" w:type="dxa"/>
            <w:vAlign w:val="bottom"/>
          </w:tcPr>
          <w:p>
            <w:pPr>
              <w:spacing w:after="0"/>
              <w:rPr>
                <w:sz w:val="24"/>
                <w:szCs w:val="24"/>
                <w:color w:val="auto"/>
              </w:rPr>
            </w:pPr>
          </w:p>
        </w:tc>
        <w:tc>
          <w:tcPr>
            <w:tcW w:w="29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11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March 31,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Solutions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Industrial &amp; Flow Technologies</w:t>
            </w:r>
          </w:p>
        </w:tc>
        <w:tc>
          <w:tcPr>
            <w:tcW w:w="1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0.9</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three months ended March 31, 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3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622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370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6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62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37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6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3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6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370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04"/>
        </w:trPr>
        <w:tc>
          <w:tcPr>
            <w:tcW w:w="3700" w:type="dxa"/>
            <w:vAlign w:val="bottom"/>
          </w:tcPr>
          <w:p>
            <w:pPr>
              <w:spacing w:after="0"/>
              <w:rPr>
                <w:sz w:val="24"/>
                <w:szCs w:val="24"/>
                <w:color w:val="auto"/>
              </w:rPr>
            </w:pPr>
          </w:p>
        </w:tc>
        <w:tc>
          <w:tcPr>
            <w:tcW w:w="6220" w:type="dxa"/>
            <w:vAlign w:val="bottom"/>
          </w:tcPr>
          <w:p>
            <w:pPr>
              <w:jc w:val="right"/>
              <w:ind w:right="4110"/>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67"/>
        </w:trPr>
        <w:tc>
          <w:tcPr>
            <w:tcW w:w="8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167.8</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171.6</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impact of stock options, restricted stock units and performance share units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172.5</w:t>
            </w:r>
          </w:p>
        </w:tc>
      </w:tr>
      <w:tr>
        <w:trPr>
          <w:trHeight w:val="67"/>
        </w:trPr>
        <w:tc>
          <w:tcPr>
            <w:tcW w:w="8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Diluted</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Anti-dilutive stock options excluded from the calculation of diluted earnings per share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953"/>
        </w:trPr>
        <w:tc>
          <w:tcPr>
            <w:tcW w:w="8320" w:type="dxa"/>
            <w:vAlign w:val="bottom"/>
          </w:tcPr>
          <w:p>
            <w:pPr>
              <w:ind w:left="55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548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84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54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28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Raw materials and supplies</w:t>
            </w:r>
          </w:p>
        </w:tc>
        <w:tc>
          <w:tcPr>
            <w:tcW w:w="2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201.0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196.2</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Work-in-process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125.1</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116.0</w:t>
            </w:r>
          </w:p>
        </w:tc>
      </w:tr>
      <w:tr>
        <w:trPr>
          <w:trHeight w:val="33"/>
        </w:trPr>
        <w:tc>
          <w:tcPr>
            <w:tcW w:w="54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Other current assets</w:t>
            </w: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in excess of billings</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48.3</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income taxes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54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assets</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land improvements</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184.3</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188.1</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537.9</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537.2</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Capitalized software</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73.1</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73.5</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8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1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property, plant and equipment</w:t>
            </w:r>
          </w:p>
        </w:tc>
        <w:tc>
          <w:tcPr>
            <w:tcW w:w="28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881.4</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880.6</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28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597.4</w:t>
            </w:r>
          </w:p>
        </w:tc>
      </w:tr>
      <w:tr>
        <w:trPr>
          <w:trHeight w:val="21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280.7</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283.2</w:t>
            </w:r>
          </w:p>
        </w:tc>
      </w:tr>
      <w:tr>
        <w:trPr>
          <w:trHeight w:val="73"/>
        </w:trPr>
        <w:tc>
          <w:tcPr>
            <w:tcW w:w="548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3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non-current assets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color w:val="auto"/>
              </w:rPr>
              <w:t>Right-of-use lease assets</w:t>
            </w:r>
          </w:p>
        </w:tc>
        <w:tc>
          <w:tcPr>
            <w:tcW w:w="2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81.1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77.2</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 assets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65.0</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68.7</w:t>
            </w:r>
          </w:p>
        </w:tc>
      </w:tr>
      <w:tr>
        <w:trPr>
          <w:trHeight w:val="33"/>
        </w:trPr>
        <w:tc>
          <w:tcPr>
            <w:tcW w:w="54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assets</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196.9</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Other current liabilities</w:t>
            </w: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Accrued warranty</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32.1</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rebates and incentives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Billings in excess of cost</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lease liability</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145.3</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136.5</w:t>
            </w:r>
          </w:p>
        </w:tc>
      </w:tr>
      <w:tr>
        <w:trPr>
          <w:trHeight w:val="33"/>
        </w:trPr>
        <w:tc>
          <w:tcPr>
            <w:tcW w:w="54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liabilities</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480" w:type="dxa"/>
            <w:vAlign w:val="bottom"/>
          </w:tcPr>
          <w:p>
            <w:pPr>
              <w:ind w:left="40"/>
              <w:spacing w:after="0"/>
              <w:rPr>
                <w:sz w:val="20"/>
                <w:szCs w:val="20"/>
                <w:color w:val="auto"/>
              </w:rPr>
            </w:pPr>
            <w:r>
              <w:rPr>
                <w:rFonts w:ascii="Arial" w:cs="Arial" w:eastAsia="Arial" w:hAnsi="Arial"/>
                <w:sz w:val="16"/>
                <w:szCs w:val="16"/>
                <w:b w:val="1"/>
                <w:bCs w:val="1"/>
                <w:color w:val="auto"/>
              </w:rPr>
              <w:t>Other non-current liabilities</w:t>
            </w: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liability</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45.5</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Self-insurance liabilities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Deferred compensation plan liabilities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5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 liabilities</w:t>
            </w:r>
          </w:p>
        </w:tc>
        <w:tc>
          <w:tcPr>
            <w:tcW w:w="2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23"/>
        </w:trPr>
        <w:tc>
          <w:tcPr>
            <w:tcW w:w="54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w:t>
            </w:r>
          </w:p>
        </w:tc>
        <w:tc>
          <w:tcPr>
            <w:tcW w:w="2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54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liabilities</w:t>
            </w:r>
          </w:p>
        </w:tc>
        <w:tc>
          <w:tcPr>
            <w:tcW w:w="2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r>
      <w:tr>
        <w:trPr>
          <w:trHeight w:val="20"/>
        </w:trPr>
        <w:tc>
          <w:tcPr>
            <w:tcW w:w="548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2" w:right="399" w:bottom="1440" w:gutter="0" w:footer="0" w:header="0"/>
        </w:sect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20" w:top="122" w:right="3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Purchase Accounting</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Foreign currency</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Adjustments</w:t>
            </w:r>
          </w:p>
        </w:tc>
        <w:tc>
          <w:tcPr>
            <w:tcW w:w="24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Acquisitions</w:t>
            </w:r>
          </w:p>
        </w:tc>
        <w:tc>
          <w:tcPr>
            <w:tcW w:w="220" w:type="dxa"/>
            <w:vAlign w:val="bottom"/>
          </w:tcPr>
          <w:p>
            <w:pPr>
              <w:spacing w:after="0"/>
              <w:rPr>
                <w:sz w:val="20"/>
                <w:szCs w:val="20"/>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translation/other</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2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Solutions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1,519.2</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Industrial &amp; Flow Technologies</w:t>
            </w:r>
          </w:p>
        </w:tc>
        <w:tc>
          <w:tcPr>
            <w:tcW w:w="5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756.9</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737.6</w:t>
            </w:r>
          </w:p>
        </w:tc>
      </w:tr>
      <w:tr>
        <w:trPr>
          <w:trHeight w:val="27"/>
        </w:trPr>
        <w:tc>
          <w:tcPr>
            <w:tcW w:w="2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2,256.8</w:t>
            </w:r>
          </w:p>
        </w:tc>
      </w:tr>
      <w:tr>
        <w:trPr>
          <w:trHeight w:val="20"/>
        </w:trPr>
        <w:tc>
          <w:tcPr>
            <w:tcW w:w="2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34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7"/>
        </w:trPr>
        <w:tc>
          <w:tcPr>
            <w:tcW w:w="3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(271.4)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149.0</w:t>
            </w: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technology and patents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definite-life intangibles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154.9</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165.8</w:t>
            </w:r>
          </w:p>
        </w:tc>
      </w:tr>
      <w:tr>
        <w:trPr>
          <w:trHeight w:val="27"/>
        </w:trPr>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173.4</w:t>
            </w:r>
          </w:p>
        </w:tc>
      </w:tr>
      <w:tr>
        <w:trPr>
          <w:trHeight w:val="27"/>
        </w:trPr>
        <w:tc>
          <w:tcPr>
            <w:tcW w:w="3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 amortization expense was $7.6 million and $8.2 million for the three months ended March 31, 2020 and 2019,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2020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Q2-Q4</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58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2025</w:t>
            </w:r>
          </w:p>
        </w:tc>
      </w:tr>
      <w:tr>
        <w:trPr>
          <w:trHeight w:val="27"/>
        </w:trPr>
        <w:tc>
          <w:tcPr>
            <w:tcW w:w="3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r>
      <w:tr>
        <w:trPr>
          <w:trHeight w:val="824"/>
        </w:trPr>
        <w:tc>
          <w:tcPr>
            <w:tcW w:w="3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8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Average interest rate as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6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8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of March 31, 2020</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46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0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1"/>
              </w:rPr>
              <w:t>2.097%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2.069%</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574.5</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4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Term loans </w:t>
            </w:r>
            <w:r>
              <w:rPr>
                <w:rFonts w:ascii="Arial" w:cs="Arial" w:eastAsia="Arial" w:hAnsi="Arial"/>
                <w:sz w:val="25"/>
                <w:szCs w:val="25"/>
                <w:color w:val="auto"/>
                <w:vertAlign w:val="superscript"/>
              </w:rPr>
              <w:t>(1)</w:t>
            </w:r>
          </w:p>
        </w:tc>
        <w:tc>
          <w:tcPr>
            <w:tcW w:w="26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2.696%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3.625%</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5.000%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3.150%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4.650%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680" w:type="dxa"/>
            <w:vAlign w:val="bottom"/>
          </w:tcPr>
          <w:p>
            <w:pPr>
              <w:jc w:val="center"/>
              <w:ind w:left="230"/>
              <w:spacing w:after="0"/>
              <w:rPr>
                <w:sz w:val="20"/>
                <w:szCs w:val="20"/>
                <w:color w:val="auto"/>
              </w:rPr>
            </w:pPr>
            <w:r>
              <w:rPr>
                <w:rFonts w:ascii="Arial" w:cs="Arial" w:eastAsia="Arial" w:hAnsi="Arial"/>
                <w:sz w:val="18"/>
                <w:szCs w:val="18"/>
                <w:color w:val="auto"/>
                <w:w w:val="91"/>
              </w:rPr>
              <w:t>4.500%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68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w:t>
            </w:r>
          </w:p>
        </w:tc>
        <w:tc>
          <w:tcPr>
            <w:tcW w:w="26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1,450.5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0"/>
          <w:szCs w:val="20"/>
          <w:color w:val="auto"/>
        </w:rPr>
      </w:pPr>
    </w:p>
    <w:p>
      <w:pPr>
        <w:ind w:left="220" w:hanging="185"/>
        <w:spacing w:after="0"/>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Senior notes (“the Notes”) and the term loans are guaranteed as to payment by Pentair plc and PISG</w:t>
      </w:r>
    </w:p>
    <w:p>
      <w:pPr>
        <w:spacing w:after="0" w:line="3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2018, Pentair, Pentair Investments Switzerland GmbH (“PISG”), Pentair Finance S.à r.l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March 31, 2020 and $117.8 million as of December 31, 2019,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March 2020, the commercial paper market began to experience high levels of volatility due to COVID-19 related uncertainty. The volatility impacted both market access to and pricing of commercial paper. As a result, we borrowed under the Senior Credit Facility and used the proceeds to pay off the remaining commercial paper and fund general operational needs. As of March 31, 2020, total availability under the Senior Credit Facility was $325.5 million.</w:t>
      </w:r>
    </w:p>
    <w:p>
      <w:pPr>
        <w:spacing w:after="0" w:line="13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$20.9 million, of which there were no outstanding borrowings at March 31, 2020. Borrowings under these credit facilities bear interest at variable rates.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have $74.0 million aggregate principal amount of fixed rate senior notes maturing in the next twelve months. We classified this debt as long-term as of March 31, 2020 as we have the intent and ability to refinance such obligation on a long-term basis under the Senior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March 31, 2020 matures on a calendar year basis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Q2-Q4</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660" w:type="dxa"/>
            <w:vAlign w:val="bottom"/>
          </w:tcPr>
          <w:p>
            <w:pPr>
              <w:spacing w:after="0"/>
              <w:rPr>
                <w:sz w:val="23"/>
                <w:szCs w:val="23"/>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3"/>
                <w:szCs w:val="23"/>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Thereafter</w:t>
            </w: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
        </w:trPr>
        <w:tc>
          <w:tcPr>
            <w:tcW w:w="3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debt obligation maturities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1,459.9</w:t>
            </w:r>
          </w:p>
        </w:tc>
      </w:tr>
      <w:tr>
        <w:trPr>
          <w:trHeight w:val="27"/>
        </w:trPr>
        <w:tc>
          <w:tcPr>
            <w:tcW w:w="3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7640" w:firstLine="8"/>
        <w:spacing w:after="0" w:line="276" w:lineRule="auto"/>
        <w:tabs>
          <w:tab w:leader="none" w:pos="648"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March 31, 2020 and December 31, 2019, we had outstanding foreign currency derivative contracts with gross notional U.S. dollar equivalent amounts of $5.8 million and $17.0 million, respectively. The impact of these contracts on the Condensed Consolidated Statements of Operations and Comprehensive Income was not material for any period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At March 31, 2020 and December 31, 2019, we had outstanding cross currency swap agreements with a combined notional amount of $761.7 million and $770.0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gains of $37.0 million and deferred currency losses of $1.8 million at March 31, 2020 and December 31, 2019, respectively, in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w:t>
      </w:r>
      <w:r>
        <w:rPr>
          <w:rFonts w:ascii="Arial" w:cs="Arial" w:eastAsia="Arial" w:hAnsi="Arial"/>
          <w:sz w:val="18"/>
          <w:szCs w:val="18"/>
          <w:color w:val="auto"/>
        </w:rPr>
        <w:t>associated with our cross currency swap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36"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380" w:right="600" w:hanging="773"/>
        <w:spacing w:after="0" w:line="342"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180" w:hanging="331"/>
        <w:spacing w:after="0" w:line="277"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right="420" w:hanging="330"/>
        <w:spacing w:after="0" w:line="277"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500" w:right="40" w:hanging="330"/>
        <w:spacing w:after="0" w:line="263"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ind w:left="460" w:right="40" w:hanging="331"/>
        <w:spacing w:after="0" w:line="30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440" w:type="dxa"/>
            <w:vAlign w:val="bottom"/>
          </w:tcPr>
          <w:p>
            <w:pPr>
              <w:spacing w:after="0"/>
              <w:rPr>
                <w:sz w:val="18"/>
                <w:szCs w:val="18"/>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3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r>
      <w:tr>
        <w:trPr>
          <w:trHeight w:val="234"/>
        </w:trPr>
        <w:tc>
          <w:tcPr>
            <w:tcW w:w="6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20"/>
                <w:szCs w:val="20"/>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7"/>
        </w:trPr>
        <w:tc>
          <w:tcPr>
            <w:tcW w:w="6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685.4</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685.4</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732.2</w:t>
            </w:r>
          </w:p>
        </w:tc>
      </w:tr>
      <w:tr>
        <w:trPr>
          <w:trHeight w:val="27"/>
        </w:trPr>
        <w:tc>
          <w:tcPr>
            <w:tcW w:w="6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1,085.8</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2"/>
              </w:rPr>
              <w:t>March 31, 2020</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Level 3</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4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1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1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4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13"/>
        </w:trPr>
        <w:tc>
          <w:tcPr>
            <w:tcW w:w="4220" w:type="dxa"/>
            <w:vAlign w:val="bottom"/>
          </w:tcPr>
          <w:p>
            <w:pPr>
              <w:spacing w:after="0"/>
              <w:rPr>
                <w:sz w:val="24"/>
                <w:szCs w:val="24"/>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December 31, 2019</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0"/>
        </w:trPr>
        <w:tc>
          <w:tcPr>
            <w:tcW w:w="5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302" w:lineRule="exact"/>
        <w:rPr>
          <w:sz w:val="20"/>
          <w:szCs w:val="20"/>
          <w:color w:val="auto"/>
        </w:rPr>
      </w:pPr>
    </w:p>
    <w:p>
      <w:pPr>
        <w:jc w:val="both"/>
        <w:ind w:left="220" w:right="320" w:hanging="212"/>
        <w:spacing w:after="0" w:line="233" w:lineRule="auto"/>
        <w:tabs>
          <w:tab w:leader="none" w:pos="22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2019, we recorded impairment charges for cost method investments in the amount of $21.2 million, of which $15.3 million was recorded in the first quarter of 2019. A valuation method using unobservable inputs was utilized to determine the fair value. We wrote the balance of the cost method investments to zero.</w:t>
      </w:r>
    </w:p>
    <w:p>
      <w:pPr>
        <w:spacing w:after="0" w:line="17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effective income tax rate for the three months ended March 31, 2020 was 21.5%, compared to 17.1% for the three months ended March 31, 2019. We continue to actively pursue initiatives to reduce our effective tax rate. The tax rate in any quarter can be affected positively or negatively by adjustments that are required to be reported in the specific quarter of resolution.</w:t>
      </w:r>
    </w:p>
    <w:p>
      <w:pPr>
        <w:spacing w:after="0" w:line="130"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On March 27, 2020, the United States enacted the Coronavirus Aid, Relief, and Economic Security Act (“CARES Act”) in response to the COVID-19 pandemic. The CARES Act contains numerous income tax provisions, such as relaxing limitations on the deductibility of interest and the ability to carryback net operating losses arising in taxable years from 2018 through 2020. The CARES Act provisions provided a positive cash benefit of $16.2 million, offset by base erosion and anti-abuse tax of $6.8 million related to 2019 that was recorded as a discrete tax item in the first quarter of 2020.</w:t>
      </w:r>
    </w:p>
    <w:p>
      <w:pPr>
        <w:spacing w:after="0" w:line="10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The liability for uncertain tax positions was $47.5 million and $47.4 million at March 31, 2020 and December 31, 2019,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305"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April 2020, the Internal Revenue Service released final regulations as part of the Tax Cuts and Jobs Act of 2017 that place limitations on the deductibility of certain interest expense for U.S. tax purposes. These regulations are expected to create a discrete tax expense of approximately $14.1 million in the second quarter of 2020, as well as an increase to our 2020 annual effective tax rate of approximately 1%.</w:t>
      </w:r>
    </w:p>
    <w:p>
      <w:pPr>
        <w:spacing w:after="0" w:line="12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months ended March 31, 2020 and 2019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6"/>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for our other post-retirement plans for the three months ended March 31, 2020 and 2019 were not material.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7" w:lineRule="exact"/>
        <w:rPr>
          <w:sz w:val="20"/>
          <w:szCs w:val="20"/>
          <w:color w:val="auto"/>
        </w:rPr>
      </w:pPr>
    </w:p>
    <w:p>
      <w:pPr>
        <w:ind w:right="8940" w:firstLine="8"/>
        <w:spacing w:after="0" w:line="261" w:lineRule="auto"/>
        <w:tabs>
          <w:tab w:leader="none" w:pos="64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jc w:val="both"/>
        <w:ind w:righ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three months ended March 31, 2020, we repurchased 3.0 million of our shares for $115.2 million. As of March 31, 2020, we had $134.7 million available for share repurchases under this authorization.</w:t>
      </w:r>
    </w:p>
    <w:p>
      <w:pPr>
        <w:spacing w:after="0" w:line="1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March 2020, to enhance our liquidity position in response to the COVID-19 pandemic, we elected to temporarily suspend share repurchases under our existing share repurchase program. The existing program remains authorized by the Board of Directors, and we may resume share repurchases in the future at any time, depending upon market conditions, our capital needs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 February 25, 2020, the Board of Directors declared a quarterly cash dividend of $0.19, payable on May 1, 2020 to shareholders of record at the close of business on April 17, 2020.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$31.5 million at March 31, 2020, compared to $32.0 million at December 31, 2019.</w:t>
      </w:r>
    </w:p>
    <w:p>
      <w:pPr>
        <w:spacing w:after="0" w:line="14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Effective January 1, 2020, we reorganized our business segments to better support our organization with our strategies and to better align with our customer base, resulting in a change to our reporting segments. All prior period amounts related to the segment change have been retrospectively reclassified to conform to the new presentation. As part of this reorganization, the legacy Aquatic Systems, Flow Technologies, and Filtration Solutions segments were realigned into two reportable business segments:</w:t>
      </w:r>
    </w:p>
    <w:p>
      <w:pPr>
        <w:spacing w:after="0" w:line="139" w:lineRule="exact"/>
        <w:rPr>
          <w:sz w:val="20"/>
          <w:szCs w:val="20"/>
          <w:color w:val="auto"/>
        </w:rPr>
      </w:pPr>
    </w:p>
    <w:p>
      <w:pPr>
        <w:ind w:left="660" w:right="80" w:hanging="328"/>
        <w:spacing w:after="0" w:line="27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 service operations. The primary focus of this segment is business-to-consumer.</w:t>
      </w:r>
    </w:p>
    <w:p>
      <w:pPr>
        <w:spacing w:after="0" w:line="124" w:lineRule="exact"/>
        <w:rPr>
          <w:rFonts w:ascii="Arial" w:cs="Arial" w:eastAsia="Arial" w:hAnsi="Arial"/>
          <w:sz w:val="17"/>
          <w:szCs w:val="17"/>
          <w:color w:val="auto"/>
        </w:rPr>
      </w:pPr>
    </w:p>
    <w:p>
      <w:pPr>
        <w:ind w:left="660" w:right="80" w:hanging="328"/>
        <w:spacing w:after="0" w:line="272"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Consumer Solutions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388.8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358.2</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&amp; Flow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688.9</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Solutions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Industrial &amp; Flow Technologies</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98.7</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Deal-related costs and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step-up</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COVID-19 related costs and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8040" w:firstLine="8"/>
        <w:spacing w:after="0" w:line="293" w:lineRule="auto"/>
        <w:tabs>
          <w:tab w:leader="none" w:pos="64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In connection with our disposition of businesses, product lines and assets, we often provide representations, warranties and indemnities to cover purchasers for various potential liabilities relating to the sold businesses, product lines and assets, such as unknown damages or liabilities relating to the assets and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the maximum obligations under such indemnifications are not explicitly stated and as a result, the overall amount of these obligations cannot be reasonably estimated due to their inchoate and unknown nature.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three months ended March 31, 2020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2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6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6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6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March 31, 2020 and December 31, 2019, the outstanding value of bonds, letters of credit and bank guarantees totaled $89.3 million and $91.3 million,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actions that may be taken by us, other businesses and governments to address or otherwise mitigate the impact of the COVID-19 pandemic, including those that may impact our ability to operate our facilities, meet production demands, and deliver products to our customers; the negative impacts of the COVID-19 pandemic on the global economy, our customers and suppliers, and customer demand;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successfully integrate the Aquion, Inc. (“Aquion”) and Pelican Water Systems (“Pelican”)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goals. Additional information concerning these and other factors is contained in our filings with the U.S. Securities and Exchange Commission (the “SEC”), including this Form 10-Q and our Form 10-K for the year ended December 31, 2019. All forward-looking statements speak only as of the date of this report. Pentair assumes no obligation, and disclaims any obligation, to update the information contained in this report.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two reporting segments: Consumer Solutions and Industrial &amp; Flow Technologies. For the first three months of 2020, the Consumer Solutions and Industrial &amp; Flow Technologies segments represented approximately 55% and 45% of total revenues, respectively. We classify our operations into business segments based primarily on types of products offered and markets served:</w:t>
      </w:r>
    </w:p>
    <w:p>
      <w:pPr>
        <w:spacing w:after="0" w:line="126" w:lineRule="exact"/>
        <w:rPr>
          <w:sz w:val="20"/>
          <w:szCs w:val="20"/>
          <w:color w:val="auto"/>
        </w:rPr>
      </w:pPr>
    </w:p>
    <w:p>
      <w:pPr>
        <w:ind w:left="660" w:right="100" w:hanging="328"/>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 service operations. The primary focus of this segment is business-to-consumer.</w:t>
      </w:r>
    </w:p>
    <w:p>
      <w:pPr>
        <w:spacing w:after="0" w:line="124" w:lineRule="exact"/>
        <w:rPr>
          <w:rFonts w:ascii="Arial" w:cs="Arial" w:eastAsia="Arial" w:hAnsi="Arial"/>
          <w:sz w:val="17"/>
          <w:szCs w:val="17"/>
          <w:color w:val="auto"/>
        </w:rPr>
      </w:pPr>
    </w:p>
    <w:p>
      <w:pPr>
        <w:ind w:left="660" w:right="100" w:hanging="328"/>
        <w:spacing w:after="0" w:line="273"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 fire suppression, flood control, agricultural irrigation and crop spray. The primary focus of this segment is business-to-business.</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2019, as part of Consumer Solutions, we completed the acquisitions of Aquion and Pelican for $163.4 million and $121.1 million, respectively, in cash, net of cash acquired and final working capital true-ups.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has resulted in governments around the world implementing increasingly stringent measures to help control the spread of the virus, including quarantines, “shelter-in-place” and “stay-at-home” orders, travel restrictions, business curtailments, limits on gatherings, and other measures. In addition, governments and central banks in several parts of the world have enacted fiscal and monetary stimulus measures to counteract the economic impacts of the COVID-19 pandemic.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the earliest signs of the outbreak, we have taken proactive action to protect the health and safety of our employees, customers, and suppliers. We have enacted rigorous safety measures in our sites, including implementing social distancing protocols, implementing working from home arrangements for those employees that do not need to be physically present on the manufacturing floor, suspending travel, extensively and frequently disinfecting our workspaces, conducting temperature monitoring at our facilities, and providing or accommodating the wearing of masks to those employees who must be physically present in their workplace. We expect to continue to implement these measures until we determine that the COVID-19 pandemic is adequately contained for purposes of our business, and we may take further actions as government authorities require or recommend or as we determine to be in the best interests of our employees, customers, and suppliers.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important manufacturing operations in the U.S. and around the world that have been affected by the COVID-19 pandemic, and we have taken certain actions to help curb its spread. Government mandated measures providing for business curtailments or shutdowns generally exclude certain essential businesses and services, including businesses that manufacture and sell products that are considered essential to daily lives or otherwise operate in essential or critical sectors. While substantially all of our facilities are considered essential and have remained operational, we have experienced intermittent partial or full factory closures at certain facilities as a result of these measures or the need to sanitize the facilities and address employee well-being. We also experienced brief interruptions in operations due to government mandated shut-downs at our sites in China, Italy, India and New Zealand. While governmental measures may be modified or extended, we expect that our manufacturing facilities will remain operational.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not yet experienced any significant impacts or interruptions to our supply chain as a result of the COVID-19 pandemic. However, certain of our suppliers have faced difficulties maintaining operations in light of government-ordered restrictions and shelter-in-place mandates. Although we regularly monitor the financial health of companies in our supply chain, financial hardship or government restrictions on our suppliers or sub-suppliers caused by the COVID-19 pandemic could cause a disruption in our ability to obtain raw materials or components required to manufacture our products and adversely affect our operations. Additionally, restrictions or disruptions of transportation, such as reduced availability of air transport, port closures and increased border controls or closures, have started to result in higher costs and delays, both for obtaining raw materials and components and shipping finished goods to customers, which could harm our profitability, make our products less competitive, or cause our customers to seek alternative suppliers.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212529"/>
        </w:rPr>
        <w:t xml:space="preserve">The COVID-19 pandemic has significantly increased economic and demand uncertainty. </w:t>
      </w:r>
      <w:r>
        <w:rPr>
          <w:rFonts w:ascii="Arial" w:cs="Arial" w:eastAsia="Arial" w:hAnsi="Arial"/>
          <w:sz w:val="16"/>
          <w:szCs w:val="16"/>
          <w:color w:val="000000"/>
        </w:rPr>
        <w:t>We have experienced and expect to continue to experience</w:t>
      </w:r>
      <w:r>
        <w:rPr>
          <w:rFonts w:ascii="Arial" w:cs="Arial" w:eastAsia="Arial" w:hAnsi="Arial"/>
          <w:sz w:val="16"/>
          <w:szCs w:val="16"/>
          <w:color w:val="212529"/>
        </w:rPr>
        <w:t xml:space="preserve"> </w:t>
      </w:r>
      <w:r>
        <w:rPr>
          <w:rFonts w:ascii="Arial" w:cs="Arial" w:eastAsia="Arial" w:hAnsi="Arial"/>
          <w:sz w:val="16"/>
          <w:szCs w:val="16"/>
          <w:color w:val="000000"/>
        </w:rPr>
        <w:t xml:space="preserve">reductions in customer demand in several of our end-markets. </w:t>
      </w:r>
      <w:r>
        <w:rPr>
          <w:rFonts w:ascii="Arial" w:cs="Arial" w:eastAsia="Arial" w:hAnsi="Arial"/>
          <w:sz w:val="16"/>
          <w:szCs w:val="16"/>
          <w:color w:val="212529"/>
        </w:rPr>
        <w:t>Within our Consumer Solutions segment, while we believe water quality will remain</w:t>
      </w:r>
      <w:r>
        <w:rPr>
          <w:rFonts w:ascii="Arial" w:cs="Arial" w:eastAsia="Arial" w:hAnsi="Arial"/>
          <w:sz w:val="16"/>
          <w:szCs w:val="16"/>
          <w:color w:val="000000"/>
        </w:rPr>
        <w:t xml:space="preserve"> </w:t>
      </w:r>
      <w:r>
        <w:rPr>
          <w:rFonts w:ascii="Arial" w:cs="Arial" w:eastAsia="Arial" w:hAnsi="Arial"/>
          <w:sz w:val="16"/>
          <w:szCs w:val="16"/>
          <w:color w:val="212529"/>
        </w:rPr>
        <w:t>important to consumers, we expect short-term demand disruptions to occur. For example, we expect the approximately 5.5 million installed pools in the U.S. will still need service and repairs as people are sheltered in place. However, we believe new pool construction and remodeling could be negatively impacted in the short term, which could impact future demand for our pool products. While we have not yet seen a change in demand from wholesalers for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12529"/>
        </w:rPr>
        <w:t>our commercial filtration products, residential filtration systems demand may decrease due to less retail traffic. Further, commercial food service demand may be impacted by temporary shut downs in the hospitality and restaurant industries.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Within our Industrial &amp; Flow Technologies segment, we anticipate orders from distributors in our residential and irrigation flow business to decrease in the short-term, and we are monitoring our order book for likely demand changes in our commercial and infrastructure flow business. Demand for our residential flow products has been negatively impacted due to store closures as a result of state-wide orders in the U.S. In our industrial filtration business, demand is mostly driven by customer capital expenditures that have slowed recently. However, we expect long-term demand drivers for this business not to be significantly changed.</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current COVID-19 pandemic or continued spread of COVID-19 has caused a global economic slowdown, and a possibility of a global recession. In the event of a recession, demand for our products would decline and our business and results of operations would be adversely effected.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mitigation actions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began to see softening of demand in most of our businesses in April 2020 and we are taking steps across our organization to align costs with lower sales volumes. These steps include renegotiations with suppliers to reduce input costs, driving manufacturing direct labor reductions in line with volume drop, hiring freezes, and delaying, reducing or eliminating purchased services and travel. Additionally, we are proactively managing our working capital and have reduced our capital spending plan for 2020 by more than 10%, but have not deferred strategic ongoing initiatives. We also continue to monitor government economic stabilization efforts and expect to participate in certain legislative provisions, such as deferring estimated tax payments and utilizing job retention subsidies.</w:t>
      </w:r>
    </w:p>
    <w:p>
      <w:pPr>
        <w:spacing w:after="0" w:line="1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continue to monitor the rapidly evolving situation and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As such, given the dynamic nature of this situation, we cannot reasonably estimate the impacts of the COVID-19 pandemic on our financial condition, results of operations or cash flows in the future. In addition, see Part II—Item 1A, “Risk Factors,” included herein for updates to our risk factors regarding risks associated with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three months of 2020 and/or may impact our results in the future:</w:t>
      </w:r>
    </w:p>
    <w:p>
      <w:pPr>
        <w:spacing w:after="0" w:line="168" w:lineRule="exact"/>
        <w:rPr>
          <w:sz w:val="20"/>
          <w:szCs w:val="20"/>
          <w:color w:val="auto"/>
        </w:rPr>
      </w:pPr>
    </w:p>
    <w:p>
      <w:pPr>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many uncertainties regarding the COVID-19 pandemic, including the anticipated duration and severity of the pandemic and the extent of worldwide social, political and economic disruption it may cause. The impact of the COVID-19 pandemic on our business, financial condition, results of operations and cash flows cannot be determined at this time, and ultimately will be affected by a number of evolving factors including the length of time that the pandemic continues, its effect on the demand for our products and services and the supply chain, as well as the impact of governmental regulations imposed in response to the pandemic. See further discussion above under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for key trends and uncertainties with regard to the COVID-19 pandemic.</w:t>
      </w:r>
    </w:p>
    <w:p>
      <w:pPr>
        <w:spacing w:after="0" w:line="138"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2019 and the first quarter of 2020, we executed certain business restructuring initiatives unrelated to the COVID-19 pandemic aimed at reducing our fixed cost structure and realigning our business. We expect these actions will contribute to margin growth in 2020.</w:t>
      </w:r>
    </w:p>
    <w:p>
      <w:pPr>
        <w:spacing w:after="0" w:line="92" w:lineRule="exact"/>
        <w:rPr>
          <w:rFonts w:ascii="Arial" w:cs="Arial" w:eastAsia="Arial" w:hAnsi="Arial"/>
          <w:sz w:val="17"/>
          <w:szCs w:val="17"/>
          <w:color w:val="auto"/>
        </w:rPr>
      </w:pPr>
    </w:p>
    <w:p>
      <w:pPr>
        <w:ind w:left="660" w:right="120" w:hanging="328"/>
        <w:spacing w:after="0" w:line="31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4" w:lineRule="exact"/>
        <w:rPr>
          <w:rFonts w:ascii="Arial" w:cs="Arial" w:eastAsia="Arial" w:hAnsi="Arial"/>
          <w:sz w:val="16"/>
          <w:szCs w:val="16"/>
          <w:color w:val="auto"/>
        </w:rPr>
      </w:pPr>
    </w:p>
    <w:p>
      <w:pPr>
        <w:jc w:val="both"/>
        <w:ind w:left="660" w:right="20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left="660" w:hanging="328"/>
        <w:spacing w:after="0" w:line="31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April 2020, the Internal Revenue Service released final regulations as part of the Tax Cuts and Jobs Act of 2017 that place limitations on the deductibility of certain interest expense for U.S. tax purposes. These regulations are expected to create a discrete tax expense of approximately $14.1 million in the second quarter of 2020, as well as an increase to our 2020 annual effective tax rate of approximately 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2020,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our business through the COVID-19 pandemic, with a focus 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Protecting our employees, customers and our businesses;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Optimizing our free cash flow and liquidity;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Delivering the best financial results possible in the near-term while staying focused on longer-term strategies.</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focus on accelerating Pentair Integrated Management System (“PIMS”);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filtration solutions;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Optimizing our technological capabilities to increasingly generate innovative new products and advance digital transformation;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121" w:right="6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March 31, 2020 and March 31, 2019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5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688.9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21.1</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3.1 %</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458.4</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453.3</w:t>
            </w:r>
          </w:p>
        </w:tc>
        <w:tc>
          <w:tcPr>
            <w:tcW w:w="24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1.1 %</w:t>
            </w:r>
          </w:p>
        </w:tc>
      </w:tr>
      <w:tr>
        <w:trPr>
          <w:trHeight w:val="27"/>
        </w:trPr>
        <w:tc>
          <w:tcPr>
            <w:tcW w:w="5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235.6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16.0</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6.8 %</w:t>
            </w:r>
          </w:p>
        </w:tc>
      </w:tr>
      <w:tr>
        <w:trPr>
          <w:trHeight w:val="243"/>
        </w:trPr>
        <w:tc>
          <w:tcPr>
            <w:tcW w:w="53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35.4%</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34.2%</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50"/>
              <w:spacing w:after="0"/>
              <w:rPr>
                <w:sz w:val="20"/>
                <w:szCs w:val="20"/>
                <w:color w:val="auto"/>
              </w:rPr>
            </w:pPr>
            <w:r>
              <w:rPr>
                <w:rFonts w:ascii="Arial" w:cs="Arial" w:eastAsia="Arial" w:hAnsi="Arial"/>
                <w:sz w:val="18"/>
                <w:szCs w:val="18"/>
                <w:i w:val="1"/>
                <w:iCs w:val="1"/>
                <w:color w:val="auto"/>
                <w:w w:val="96"/>
              </w:rPr>
              <w:t>1.2 pts</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131.9</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(15.4)</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(10.5)%</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(2.8) pts</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(8.2)%</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(0.3) pts</w:t>
            </w:r>
          </w:p>
        </w:tc>
      </w:tr>
      <w:tr>
        <w:trPr>
          <w:trHeight w:val="216"/>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33.1</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49.0 %</w:t>
            </w:r>
          </w:p>
        </w:tc>
      </w:tr>
      <w:tr>
        <w:trPr>
          <w:trHeight w:val="243"/>
        </w:trPr>
        <w:tc>
          <w:tcPr>
            <w:tcW w:w="53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14.2%</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9.8%</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50"/>
              <w:spacing w:after="0"/>
              <w:rPr>
                <w:sz w:val="20"/>
                <w:szCs w:val="20"/>
                <w:color w:val="auto"/>
              </w:rPr>
            </w:pPr>
            <w:r>
              <w:rPr>
                <w:rFonts w:ascii="Arial" w:cs="Arial" w:eastAsia="Arial" w:hAnsi="Arial"/>
                <w:sz w:val="18"/>
                <w:szCs w:val="18"/>
                <w:i w:val="1"/>
                <w:iCs w:val="1"/>
                <w:color w:val="auto"/>
                <w:w w:val="96"/>
              </w:rPr>
              <w:t>4.4 pts</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Gain on sale of businesses</w:t>
            </w:r>
          </w:p>
        </w:tc>
        <w:tc>
          <w:tcPr>
            <w:tcW w:w="2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(5.5)%</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29.4</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46.5 %</w:t>
            </w:r>
          </w:p>
        </w:tc>
      </w:tr>
      <w:tr>
        <w:trPr>
          <w:trHeight w:val="27"/>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84.3 %</w:t>
            </w:r>
          </w:p>
        </w:tc>
      </w:tr>
      <w:tr>
        <w:trPr>
          <w:trHeight w:val="243"/>
        </w:trPr>
        <w:tc>
          <w:tcPr>
            <w:tcW w:w="536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21.5%</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17.1%</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tcPr>
          <w:p>
            <w:pPr>
              <w:jc w:val="center"/>
              <w:ind w:left="650"/>
              <w:spacing w:after="0"/>
              <w:rPr>
                <w:sz w:val="20"/>
                <w:szCs w:val="20"/>
                <w:color w:val="auto"/>
              </w:rPr>
            </w:pPr>
            <w:r>
              <w:rPr>
                <w:rFonts w:ascii="Arial" w:cs="Arial" w:eastAsia="Arial" w:hAnsi="Arial"/>
                <w:sz w:val="18"/>
                <w:szCs w:val="18"/>
                <w:i w:val="1"/>
                <w:iCs w:val="1"/>
                <w:color w:val="auto"/>
                <w:w w:val="96"/>
              </w:rPr>
              <w:t>4.4 pts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6420" w:type="dxa"/>
            <w:vAlign w:val="bottom"/>
          </w:tcPr>
          <w:p>
            <w:pPr>
              <w:jc w:val="right"/>
              <w:ind w:right="510"/>
              <w:spacing w:after="0"/>
              <w:rPr>
                <w:sz w:val="20"/>
                <w:szCs w:val="20"/>
                <w:color w:val="auto"/>
              </w:rPr>
            </w:pPr>
            <w:r>
              <w:rPr>
                <w:rFonts w:ascii="Arial" w:cs="Arial" w:eastAsia="Arial" w:hAnsi="Arial"/>
                <w:sz w:val="18"/>
                <w:szCs w:val="18"/>
                <w:b w:val="1"/>
                <w:bCs w:val="1"/>
                <w:color w:val="auto"/>
              </w:rPr>
              <w:t>Three months ended March 31, 2020</w:t>
            </w:r>
          </w:p>
        </w:tc>
      </w:tr>
      <w:tr>
        <w:trPr>
          <w:trHeight w:val="270"/>
        </w:trPr>
        <w:tc>
          <w:tcPr>
            <w:tcW w:w="4820" w:type="dxa"/>
            <w:vAlign w:val="bottom"/>
          </w:tcPr>
          <w:p>
            <w:pPr>
              <w:spacing w:after="0"/>
              <w:rPr>
                <w:sz w:val="23"/>
                <w:szCs w:val="23"/>
                <w:color w:val="auto"/>
              </w:rPr>
            </w:pPr>
          </w:p>
        </w:tc>
        <w:tc>
          <w:tcPr>
            <w:tcW w:w="6420" w:type="dxa"/>
            <w:vAlign w:val="bottom"/>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482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6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Price</w:t>
            </w:r>
          </w:p>
        </w:tc>
        <w:tc>
          <w:tcPr>
            <w:tcW w:w="642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482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6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642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7"/>
        </w:trPr>
        <w:tc>
          <w:tcPr>
            <w:tcW w:w="482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7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6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7"/>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482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3.1 percentage point increase in net sales in the first quarter of 2020 from 2019 was primarily driven by:</w:t>
      </w:r>
    </w:p>
    <w:p>
      <w:pPr>
        <w:spacing w:after="0" w:line="171" w:lineRule="exact"/>
        <w:rPr>
          <w:sz w:val="20"/>
          <w:szCs w:val="20"/>
          <w:color w:val="auto"/>
        </w:rPr>
      </w:pPr>
    </w:p>
    <w:p>
      <w:pPr>
        <w:ind w:left="500" w:right="60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sales volume in our Consumer Solutions segment due to more normal weather patterns and reduced inventory levels in the channel compared to 2019;</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in February 2019 and other small acquisitions in Consumer Solutions in the fourth quarter of 2019 and first quarter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volume declines as a result of reduced orders over the past twelve months and shipping delays driven by certain COVID-19 constraints and site closures in our Industrial &amp; Flow Technologies segment;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1.2 percentage point increase in gross profit as a percentage of sales in the first quarter of 2020 from 2019 was primarily driven by:</w:t>
      </w:r>
    </w:p>
    <w:p>
      <w:pPr>
        <w:spacing w:after="0" w:line="157"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sales volume and favorable sales mix in the higher margin Consumer Solutions segment;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2.8 percentage point decrease in SG&amp;A as a percentage of sales in the first quarter of 2020 from 2019 was primarily driven by:</w:t>
      </w:r>
    </w:p>
    <w:p>
      <w:pPr>
        <w:spacing w:after="0" w:line="157"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impairment of $15.3 million in the first quarter of 2019 that did not occur in 2020;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reduction in travel and entertainment expenses due to COVID-19.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and other costs of $2.4 million in the first quarter of 2020, compared to $1.1 million in the first quarter of 2019.</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5.5 percent decrease in net interest expense in the first quarter of 2020 from 2019 was primarily driven by:</w:t>
      </w:r>
    </w:p>
    <w:p>
      <w:pPr>
        <w:spacing w:after="0" w:line="171"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lower interest rates during the first three months of 2020, compared to the same period in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4.4 percentage point increase in the effective tax rate in the first quarter of 2020 from 2019 was primarily driven by:</w:t>
      </w:r>
    </w:p>
    <w:p>
      <w:pPr>
        <w:spacing w:after="0" w:line="157" w:lineRule="exact"/>
        <w:rPr>
          <w:sz w:val="20"/>
          <w:szCs w:val="20"/>
          <w:color w:val="auto"/>
        </w:rPr>
      </w:pPr>
    </w:p>
    <w:p>
      <w:pPr>
        <w:ind w:left="500" w:right="420" w:hanging="330"/>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unfavorable impact of discrete items, including items related to the CARES Act, that occurred during the first quarter of 2020, offset by the favorable mix of global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1"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670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593"/>
        </w:trPr>
        <w:tc>
          <w:tcPr>
            <w:tcW w:w="6700" w:type="dxa"/>
            <w:vAlign w:val="bottom"/>
          </w:tcPr>
          <w:p>
            <w:pPr>
              <w:ind w:left="60"/>
              <w:spacing w:after="0"/>
              <w:rPr>
                <w:sz w:val="20"/>
                <w:szCs w:val="20"/>
                <w:color w:val="auto"/>
              </w:rPr>
            </w:pPr>
            <w:r>
              <w:rPr>
                <w:rFonts w:ascii="Arial" w:cs="Arial" w:eastAsia="Arial" w:hAnsi="Arial"/>
                <w:sz w:val="18"/>
                <w:szCs w:val="18"/>
                <w:b w:val="1"/>
                <w:bCs w:val="1"/>
                <w:color w:val="auto"/>
              </w:rPr>
              <w:t>Consumer Solutions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6700" w:type="dxa"/>
            <w:vAlign w:val="bottom"/>
          </w:tcPr>
          <w:p>
            <w:pPr>
              <w:spacing w:after="0"/>
              <w:rPr>
                <w:sz w:val="20"/>
                <w:szCs w:val="20"/>
                <w:color w:val="auto"/>
              </w:rPr>
            </w:pPr>
            <w:r>
              <w:rPr>
                <w:rFonts w:ascii="Arial" w:cs="Arial" w:eastAsia="Arial" w:hAnsi="Arial"/>
                <w:sz w:val="18"/>
                <w:szCs w:val="18"/>
                <w:color w:val="auto"/>
              </w:rPr>
              <w:t>The net sales and segment income for Consumer Solutions were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r>
      <w:tr>
        <w:trPr>
          <w:trHeight w:val="27"/>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6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Change</w:t>
            </w:r>
          </w:p>
        </w:tc>
      </w:tr>
      <w:tr>
        <w:trPr>
          <w:trHeight w:val="27"/>
        </w:trPr>
        <w:tc>
          <w:tcPr>
            <w:tcW w:w="6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358.2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84.8</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75.2</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12.8%</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21.8%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21.0%</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 pts</w:t>
            </w:r>
          </w:p>
        </w:tc>
      </w:tr>
      <w:tr>
        <w:trPr>
          <w:trHeight w:val="364"/>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8180" w:type="dxa"/>
            <w:vAlign w:val="bottom"/>
            <w:gridSpan w:val="3"/>
          </w:tcPr>
          <w:p>
            <w:pPr>
              <w:spacing w:after="0"/>
              <w:rPr>
                <w:sz w:val="20"/>
                <w:szCs w:val="20"/>
                <w:color w:val="auto"/>
              </w:rPr>
            </w:pPr>
            <w:r>
              <w:rPr>
                <w:rFonts w:ascii="Arial" w:cs="Arial" w:eastAsia="Arial" w:hAnsi="Arial"/>
                <w:sz w:val="18"/>
                <w:szCs w:val="18"/>
                <w:color w:val="auto"/>
              </w:rPr>
              <w:t>The components of the change in Consumer Solutions net sales from the prior period were as follows: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6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0"/>
              </w:rPr>
              <w:t>Three months ended March 31, 2020</w:t>
            </w:r>
          </w:p>
        </w:tc>
      </w:tr>
      <w:tr>
        <w:trPr>
          <w:trHeight w:val="270"/>
        </w:trPr>
        <w:tc>
          <w:tcPr>
            <w:tcW w:w="6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980" w:type="dxa"/>
            <w:vAlign w:val="bottom"/>
          </w:tcPr>
          <w:p>
            <w:pPr>
              <w:spacing w:after="0"/>
              <w:rPr>
                <w:sz w:val="23"/>
                <w:szCs w:val="23"/>
                <w:color w:val="auto"/>
              </w:rPr>
            </w:pPr>
          </w:p>
        </w:tc>
      </w:tr>
      <w:tr>
        <w:trPr>
          <w:trHeight w:val="27"/>
        </w:trPr>
        <w:tc>
          <w:tcPr>
            <w:tcW w:w="6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Price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6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6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8.5 percent increase in net sales for Consumer Solutions in the first quarter of 2020 from 2019 was primarily driven by:</w:t>
      </w:r>
    </w:p>
    <w:p>
      <w:pPr>
        <w:spacing w:after="0" w:line="171" w:lineRule="exact"/>
        <w:rPr>
          <w:sz w:val="20"/>
          <w:szCs w:val="20"/>
          <w:color w:val="auto"/>
        </w:rPr>
      </w:pPr>
    </w:p>
    <w:p>
      <w:pPr>
        <w:ind w:left="500" w:right="40" w:hanging="330"/>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sales volume across all product lines in our pool business due to more normal weather patterns and reduced inventory levels in the channel compared to 2019;</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right="120" w:hanging="330"/>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sales due to the Aquion and Pelican acquisitions that occurred in February 2019 and other small acquisitions in the fourth quarter of 2019 and first quarter of 2020.</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in the residential and commercial filtration businesses in China and Southeast Asia due to COVID-19.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6380" w:type="dxa"/>
            <w:vAlign w:val="bottom"/>
          </w:tcPr>
          <w:p>
            <w:pPr>
              <w:jc w:val="right"/>
              <w:ind w:right="250"/>
              <w:spacing w:after="0"/>
              <w:rPr>
                <w:sz w:val="20"/>
                <w:szCs w:val="20"/>
                <w:color w:val="auto"/>
              </w:rPr>
            </w:pPr>
            <w:r>
              <w:rPr>
                <w:rFonts w:ascii="Arial" w:cs="Arial" w:eastAsia="Arial" w:hAnsi="Arial"/>
                <w:sz w:val="18"/>
                <w:szCs w:val="18"/>
                <w:b w:val="1"/>
                <w:bCs w:val="1"/>
                <w:color w:val="auto"/>
              </w:rPr>
              <w:t>Three months ended March 31, 2020</w:t>
            </w:r>
          </w:p>
        </w:tc>
        <w:tc>
          <w:tcPr>
            <w:tcW w:w="300" w:type="dxa"/>
            <w:vAlign w:val="bottom"/>
          </w:tcPr>
          <w:p>
            <w:pPr>
              <w:spacing w:after="0"/>
              <w:rPr>
                <w:sz w:val="20"/>
                <w:szCs w:val="20"/>
                <w:color w:val="auto"/>
              </w:rPr>
            </w:pPr>
          </w:p>
        </w:tc>
      </w:tr>
      <w:tr>
        <w:trPr>
          <w:trHeight w:val="270"/>
        </w:trPr>
        <w:tc>
          <w:tcPr>
            <w:tcW w:w="4560" w:type="dxa"/>
            <w:vAlign w:val="bottom"/>
          </w:tcPr>
          <w:p>
            <w:pPr>
              <w:spacing w:after="0"/>
              <w:rPr>
                <w:sz w:val="23"/>
                <w:szCs w:val="23"/>
                <w:color w:val="auto"/>
              </w:rPr>
            </w:pPr>
          </w:p>
        </w:tc>
        <w:tc>
          <w:tcPr>
            <w:tcW w:w="6380" w:type="dxa"/>
            <w:vAlign w:val="bottom"/>
          </w:tcPr>
          <w:p>
            <w:pPr>
              <w:jc w:val="right"/>
              <w:ind w:right="670"/>
              <w:spacing w:after="0"/>
              <w:rPr>
                <w:sz w:val="20"/>
                <w:szCs w:val="20"/>
                <w:color w:val="auto"/>
              </w:rPr>
            </w:pPr>
            <w:r>
              <w:rPr>
                <w:rFonts w:ascii="Arial" w:cs="Arial" w:eastAsia="Arial" w:hAnsi="Arial"/>
                <w:sz w:val="18"/>
                <w:szCs w:val="18"/>
                <w:b w:val="1"/>
                <w:bCs w:val="1"/>
                <w:color w:val="auto"/>
              </w:rPr>
              <w:t>over the prior year period</w:t>
            </w:r>
          </w:p>
        </w:tc>
        <w:tc>
          <w:tcPr>
            <w:tcW w:w="300" w:type="dxa"/>
            <w:vAlign w:val="bottom"/>
          </w:tcPr>
          <w:p>
            <w:pPr>
              <w:spacing w:after="0"/>
              <w:rPr>
                <w:sz w:val="23"/>
                <w:szCs w:val="23"/>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pts</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638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Inflation</w:t>
            </w:r>
          </w:p>
        </w:tc>
        <w:tc>
          <w:tcPr>
            <w:tcW w:w="6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Productivity/Price</w:t>
            </w:r>
          </w:p>
        </w:tc>
        <w:tc>
          <w:tcPr>
            <w:tcW w:w="638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1"/>
              </w:rPr>
              <w:t>pts</w:t>
            </w:r>
          </w:p>
        </w:tc>
      </w:tr>
      <w:tr>
        <w:trPr>
          <w:trHeight w:val="20"/>
        </w:trPr>
        <w:tc>
          <w:tcPr>
            <w:tcW w:w="4560" w:type="dxa"/>
            <w:vAlign w:val="bottom"/>
            <w:tcBorders>
              <w:top w:val="single" w:sz="8" w:color="auto"/>
              <w:bottom w:val="single" w:sz="8" w:color="auto"/>
            </w:tcBorders>
          </w:tcPr>
          <w:p>
            <w:pPr>
              <w:spacing w:after="0" w:line="20" w:lineRule="exact"/>
              <w:rPr>
                <w:sz w:val="1"/>
                <w:szCs w:val="1"/>
                <w:color w:val="auto"/>
              </w:rPr>
            </w:pPr>
          </w:p>
        </w:tc>
        <w:tc>
          <w:tcPr>
            <w:tcW w:w="6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500"/>
        <w:spacing w:after="0" w:line="277" w:lineRule="auto"/>
        <w:rPr>
          <w:sz w:val="20"/>
          <w:szCs w:val="20"/>
          <w:color w:val="auto"/>
        </w:rPr>
      </w:pPr>
      <w:r>
        <w:rPr>
          <w:rFonts w:ascii="Arial" w:cs="Arial" w:eastAsia="Arial" w:hAnsi="Arial"/>
          <w:sz w:val="18"/>
          <w:szCs w:val="18"/>
          <w:i w:val="1"/>
          <w:iCs w:val="1"/>
          <w:color w:val="auto"/>
        </w:rPr>
        <w:t>The 0.8 percentage point increase in segment income for Consumer Solutions as a percentage of net sales in the first quarter of 2020 from 2019 was primarily driven by:</w:t>
      </w:r>
    </w:p>
    <w:p>
      <w:pPr>
        <w:spacing w:after="0" w:line="116"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in sales volume and favorable sales mix;</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impact of Aquion and Pelican acquisitions; and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decreased sales volumes in China and Southeast Asia, which resulted in decreased leverage on 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ind w:left="60"/>
              <w:spacing w:after="0"/>
              <w:rPr>
                <w:sz w:val="20"/>
                <w:szCs w:val="20"/>
                <w:color w:val="auto"/>
              </w:rPr>
            </w:pPr>
            <w:r>
              <w:rPr>
                <w:rFonts w:ascii="Arial" w:cs="Arial" w:eastAsia="Arial" w:hAnsi="Arial"/>
                <w:sz w:val="18"/>
                <w:szCs w:val="18"/>
                <w:b w:val="1"/>
                <w:bCs w:val="1"/>
                <w:color w:val="auto"/>
              </w:rPr>
              <w:t>Industrial &amp; Flow Technologies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680" w:type="dxa"/>
            <w:vAlign w:val="bottom"/>
          </w:tcPr>
          <w:p>
            <w:pPr>
              <w:spacing w:after="0"/>
              <w:rPr>
                <w:sz w:val="20"/>
                <w:szCs w:val="20"/>
                <w:color w:val="auto"/>
              </w:rPr>
            </w:pPr>
            <w:r>
              <w:rPr>
                <w:rFonts w:ascii="Arial" w:cs="Arial" w:eastAsia="Arial" w:hAnsi="Arial"/>
                <w:sz w:val="18"/>
                <w:szCs w:val="18"/>
                <w:color w:val="auto"/>
                <w:w w:val="96"/>
              </w:rPr>
              <w:t>The net sales and segment income for Industrial &amp; Flow Technologies were as follows: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6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4"/>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24"/>
                <w:szCs w:val="24"/>
                <w:color w:val="auto"/>
              </w:rPr>
            </w:pPr>
          </w:p>
        </w:tc>
      </w:tr>
      <w:tr>
        <w:trPr>
          <w:trHeight w:val="27"/>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6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66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Change</w:t>
            </w:r>
          </w:p>
        </w:tc>
      </w:tr>
      <w:tr>
        <w:trPr>
          <w:trHeight w:val="27"/>
        </w:trPr>
        <w:tc>
          <w:tcPr>
            <w:tcW w:w="6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330.3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36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9.0 %</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13.9%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12.4%</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 pts</w:t>
            </w:r>
          </w:p>
        </w:tc>
      </w:tr>
      <w:tr>
        <w:trPr>
          <w:trHeight w:val="364"/>
        </w:trPr>
        <w:tc>
          <w:tcPr>
            <w:tcW w:w="66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8200" w:type="dxa"/>
            <w:vAlign w:val="bottom"/>
            <w:gridSpan w:val="3"/>
          </w:tcPr>
          <w:p>
            <w:pPr>
              <w:spacing w:after="0"/>
              <w:rPr>
                <w:sz w:val="20"/>
                <w:szCs w:val="20"/>
                <w:color w:val="auto"/>
              </w:rPr>
            </w:pPr>
            <w:r>
              <w:rPr>
                <w:rFonts w:ascii="Arial" w:cs="Arial" w:eastAsia="Arial" w:hAnsi="Arial"/>
                <w:sz w:val="18"/>
                <w:szCs w:val="18"/>
                <w:color w:val="auto"/>
                <w:w w:val="91"/>
              </w:rPr>
              <w:t>The components of the change in Industrial &amp; Flow Technologies net sales from the prior period were as follows: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0"/>
              </w:rPr>
              <w:t>Three months ended March 31, 2020</w:t>
            </w:r>
          </w:p>
        </w:tc>
      </w:tr>
      <w:tr>
        <w:trPr>
          <w:trHeight w:val="270"/>
        </w:trPr>
        <w:tc>
          <w:tcPr>
            <w:tcW w:w="6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1000" w:type="dxa"/>
            <w:vAlign w:val="bottom"/>
          </w:tcPr>
          <w:p>
            <w:pPr>
              <w:spacing w:after="0"/>
              <w:rPr>
                <w:sz w:val="23"/>
                <w:szCs w:val="23"/>
                <w:color w:val="auto"/>
              </w:rPr>
            </w:pPr>
          </w:p>
        </w:tc>
      </w:tr>
      <w:tr>
        <w:trPr>
          <w:trHeight w:val="27"/>
        </w:trPr>
        <w:tc>
          <w:tcPr>
            <w:tcW w:w="6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Price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6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Currency</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6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2.8 percent decrease in net sales for Industrial &amp; Flow Technologies in the first quarter of 2020 from 2019 was primarily driven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sales volume in our commercial water supply business as a result of reduced orders over the past twelve months;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shipments driven by certain COVID-19 related constraints and site closures;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sales volume in our food &amp; beverage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6380" w:type="dxa"/>
            <w:vAlign w:val="bottom"/>
          </w:tcPr>
          <w:p>
            <w:pPr>
              <w:jc w:val="right"/>
              <w:ind w:right="250"/>
              <w:spacing w:after="0"/>
              <w:rPr>
                <w:sz w:val="20"/>
                <w:szCs w:val="20"/>
                <w:color w:val="auto"/>
              </w:rPr>
            </w:pPr>
            <w:r>
              <w:rPr>
                <w:rFonts w:ascii="Arial" w:cs="Arial" w:eastAsia="Arial" w:hAnsi="Arial"/>
                <w:sz w:val="18"/>
                <w:szCs w:val="18"/>
                <w:b w:val="1"/>
                <w:bCs w:val="1"/>
                <w:color w:val="auto"/>
              </w:rPr>
              <w:t>Three months ended March 31, 2020</w:t>
            </w:r>
          </w:p>
        </w:tc>
        <w:tc>
          <w:tcPr>
            <w:tcW w:w="300" w:type="dxa"/>
            <w:vAlign w:val="bottom"/>
          </w:tcPr>
          <w:p>
            <w:pPr>
              <w:spacing w:after="0"/>
              <w:rPr>
                <w:sz w:val="20"/>
                <w:szCs w:val="20"/>
                <w:color w:val="auto"/>
              </w:rPr>
            </w:pPr>
          </w:p>
        </w:tc>
      </w:tr>
      <w:tr>
        <w:trPr>
          <w:trHeight w:val="270"/>
        </w:trPr>
        <w:tc>
          <w:tcPr>
            <w:tcW w:w="4560" w:type="dxa"/>
            <w:vAlign w:val="bottom"/>
          </w:tcPr>
          <w:p>
            <w:pPr>
              <w:spacing w:after="0"/>
              <w:rPr>
                <w:sz w:val="23"/>
                <w:szCs w:val="23"/>
                <w:color w:val="auto"/>
              </w:rPr>
            </w:pPr>
          </w:p>
        </w:tc>
        <w:tc>
          <w:tcPr>
            <w:tcW w:w="6380" w:type="dxa"/>
            <w:vAlign w:val="bottom"/>
          </w:tcPr>
          <w:p>
            <w:pPr>
              <w:jc w:val="right"/>
              <w:ind w:right="650"/>
              <w:spacing w:after="0"/>
              <w:rPr>
                <w:sz w:val="20"/>
                <w:szCs w:val="20"/>
                <w:color w:val="auto"/>
              </w:rPr>
            </w:pPr>
            <w:r>
              <w:rPr>
                <w:rFonts w:ascii="Arial" w:cs="Arial" w:eastAsia="Arial" w:hAnsi="Arial"/>
                <w:sz w:val="18"/>
                <w:szCs w:val="18"/>
                <w:b w:val="1"/>
                <w:bCs w:val="1"/>
                <w:color w:val="auto"/>
              </w:rPr>
              <w:t>over the prior year period</w:t>
            </w:r>
          </w:p>
        </w:tc>
        <w:tc>
          <w:tcPr>
            <w:tcW w:w="300" w:type="dxa"/>
            <w:vAlign w:val="bottom"/>
          </w:tcPr>
          <w:p>
            <w:pPr>
              <w:spacing w:after="0"/>
              <w:rPr>
                <w:sz w:val="23"/>
                <w:szCs w:val="23"/>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gridSpan w:val="2"/>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pts</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Inflation</w:t>
            </w:r>
          </w:p>
        </w:tc>
        <w:tc>
          <w:tcPr>
            <w:tcW w:w="6680" w:type="dxa"/>
            <w:vAlign w:val="bottom"/>
            <w:gridSpan w:val="2"/>
          </w:tcPr>
          <w:p>
            <w:pPr>
              <w:jc w:val="right"/>
              <w:ind w:right="210"/>
              <w:spacing w:after="0"/>
              <w:rPr>
                <w:sz w:val="20"/>
                <w:szCs w:val="20"/>
                <w:color w:val="auto"/>
              </w:rPr>
            </w:pPr>
            <w:r>
              <w:rPr>
                <w:rFonts w:ascii="Arial" w:cs="Arial" w:eastAsia="Arial" w:hAnsi="Arial"/>
                <w:sz w:val="18"/>
                <w:szCs w:val="18"/>
                <w:color w:val="auto"/>
              </w:rPr>
              <w:t>(1.2)</w:t>
            </w:r>
          </w:p>
        </w:tc>
      </w:tr>
      <w:tr>
        <w:trPr>
          <w:trHeight w:val="27"/>
        </w:trPr>
        <w:tc>
          <w:tcPr>
            <w:tcW w:w="45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6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pts</w:t>
            </w:r>
          </w:p>
        </w:tc>
      </w:tr>
      <w:tr>
        <w:trPr>
          <w:trHeight w:val="27"/>
        </w:trPr>
        <w:tc>
          <w:tcPr>
            <w:tcW w:w="456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380"/>
        <w:spacing w:after="0" w:line="277" w:lineRule="auto"/>
        <w:rPr>
          <w:sz w:val="20"/>
          <w:szCs w:val="20"/>
          <w:color w:val="auto"/>
        </w:rPr>
      </w:pPr>
      <w:r>
        <w:rPr>
          <w:rFonts w:ascii="Arial" w:cs="Arial" w:eastAsia="Arial" w:hAnsi="Arial"/>
          <w:sz w:val="18"/>
          <w:szCs w:val="18"/>
          <w:i w:val="1"/>
          <w:iCs w:val="1"/>
          <w:color w:val="auto"/>
        </w:rPr>
        <w:t>The 1.5 percentage point increase in segment income for Industrial &amp; Flow Technologies as a percentage of net sales in the first quarter of 2020 from 2019 was primarily driven by:</w:t>
      </w:r>
    </w:p>
    <w:p>
      <w:pPr>
        <w:spacing w:after="0" w:line="116"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 and lower operating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inflationary increases related to raw material and labor costs;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decreased sales volumes in our commercial water supply and industrial businesses, which resulted in decreased leverage on operating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While we historically have issued commercial paper to fund our financing needs on a short-term basis, due to disruptions in the short-term financial markets in the first quarter of 2020, we no longer had access to commercial paper and instead drew on our revolving credit facility as a back-up liquidity measure.</w:t>
      </w:r>
    </w:p>
    <w:p>
      <w:pPr>
        <w:spacing w:after="0" w:line="1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experience seasonal cash flows primarily due to seasonal demand in a number of markets. Consistent with historical trends, we experienced seasonal cash usage in the first quarter of 2020 and drew on our revolving credit facility to repay commercial paper and to fund our operations. This cash usage reverses in the second quarter as the seasonality of our businesses peaks. We expect historical seasonal patterns to continue and the second quarter of 2020 to generate significant cash to fund our operations.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Although there is uncertainty of the impact of the COVID-19 pandemic on our future results, we believe we are well-positioned to manage our business and have the ability and sufficient capacity to meet these cash requirements by using available cash, internally generated funds and borrowing under our committed and uncommitted credit facilities. We are committed to maintaining investment grade credit ratings and a solid liquidity 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Cash used for operating activities of continuing operations was $162.4 million in the first three months of 2020, compared to $257.1 million in the same period of 2019.</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$162.4 million in net cash used for operating activities of continuing operations in the first three months of 2020 primarily reflects a negative impact of $273.6 million as a result of changes in net working capital, primarily the result of an increase in accounts receivable in anticipation of our distributors’ peak sales season in the second and third quarters. The net working capital impact was partially offset by $91.9 million of net income from continuing operations, net of non-cash depreciation and amortization.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$257.1 million in net cash used for operating activities of continuing operations in the first three months of 2019 primarily reflects a negative impact of $344.1 million as a result of changes in net working capital, offset by $87.9 million of net income from continuing operations, net of non-cash depreciation, amortization and asset impairments.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Cash used for investing activities was $25.8 million in the first three months of 2020, compared to $304.5 million in the same period of 2019. Net cash used for investing activities in the first three months of 2020 primarily reflects capital expenditures of $18.7 million.</w:t>
      </w:r>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used for investing activities in the first three months of 2019 primarily reflects capital expenditures of $16.8 million and cash paid for the Aquion and Pelican acquisitions of $287.2 million, net of cash acquired.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Net cash provided by financing activities was $278.8 million in the first three months of 2020, compared to $559.0 million in the same period of 2019. Net cash provided by financing activities in the first three months of 2020 primarily relates to net receipts of commercial paper and revolving long-term debt of $420.9 million used to fund our working capital needs, partially offset by $115.2 million of share repurchases and dividend payments of $32.1 million.</w:t>
      </w:r>
    </w:p>
    <w:p>
      <w:pPr>
        <w:spacing w:after="0" w:line="15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Net cash provided by financing activities in the first three months of 2019 primarily relates to net receipts of commercial paper and revolving long-term debt of $584.1 million used to fund the Aquion and Pelican acquisitions and our working capital needs, partially offset by payment of dividends of $31.0 million.</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 In May 2019, PFSA executed an increase of the Senior Credit Facility by $100.0 million for a total commitment up to $900.0 million in the aggregate.</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2019, the Senior Credit Facility was amended to provide for the extension of term loans in an aggregate amount of $200.0 million (the “Term Loans”). The Term Loans are in addition to the Senior Credit Facility commitment. In addition, PFSA has the option to further increase the Senior Credit Facility in an aggregate amount of up to $300.0 million, through a combination of increases to the total commitment amount of the Senior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March 31, 2020 and $117.8 million as of December 31, 2019,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March 2020, the commercial paper market began to experience high levels of volatility due to COVID-19 related uncertainty. The volatility impacted both market access to and pricing of commercial paper. As a result, we borrowed under the Senior Credit Facility and used the proceeds to pay off the remaining commercial paper and fund general operational needs. As of March 31, 2020, total availability under the Senior Credit Facility was $325.5 million.</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March 31, 2020, we were in compliance with all financial covenants in our debt agreements, and there was no material uncertainty about our ongoing ability to meet these covenants.</w:t>
      </w:r>
    </w:p>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$20.9 million, of which there were no outstanding borrowings at March 31, 2020. Borrowings under these credit facilities bear interest at variable rates.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have $74.0 million aggregate principal amount of fixed rate senior notes maturing in the next twelve months. We classified this debt as long-term as of March 31, 2020 as we have the intent and ability to refinance such obligation on a long-term basis under the Senior Credit Facility.</w:t>
      </w:r>
    </w:p>
    <w:p>
      <w:pPr>
        <w:spacing w:after="0" w:line="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March 31, 2020, we have $60.3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Pentair plc (the “Parent Company Guarantor”) and PISG (the “Subsidiary Guarantor”), fully and unconditionally, guarantee the senior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Guarantor is a holding company established to perform certain finance-related functions, primarily the guarantee of the Subsidiary Issuer’s debt. The Subsidiary Issuer is a holding company formed to own directly and indirectly substantially all of its operating and other subsidiaries and to issue debt securities, including the senior notes. The Parent Company Guarantor’s and the Subsidiary Guarantor’s principal source of cash flow, including cash flow to make payments on the senior notes pursuant to the guarantees, is dividends from their subsidiaries. The Subsidiary Issuer’s principal source of cash flow is interest income from its subsidiaries. None of the subsidiaries of the Parent Company Guarantor, the Subsidiary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the Subsidiary Guarantor or the Subsidiary Issuer. If such subsidiaries are unable to transfer funds to the Parent Company Guarantor, the Subsidiary Guarantor or the Subsidiary Issuer and sufficient cash or liquidity is not otherwise available, the Parent Company Guarantor, the Subsidiary Guarantor or the Subsidiary Issuer may not be able to make principal and interest payments on their outstanding debt, including the senior notes or the guarantees.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The following tables present summarized financial information for the Parent Company Guarantor, Subsidiary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Three months ended</w:t>
            </w:r>
          </w:p>
        </w:tc>
      </w:tr>
      <w:tr>
        <w:trPr>
          <w:trHeight w:val="27"/>
        </w:trPr>
        <w:tc>
          <w:tcPr>
            <w:tcW w:w="8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8"/>
        </w:trPr>
        <w:tc>
          <w:tcPr>
            <w:tcW w:w="8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89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7"/>
        </w:trPr>
        <w:tc>
          <w:tcPr>
            <w:tcW w:w="8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Net loss of continuing operations</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0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March 31,</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400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7"/>
        </w:trPr>
        <w:tc>
          <w:tcPr>
            <w:tcW w:w="42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3"/>
        </w:trPr>
        <w:tc>
          <w:tcPr>
            <w:tcW w:w="42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5"/>
                <w:szCs w:val="25"/>
                <w:color w:val="auto"/>
                <w:vertAlign w:val="superscript"/>
              </w:rPr>
              <w:t>(1)</w:t>
            </w:r>
          </w:p>
        </w:tc>
        <w:tc>
          <w:tcPr>
            <w:tcW w:w="40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70"/>
        </w:trPr>
        <w:tc>
          <w:tcPr>
            <w:tcW w:w="42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5"/>
                <w:szCs w:val="25"/>
                <w:color w:val="auto"/>
                <w:vertAlign w:val="superscript"/>
              </w:rPr>
              <w:t>(2)</w:t>
            </w:r>
          </w:p>
        </w:tc>
        <w:tc>
          <w:tcPr>
            <w:tcW w:w="40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1,488.8</w:t>
            </w: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1,303.2</w:t>
            </w:r>
          </w:p>
        </w:tc>
      </w:tr>
      <w:tr>
        <w:trPr>
          <w:trHeight w:val="270"/>
        </w:trPr>
        <w:tc>
          <w:tcPr>
            <w:tcW w:w="4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5"/>
                <w:szCs w:val="25"/>
                <w:color w:val="auto"/>
                <w:vertAlign w:val="superscript"/>
              </w:rPr>
              <w:t>(3)</w:t>
            </w:r>
          </w:p>
        </w:tc>
        <w:tc>
          <w:tcPr>
            <w:tcW w:w="40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702.6</w:t>
            </w:r>
          </w:p>
        </w:tc>
      </w:tr>
      <w:tr>
        <w:trPr>
          <w:trHeight w:val="293"/>
        </w:trPr>
        <w:tc>
          <w:tcPr>
            <w:tcW w:w="4240" w:type="dxa"/>
            <w:vAlign w:val="bottom"/>
          </w:tcPr>
          <w:p>
            <w:pPr>
              <w:ind w:left="20"/>
              <w:spacing w:after="0"/>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5"/>
                <w:szCs w:val="25"/>
                <w:color w:val="auto"/>
                <w:vertAlign w:val="superscript"/>
              </w:rPr>
              <w:t>(4)</w:t>
            </w:r>
          </w:p>
        </w:tc>
        <w:tc>
          <w:tcPr>
            <w:tcW w:w="40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1,872.2</w:t>
            </w:r>
          </w:p>
        </w:tc>
        <w:tc>
          <w:tcPr>
            <w:tcW w:w="38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1,428.4</w:t>
            </w:r>
          </w:p>
        </w:tc>
      </w:tr>
    </w:tbl>
    <w:p>
      <w:pPr>
        <w:ind w:left="260" w:hanging="171"/>
        <w:spacing w:after="0" w:line="193" w:lineRule="auto"/>
        <w:tabs>
          <w:tab w:leader="none" w:pos="260" w:val="left"/>
        </w:tabs>
        <w:numPr>
          <w:ilvl w:val="0"/>
          <w:numId w:val="42"/>
        </w:numPr>
        <w:rPr>
          <w:rFonts w:ascii="Arial" w:cs="Arial" w:eastAsia="Arial" w:hAnsi="Arial"/>
          <w:sz w:val="20"/>
          <w:szCs w:val="20"/>
          <w:color w:val="auto"/>
          <w:vertAlign w:val="superscript"/>
        </w:rPr>
      </w:pPr>
      <w:r>
        <w:rPr>
          <w:rFonts w:ascii="Arial" w:cs="Arial" w:eastAsia="Arial" w:hAnsi="Arial"/>
          <w:sz w:val="13"/>
          <w:szCs w:val="13"/>
          <w:color w:val="auto"/>
        </w:rPr>
        <w:t>Includes assets due from non-guarantor subsidiaries of $7.2 million and $2.4 million as of March 31, 2020 and December 31, 2019, respectively.</w:t>
      </w:r>
    </w:p>
    <w:p>
      <w:pPr>
        <w:spacing w:after="0" w:line="34" w:lineRule="exact"/>
        <w:rPr>
          <w:rFonts w:ascii="Arial" w:cs="Arial" w:eastAsia="Arial" w:hAnsi="Arial"/>
          <w:sz w:val="20"/>
          <w:szCs w:val="20"/>
          <w:color w:val="auto"/>
          <w:vertAlign w:val="superscript"/>
        </w:rPr>
      </w:pPr>
    </w:p>
    <w:p>
      <w:pPr>
        <w:ind w:left="260" w:hanging="171"/>
        <w:spacing w:after="0" w:line="190" w:lineRule="auto"/>
        <w:tabs>
          <w:tab w:leader="none" w:pos="260" w:val="left"/>
        </w:tabs>
        <w:numPr>
          <w:ilvl w:val="0"/>
          <w:numId w:val="42"/>
        </w:numPr>
        <w:rPr>
          <w:rFonts w:ascii="Arial" w:cs="Arial" w:eastAsia="Arial" w:hAnsi="Arial"/>
          <w:sz w:val="20"/>
          <w:szCs w:val="20"/>
          <w:color w:val="auto"/>
          <w:vertAlign w:val="superscript"/>
        </w:rPr>
      </w:pPr>
      <w:r>
        <w:rPr>
          <w:rFonts w:ascii="Arial" w:cs="Arial" w:eastAsia="Arial" w:hAnsi="Arial"/>
          <w:sz w:val="13"/>
          <w:szCs w:val="13"/>
          <w:color w:val="auto"/>
        </w:rPr>
        <w:t>Includes assets due from non-guarantor subsidiaries of $1,476.5 million and $1,278.7 million as of March 31, 2020 and December 31, 2019, respectively.</w:t>
      </w:r>
    </w:p>
    <w:p>
      <w:pPr>
        <w:spacing w:after="0" w:line="33" w:lineRule="exact"/>
        <w:rPr>
          <w:rFonts w:ascii="Arial" w:cs="Arial" w:eastAsia="Arial" w:hAnsi="Arial"/>
          <w:sz w:val="20"/>
          <w:szCs w:val="20"/>
          <w:color w:val="auto"/>
          <w:vertAlign w:val="superscript"/>
        </w:rPr>
      </w:pPr>
    </w:p>
    <w:p>
      <w:pPr>
        <w:ind w:left="260" w:hanging="171"/>
        <w:spacing w:after="0" w:line="190" w:lineRule="auto"/>
        <w:tabs>
          <w:tab w:leader="none" w:pos="260" w:val="left"/>
        </w:tabs>
        <w:numPr>
          <w:ilvl w:val="0"/>
          <w:numId w:val="42"/>
        </w:numPr>
        <w:rPr>
          <w:rFonts w:ascii="Arial" w:cs="Arial" w:eastAsia="Arial" w:hAnsi="Arial"/>
          <w:sz w:val="20"/>
          <w:szCs w:val="20"/>
          <w:color w:val="auto"/>
          <w:vertAlign w:val="superscript"/>
        </w:rPr>
      </w:pPr>
      <w:r>
        <w:rPr>
          <w:rFonts w:ascii="Arial" w:cs="Arial" w:eastAsia="Arial" w:hAnsi="Arial"/>
          <w:sz w:val="13"/>
          <w:szCs w:val="13"/>
          <w:color w:val="auto"/>
        </w:rPr>
        <w:t>Includes liabilities due to non-guarantor subsidiaries of $8.9 million and $648.8 million as of March 31, 2020 and December 31, 2019, respectively.</w:t>
      </w:r>
    </w:p>
    <w:p>
      <w:pPr>
        <w:spacing w:after="0" w:line="33" w:lineRule="exact"/>
        <w:rPr>
          <w:rFonts w:ascii="Arial" w:cs="Arial" w:eastAsia="Arial" w:hAnsi="Arial"/>
          <w:sz w:val="20"/>
          <w:szCs w:val="20"/>
          <w:color w:val="auto"/>
          <w:vertAlign w:val="superscript"/>
        </w:rPr>
      </w:pPr>
    </w:p>
    <w:p>
      <w:pPr>
        <w:ind w:left="260" w:hanging="171"/>
        <w:spacing w:after="0" w:line="190" w:lineRule="auto"/>
        <w:tabs>
          <w:tab w:leader="none" w:pos="260" w:val="left"/>
        </w:tabs>
        <w:numPr>
          <w:ilvl w:val="0"/>
          <w:numId w:val="42"/>
        </w:numPr>
        <w:rPr>
          <w:rFonts w:ascii="Arial" w:cs="Arial" w:eastAsia="Arial" w:hAnsi="Arial"/>
          <w:sz w:val="20"/>
          <w:szCs w:val="20"/>
          <w:color w:val="auto"/>
          <w:vertAlign w:val="superscript"/>
        </w:rPr>
      </w:pPr>
      <w:r>
        <w:rPr>
          <w:rFonts w:ascii="Arial" w:cs="Arial" w:eastAsia="Arial" w:hAnsi="Arial"/>
          <w:sz w:val="13"/>
          <w:szCs w:val="13"/>
          <w:color w:val="auto"/>
        </w:rPr>
        <w:t>Includes liabilities due to non-guarantor subsidiaries of $441.1 million and $449.9 million as of March 31, 2020 and December 31, 2019,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three months ended March 31, 2020, we repurchased 3.0 million of our shares for $115.2 million. As of March 31, 2020, we had $134.7 million available for share repurchases under this authorization.</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March 2020, to enhance our liquidity position in response to the COVID-19 pandemic, we elected to temporarily suspend share repurchases under our existing share repurchase program. The existing program remains authorized by the Board of Directors, and we may resume share repurchases in the future at any time, depending upon market conditions, our capital needs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February 25, 2020, the Board of Directors declared a quarterly cash dividend of $0.19, payable on May 1, 2020 to shareholders of record at the close of business on April 17, 2020.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$31.5 million at March 31, 2020, compared to $32.0 million at December 31, 2019.</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paid dividends in the first three months of 2020 of $32.1 million, or $0.19 per ordinary share compared with $31.0 million, or $0.18 per ordinary share, in the prior year period.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$6.6 billion as of December 31,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approximates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3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operating activities of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6"/>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(272.8)</w:t>
            </w:r>
          </w:p>
        </w:tc>
      </w:tr>
      <w:tr>
        <w:trPr>
          <w:trHeight w:val="27"/>
        </w:trPr>
        <w:tc>
          <w:tcPr>
            <w:tcW w:w="8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See Note 1 of the Notes to Condensed Consolidated Financial Statements for information pertaining to recently adopted accounting standards.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2019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2019 Annual Report on Form 10-K for the year ended December 31, 2019.</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Except for the broad effects of COVID-19 as a result of its negative impact on the global economy and major financial markets, there have been no material changes in our market risk during the quarter ended March 31, 2020. For additional information refer to Item 7A of our 2019 Annual Report on Form 10-K.</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2020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2020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4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March 31, 2020 that has materially affected, or is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121" w:right="4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0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current and former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March 31, 2020, there were approximately 770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the operations of former subsidiaries or by other businesses that previously owned or used the properties.</w:t>
      </w:r>
    </w:p>
    <w:p>
      <w:pPr>
        <w:spacing w:after="0" w:line="13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March 31, 2020, our recorded reserves for environmental matters were not material. We do not anticipate these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2019 Annual Report on Form 10-K for the year ended December 31, 2019, except for the addition of the risk factor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is expected to have a material negative impact on our business, financial condition, results of operations and cash flows.</w:t>
      </w:r>
    </w:p>
    <w:p>
      <w:pPr>
        <w:spacing w:after="0" w:line="14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business and financial results are expected to be negatively impacted by the COVID-19 pandemic. The severity, magnitude and duration of the current COVID-19 pandemic is uncertain, rapidly changing and hard to predict. In 2020, COVID-19 has significantly impacted economic activity and markets around the world, and it is expected to negatively impact our business in numerous ways, including but not limited to those outlined below:</w:t>
      </w:r>
    </w:p>
    <w:p>
      <w:pPr>
        <w:spacing w:after="0" w:line="219" w:lineRule="exact"/>
        <w:rPr>
          <w:sz w:val="20"/>
          <w:szCs w:val="20"/>
          <w:color w:val="auto"/>
        </w:rPr>
      </w:pPr>
    </w:p>
    <w:p>
      <w:pPr>
        <w:ind w:left="660" w:right="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COVID-19 pandemic has caused a global economic slowdown that may last for a potentially extended duration, and it is possible that it could cause a global recession.</w:t>
      </w:r>
    </w:p>
    <w:p>
      <w:pPr>
        <w:spacing w:after="0" w:line="116" w:lineRule="exact"/>
        <w:rPr>
          <w:rFonts w:ascii="Arial" w:cs="Arial" w:eastAsia="Arial" w:hAnsi="Arial"/>
          <w:sz w:val="18"/>
          <w:szCs w:val="18"/>
          <w:color w:val="auto"/>
        </w:rPr>
      </w:pPr>
    </w:p>
    <w:p>
      <w:pPr>
        <w:jc w:val="both"/>
        <w:ind w:left="660" w:right="3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Due to the impacts of the COVID-19 pandemic, we have experienced and expect to continue to experience reductions in customer demand for certain of our products and in several of our end-markets, including new pool construction and remodeling, residential and industrial filtration, commercial food service, and residential flow.</w:t>
      </w:r>
    </w:p>
    <w:p>
      <w:pPr>
        <w:spacing w:after="0" w:line="129" w:lineRule="exact"/>
        <w:rPr>
          <w:rFonts w:ascii="Arial" w:cs="Arial" w:eastAsia="Arial" w:hAnsi="Arial"/>
          <w:sz w:val="18"/>
          <w:szCs w:val="18"/>
          <w:color w:val="auto"/>
        </w:rPr>
      </w:pPr>
    </w:p>
    <w:p>
      <w:pPr>
        <w:ind w:left="660" w:right="160" w:hanging="328"/>
        <w:spacing w:after="0" w:line="29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COVID-19 pandemic is adversely affecting, and is expected to continue to adversely affect, certain elements of our business (including certain elements of our operations, supply chains and distribution systems), including as a result of impacts associated with required, preventive and precautionary measures that we, other businesses, our communities and governments are taking. These impacts include requiring employees to work from home or not go into their offices or plants, limiting the number of employees attending meetings, reducing the number of people in our sites at any one time, reducing employee travel and adopting other employee safety measures. These measures may also impact our ability to meet production demands or requests depending on employee attendance or ability to continue to work.</w:t>
      </w:r>
    </w:p>
    <w:p>
      <w:pPr>
        <w:spacing w:after="0" w:line="11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COVID-19 pandemic continues and economic conditions worsen, we expect to experience additional adverse impacts on our operational and commercial activities, customer orders and our collections of accounts receivable, which may be material, and it remains uncertain the impact on future operational and commercial activities, customer orders, and collections even if economic conditions begin to improve.</w:t>
      </w:r>
    </w:p>
    <w:p>
      <w:pPr>
        <w:spacing w:after="0" w:line="94" w:lineRule="exact"/>
        <w:rPr>
          <w:rFonts w:ascii="Arial" w:cs="Arial" w:eastAsia="Arial" w:hAnsi="Arial"/>
          <w:sz w:val="16"/>
          <w:szCs w:val="16"/>
          <w:color w:val="auto"/>
        </w:rPr>
      </w:pPr>
    </w:p>
    <w:p>
      <w:pPr>
        <w:ind w:left="660" w:right="60" w:hanging="328"/>
        <w:spacing w:after="0" w:line="29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Government or regulatory responses to the COVID-19 pandemic have and are likely to continue to negatively impact our business. Mandatory lockdowns or other restrictions on operations in some countries have temporarily disrupted our ability to manufacture or distribute our products in some of these markets. Continuation or expansion of these disruptions could materially adversely impact our operations and results. In addition to existing travel restrictions, jurisdictions may continue to close borders, impose prolonged quarantines and further restrict travel and business activity, which could significantly impact our ability to support our operations and customers and the ability of our employees to get to their workplaces to produce products and services, or significantly hamper our products from moving through the supply chain.</w:t>
      </w:r>
    </w:p>
    <w:p>
      <w:pPr>
        <w:spacing w:after="0" w:line="110" w:lineRule="exact"/>
        <w:rPr>
          <w:rFonts w:ascii="Arial" w:cs="Arial" w:eastAsia="Arial" w:hAnsi="Arial"/>
          <w:sz w:val="16"/>
          <w:szCs w:val="16"/>
          <w:color w:val="auto"/>
        </w:rPr>
      </w:pPr>
    </w:p>
    <w:p>
      <w:pPr>
        <w:ind w:left="660" w:right="420" w:hanging="328"/>
        <w:spacing w:after="0" w:line="31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impacts of the COVID-19 pandemic may limit our ability to reduce our overall operating costs. We expect increased costs relating to our efforts to mitigate the impact of the COVID-19 pandemic through enhanced sanitization procedures and social-distancing measures we have enacted and will likely continue to enact at our locations around the world in an effort to protect our employees’ health and well-being.</w:t>
      </w:r>
    </w:p>
    <w:p>
      <w:pPr>
        <w:spacing w:after="0" w:line="94" w:lineRule="exact"/>
        <w:rPr>
          <w:rFonts w:ascii="Arial" w:cs="Arial" w:eastAsia="Arial" w:hAnsi="Arial"/>
          <w:sz w:val="16"/>
          <w:szCs w:val="16"/>
          <w:color w:val="auto"/>
        </w:rPr>
      </w:pPr>
    </w:p>
    <w:p>
      <w:pPr>
        <w:ind w:left="660" w:right="60" w:hanging="328"/>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COVID-19 pandemic has disrupted and is expected to continue to disrupt our global supply chain, operations and routes to market or those of our suppliers or their suppliers. These disruptions or our failure to effectively respond to them have increased and are expected to continue to increase product or distribution costs or cause delays in delivering or an inability to deliver products to our customers.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right="2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Disruptions or uncertainties related to the COVID-19 pandemic for a sustained period of time could result in delays or modifications to some of our strategic plans and initiatives and hinder our ability to achieve our growth targets.</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COVID-19 pandemic has increased volatility and pricing in and disrupted the capital markets and commercial paper markets, and volatility is likely to continue. We might not be able to continue to access preferred sources of liquidity when we would like, and our borrowing costs could increase.</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might not be able to predict or respond to all impacts of the COVID-19 pandemic on a timely basis to prevent near- or long-term adverse impacts to our results. Due to the speed with which the COVID-19 situation continues to develop, the global breadth of its spread and the range of governmental and community reactions thereto, there is uncertainty around its duration and ultimate impact;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 The ultimate impact of these disruptions also depends on events beyond our knowledge or control, including the duration and severity of the COVID-19 pandemic and actions taken by parties other than us to respond to them. The foregoing and other impacts of the COVID-19 pandemic could have the effect of heightening many of the other risks described in our Annual Report on Form 10-K for the fiscal year ended December 31, 2019 and any of these impacts could materially adversely affect our business, financial condition, results of operations and cash flows.</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first quarter of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24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(a)</w:t>
            </w:r>
          </w:p>
        </w:tc>
        <w:tc>
          <w:tcPr>
            <w:tcW w:w="36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16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Dollar value of shares that</w:t>
            </w:r>
          </w:p>
        </w:tc>
      </w:tr>
      <w:tr>
        <w:trPr>
          <w:trHeight w:val="216"/>
        </w:trPr>
        <w:tc>
          <w:tcPr>
            <w:tcW w:w="2540" w:type="dxa"/>
            <w:vAlign w:val="bottom"/>
          </w:tcPr>
          <w:p>
            <w:pPr>
              <w:spacing w:after="0"/>
              <w:rPr>
                <w:sz w:val="18"/>
                <w:szCs w:val="18"/>
                <w:color w:val="auto"/>
              </w:rPr>
            </w:pPr>
          </w:p>
        </w:tc>
        <w:tc>
          <w:tcPr>
            <w:tcW w:w="224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Total number</w:t>
            </w: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00" w:type="dxa"/>
            <w:vAlign w:val="bottom"/>
          </w:tcPr>
          <w:p>
            <w:pPr>
              <w:spacing w:after="0"/>
              <w:rPr>
                <w:sz w:val="18"/>
                <w:szCs w:val="18"/>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2540" w:type="dxa"/>
            <w:vAlign w:val="bottom"/>
          </w:tcPr>
          <w:p>
            <w:pPr>
              <w:spacing w:after="0"/>
              <w:rPr>
                <w:sz w:val="18"/>
                <w:szCs w:val="18"/>
                <w:color w:val="auto"/>
              </w:rPr>
            </w:pPr>
          </w:p>
        </w:tc>
        <w:tc>
          <w:tcPr>
            <w:tcW w:w="2240" w:type="dxa"/>
            <w:vAlign w:val="bottom"/>
          </w:tcPr>
          <w:p>
            <w:pPr>
              <w:jc w:val="center"/>
              <w:ind w:left="110"/>
              <w:spacing w:after="0"/>
              <w:rPr>
                <w:sz w:val="20"/>
                <w:szCs w:val="20"/>
                <w:color w:val="auto"/>
              </w:rPr>
            </w:pPr>
            <w:r>
              <w:rPr>
                <w:rFonts w:ascii="Arial" w:cs="Arial" w:eastAsia="Arial" w:hAnsi="Arial"/>
                <w:sz w:val="18"/>
                <w:szCs w:val="18"/>
                <w:b w:val="1"/>
                <w:bCs w:val="1"/>
                <w:color w:val="auto"/>
                <w:w w:val="84"/>
              </w:rPr>
              <w:t>of shares</w:t>
            </w:r>
          </w:p>
        </w:tc>
        <w:tc>
          <w:tcPr>
            <w:tcW w:w="360" w:type="dxa"/>
            <w:vAlign w:val="bottom"/>
          </w:tcPr>
          <w:p>
            <w:pPr>
              <w:spacing w:after="0"/>
              <w:rPr>
                <w:sz w:val="18"/>
                <w:szCs w:val="18"/>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00" w:type="dxa"/>
            <w:vAlign w:val="bottom"/>
          </w:tcPr>
          <w:p>
            <w:pPr>
              <w:spacing w:after="0"/>
              <w:rPr>
                <w:sz w:val="18"/>
                <w:szCs w:val="18"/>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2540" w:type="dxa"/>
            <w:vAlign w:val="bottom"/>
          </w:tcPr>
          <w:p>
            <w:pPr>
              <w:ind w:left="1100"/>
              <w:spacing w:after="0"/>
              <w:rPr>
                <w:sz w:val="20"/>
                <w:szCs w:val="20"/>
                <w:color w:val="auto"/>
              </w:rPr>
            </w:pPr>
            <w:r>
              <w:rPr>
                <w:rFonts w:ascii="Arial" w:cs="Arial" w:eastAsia="Arial" w:hAnsi="Arial"/>
                <w:sz w:val="18"/>
                <w:szCs w:val="18"/>
                <w:b w:val="1"/>
                <w:bCs w:val="1"/>
                <w:color w:val="auto"/>
              </w:rPr>
              <w:t>Period</w:t>
            </w:r>
          </w:p>
        </w:tc>
        <w:tc>
          <w:tcPr>
            <w:tcW w:w="22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purchased</w:t>
            </w:r>
          </w:p>
        </w:tc>
        <w:tc>
          <w:tcPr>
            <w:tcW w:w="36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0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programs</w:t>
            </w:r>
          </w:p>
        </w:tc>
      </w:tr>
      <w:tr>
        <w:trPr>
          <w:trHeight w:val="27"/>
        </w:trPr>
        <w:tc>
          <w:tcPr>
            <w:tcW w:w="2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25</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250,000,187</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January 26 - February 22</w:t>
            </w:r>
          </w:p>
        </w:tc>
        <w:tc>
          <w:tcPr>
            <w:tcW w:w="2240" w:type="dxa"/>
            <w:vAlign w:val="bottom"/>
          </w:tcPr>
          <w:p>
            <w:pPr>
              <w:jc w:val="right"/>
              <w:spacing w:after="0"/>
              <w:rPr>
                <w:sz w:val="20"/>
                <w:szCs w:val="20"/>
                <w:color w:val="auto"/>
              </w:rPr>
            </w:pPr>
            <w:r>
              <w:rPr>
                <w:rFonts w:ascii="Arial" w:cs="Arial" w:eastAsia="Arial" w:hAnsi="Arial"/>
                <w:sz w:val="18"/>
                <w:szCs w:val="18"/>
                <w:color w:val="auto"/>
              </w:rPr>
              <w:t>991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43.25</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250,000,187</w:t>
            </w:r>
          </w:p>
        </w:tc>
      </w:tr>
      <w:tr>
        <w:trPr>
          <w:trHeight w:val="27"/>
        </w:trPr>
        <w:tc>
          <w:tcPr>
            <w:tcW w:w="2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23 - March 31</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3,065,304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3,038,000</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134,718,028</w:t>
            </w:r>
          </w:p>
        </w:tc>
      </w:tr>
      <w:tr>
        <w:trPr>
          <w:trHeight w:val="237"/>
        </w:trPr>
        <w:tc>
          <w:tcPr>
            <w:tcW w:w="2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3,118,460</w:t>
            </w:r>
          </w:p>
        </w:tc>
        <w:tc>
          <w:tcPr>
            <w:tcW w:w="3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3,038,000</w:t>
            </w: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right="80" w:hanging="332"/>
        <w:spacing w:after="0" w:line="279"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purchases in this column include 52,165 shares for the period January 1 - January 25, 991 shares for the period January 26 - February 22 and 27,304 shares for the period February 23 - March 31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17"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340" w:right="18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340" w:right="220" w:hanging="332"/>
        <w:spacing w:after="0" w:line="31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May 2018, the Board of Directors authorized the repurchase of our ordinary shares up to a maximum dollar limit of $750.0 million. The 2018 authorization expires on May 31, 2021. As of March 31, 2020, we had $134.7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18"/>
          <w:szCs w:val="18"/>
          <w:b w:val="1"/>
          <w:bCs w:val="1"/>
          <w:u w:val="single" w:color="auto"/>
          <w:color w:val="auto"/>
        </w:rPr>
        <w:t>Exhibit Index to Form 10-Q for the Period Ended March 31, 2020</w:t>
      </w:r>
    </w:p>
    <w:p>
      <w:pPr>
        <w:spacing w:after="0" w:line="364" w:lineRule="exact"/>
        <w:rPr>
          <w:sz w:val="20"/>
          <w:szCs w:val="20"/>
          <w:color w:val="auto"/>
        </w:rPr>
      </w:pPr>
    </w:p>
    <w:p>
      <w:pPr>
        <w:ind w:left="940" w:hanging="770"/>
        <w:spacing w:after="0"/>
        <w:tabs>
          <w:tab w:leader="none" w:pos="940" w:val="left"/>
        </w:tabs>
        <w:numPr>
          <w:ilvl w:val="0"/>
          <w:numId w:val="47"/>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w:t>
      </w:r>
    </w:p>
    <w:p>
      <w:pPr>
        <w:spacing w:after="0" w:line="59" w:lineRule="exact"/>
        <w:rPr>
          <w:rFonts w:ascii="Arial" w:cs="Arial" w:eastAsia="Arial" w:hAnsi="Arial"/>
          <w:sz w:val="18"/>
          <w:szCs w:val="18"/>
          <w:b w:val="1"/>
          <w:bCs w:val="1"/>
          <w:u w:val="single" w:color="auto"/>
          <w:color w:val="0000FF"/>
        </w:rPr>
      </w:pPr>
    </w:p>
    <w:p>
      <w:pPr>
        <w:ind w:left="180"/>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u w:val="single" w:color="auto"/>
            <w:color w:val="0000FF"/>
          </w:rPr>
          <w:t>31.1</w:t>
        </w:r>
      </w:hyperlink>
      <w:r>
        <w:rPr>
          <w:rFonts w:ascii="Arial" w:cs="Arial" w:eastAsia="Arial" w:hAnsi="Arial"/>
          <w:sz w:val="16"/>
          <w:szCs w:val="16"/>
          <w:color w:val="auto"/>
        </w:rPr>
        <w:t>Certification of Chief Executive Officer.</w:t>
      </w:r>
    </w:p>
    <w:p>
      <w:pPr>
        <w:spacing w:after="0" w:line="63" w:lineRule="exact"/>
        <w:rPr>
          <w:rFonts w:ascii="Arial" w:cs="Arial" w:eastAsia="Arial" w:hAnsi="Arial"/>
          <w:sz w:val="18"/>
          <w:szCs w:val="18"/>
          <w:b w:val="1"/>
          <w:bCs w:val="1"/>
          <w:color w:val="0000FF"/>
        </w:rPr>
      </w:pPr>
    </w:p>
    <w:p>
      <w:pPr>
        <w:ind w:left="18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u w:val="single" w:color="auto"/>
            <w:color w:val="0000FF"/>
          </w:rPr>
          <w:t>31.2</w:t>
        </w:r>
      </w:hyperlink>
      <w:r>
        <w:rPr>
          <w:rFonts w:ascii="Arial" w:cs="Arial" w:eastAsia="Arial" w:hAnsi="Arial"/>
          <w:sz w:val="17"/>
          <w:szCs w:val="17"/>
          <w:color w:val="auto"/>
        </w:rPr>
        <w:t>Certification of Chief Financial Officer.</w:t>
      </w:r>
    </w:p>
    <w:p>
      <w:pPr>
        <w:spacing w:after="0" w:line="63" w:lineRule="exact"/>
        <w:rPr>
          <w:rFonts w:ascii="Arial" w:cs="Arial" w:eastAsia="Arial" w:hAnsi="Arial"/>
          <w:sz w:val="18"/>
          <w:szCs w:val="18"/>
          <w:b w:val="1"/>
          <w:bCs w:val="1"/>
          <w:u w:val="single" w:color="auto"/>
          <w:color w:val="0000FF"/>
        </w:rPr>
      </w:pPr>
    </w:p>
    <w:p>
      <w:pPr>
        <w:ind w:left="940" w:right="100" w:hanging="768"/>
        <w:spacing w:after="0" w:line="277" w:lineRule="auto"/>
        <w:tabs>
          <w:tab w:leader="none" w:pos="920" w:val="left"/>
        </w:tabs>
        <w:rPr>
          <w:rFonts w:ascii="Arial" w:cs="Arial" w:eastAsia="Arial" w:hAnsi="Arial"/>
          <w:sz w:val="18"/>
          <w:szCs w:val="18"/>
          <w:b w:val="1"/>
          <w:bCs w:val="1"/>
          <w:color w:val="0000FF"/>
        </w:rPr>
      </w:pPr>
      <w:hyperlink w:anchor="page43">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spacing w:after="0" w:line="8" w:lineRule="exact"/>
        <w:rPr>
          <w:rFonts w:ascii="Arial" w:cs="Arial" w:eastAsia="Arial" w:hAnsi="Arial"/>
          <w:sz w:val="18"/>
          <w:szCs w:val="18"/>
          <w:b w:val="1"/>
          <w:bCs w:val="1"/>
          <w:u w:val="single" w:color="auto"/>
          <w:color w:val="0000FF"/>
        </w:rPr>
      </w:pPr>
    </w:p>
    <w:p>
      <w:pPr>
        <w:ind w:left="940" w:right="160" w:hanging="768"/>
        <w:spacing w:after="0" w:line="277" w:lineRule="auto"/>
        <w:tabs>
          <w:tab w:leader="none" w:pos="920" w:val="left"/>
        </w:tabs>
        <w:rPr>
          <w:rFonts w:ascii="Arial" w:cs="Arial" w:eastAsia="Arial" w:hAnsi="Arial"/>
          <w:sz w:val="18"/>
          <w:szCs w:val="18"/>
          <w:b w:val="1"/>
          <w:bCs w:val="1"/>
          <w:color w:val="0000FF"/>
        </w:rPr>
      </w:pPr>
      <w:hyperlink w:anchor="page44">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t>Certification of Chief Financial Officer, Pursuant to 18 U.S.C. Section 1350, as Adopted Pursuant to Section 906 of the Sarbanes-Oxley Act of 2002.</w:t>
      </w:r>
    </w:p>
    <w:p>
      <w:pPr>
        <w:spacing w:after="0" w:line="12" w:lineRule="exact"/>
        <w:rPr>
          <w:rFonts w:ascii="Arial" w:cs="Arial" w:eastAsia="Arial" w:hAnsi="Arial"/>
          <w:sz w:val="18"/>
          <w:szCs w:val="18"/>
          <w:b w:val="1"/>
          <w:bCs w:val="1"/>
          <w:u w:val="single" w:color="auto"/>
          <w:color w:val="0000FF"/>
        </w:rPr>
      </w:pPr>
    </w:p>
    <w:p>
      <w:pPr>
        <w:ind w:left="940" w:hanging="770"/>
        <w:spacing w:after="0" w:line="254" w:lineRule="auto"/>
        <w:tabs>
          <w:tab w:leader="none" w:pos="9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March 31, 2020 are filed herewith, formatted in iXBRL (Inline Extensible Business Reporting Language): (i) the Condensed Consolidated Statements of Operations and Comprehensive Income for the three months ended March 31, 2020 and 2019, (ii) the Condensed Consolidated Balance Sheets as of March 31, 2020 and December 31, 2019, (iii) the Condensed Consolidated Statements of Cash Flows for the three months ended March 31, 2020 and 2019, (iv) the Condensed Consolidated Statements of Changes in Equity for the three months ended March 31, 2020 and 2019, and (v) Notes to Condensed Consolidated Financial Statements. The instance document does not appear in the interactive data file because its XBRL tags are embedded within the Inline XBRL document.</w:t>
      </w:r>
    </w:p>
    <w:p>
      <w:pPr>
        <w:spacing w:after="0" w:line="33" w:lineRule="exact"/>
        <w:rPr>
          <w:rFonts w:ascii="Arial" w:cs="Arial" w:eastAsia="Arial" w:hAnsi="Arial"/>
          <w:sz w:val="18"/>
          <w:szCs w:val="18"/>
          <w:b w:val="1"/>
          <w:bCs w:val="1"/>
          <w:u w:val="single" w:color="auto"/>
          <w:color w:val="0000FF"/>
        </w:rPr>
      </w:pPr>
    </w:p>
    <w:p>
      <w:pPr>
        <w:ind w:left="5540" w:right="3660" w:hanging="5370"/>
        <w:spacing w:after="0" w:line="934" w:lineRule="auto"/>
        <w:tabs>
          <w:tab w:leader="none" w:pos="94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 38</w:t>
      </w:r>
    </w:p>
    <w:p>
      <w:pPr>
        <w:sectPr>
          <w:pgSz w:w="11900" w:h="16838" w:orient="portrait"/>
          <w:cols w:equalWidth="0" w:num="1">
            <w:col w:w="11180"/>
          </w:cols>
          <w:pgMar w:left="320" w:top="121" w:right="3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30,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Chief Financial Officer and Chief</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122" w:right="4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2020</w:t>
      </w:r>
    </w:p>
    <w:p>
      <w:pPr>
        <w:spacing w:after="0" w:line="200" w:lineRule="exact"/>
        <w:rPr>
          <w:sz w:val="20"/>
          <w:szCs w:val="20"/>
          <w:color w:val="auto"/>
        </w:rPr>
      </w:pPr>
    </w:p>
    <w:p>
      <w:pPr>
        <w:spacing w:after="0" w:line="2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is a list of guarantors of the 3.625% Senior Notes due 2020, 5.000% Senior Notes due 2021, 3.150% Senior Notes due 2022, 4.650% Senior Notes due 2025, and 4.500% Senior Notes due 2029 issued by Pentair Finance S.à r.l., which is a wholly-owned subsidiary of Pentair plc:</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Name of Guarantor</w:t>
            </w:r>
          </w:p>
        </w:tc>
        <w:tc>
          <w:tcPr>
            <w:tcW w:w="5600" w:type="dxa"/>
            <w:vAlign w:val="bottom"/>
          </w:tcPr>
          <w:p>
            <w:pPr>
              <w:jc w:val="center"/>
              <w:ind w:left="203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564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Pentair plc</w:t>
            </w:r>
          </w:p>
        </w:tc>
        <w:tc>
          <w:tcPr>
            <w:tcW w:w="5600" w:type="dxa"/>
            <w:vAlign w:val="bottom"/>
          </w:tcPr>
          <w:p>
            <w:pPr>
              <w:jc w:val="center"/>
              <w:ind w:left="2050"/>
              <w:spacing w:after="0"/>
              <w:rPr>
                <w:sz w:val="20"/>
                <w:szCs w:val="20"/>
                <w:color w:val="auto"/>
              </w:rPr>
            </w:pPr>
            <w:r>
              <w:rPr>
                <w:rFonts w:ascii="Arial" w:cs="Arial" w:eastAsia="Arial" w:hAnsi="Arial"/>
                <w:sz w:val="18"/>
                <w:szCs w:val="18"/>
                <w:color w:val="auto"/>
                <w:w w:val="90"/>
              </w:rPr>
              <w:t>Ireland</w:t>
            </w:r>
          </w:p>
        </w:tc>
      </w:tr>
      <w:tr>
        <w:trPr>
          <w:trHeight w:val="270"/>
        </w:trPr>
        <w:tc>
          <w:tcPr>
            <w:tcW w:w="5640" w:type="dxa"/>
            <w:vAlign w:val="bottom"/>
          </w:tcPr>
          <w:p>
            <w:pPr>
              <w:ind w:left="40"/>
              <w:spacing w:after="0"/>
              <w:rPr>
                <w:sz w:val="20"/>
                <w:szCs w:val="20"/>
                <w:color w:val="auto"/>
              </w:rPr>
            </w:pPr>
            <w:r>
              <w:rPr>
                <w:rFonts w:ascii="Arial" w:cs="Arial" w:eastAsia="Arial" w:hAnsi="Arial"/>
                <w:sz w:val="18"/>
                <w:szCs w:val="18"/>
                <w:color w:val="auto"/>
              </w:rPr>
              <w:t>Pentair Investments Switzerland GmbH</w:t>
            </w:r>
          </w:p>
        </w:tc>
        <w:tc>
          <w:tcPr>
            <w:tcW w:w="5600" w:type="dxa"/>
            <w:vAlign w:val="bottom"/>
          </w:tcPr>
          <w:p>
            <w:pPr>
              <w:jc w:val="center"/>
              <w:ind w:left="2050"/>
              <w:spacing w:after="0"/>
              <w:rPr>
                <w:sz w:val="20"/>
                <w:szCs w:val="20"/>
                <w:color w:val="auto"/>
              </w:rPr>
            </w:pPr>
            <w:r>
              <w:rPr>
                <w:rFonts w:ascii="Arial" w:cs="Arial" w:eastAsia="Arial" w:hAnsi="Arial"/>
                <w:sz w:val="18"/>
                <w:szCs w:val="18"/>
                <w:color w:val="auto"/>
                <w:w w:val="92"/>
              </w:rPr>
              <w:t>Switzerland</w:t>
            </w:r>
          </w:p>
        </w:tc>
      </w:tr>
    </w:tbl>
    <w:p>
      <w:pPr>
        <w:sectPr>
          <w:pgSz w:w="11900" w:h="16838" w:orient="portrait"/>
          <w:cols w:equalWidth="0" w:num="1">
            <w:col w:w="11240"/>
          </w:cols>
          <w:pgMar w:left="320" w:top="55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9"/>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80" w:hanging="259"/>
        <w:spacing w:after="0" w:line="277"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263"/>
        <w:spacing w:after="0" w:line="308" w:lineRule="auto"/>
        <w:tabs>
          <w:tab w:leader="none" w:pos="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263"/>
        <w:spacing w:after="0" w:line="263" w:lineRule="auto"/>
        <w:tabs>
          <w:tab w:leader="none" w:pos="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80" w:hanging="259"/>
        <w:spacing w:after="0" w:line="308" w:lineRule="auto"/>
        <w:tabs>
          <w:tab w:leader="none" w:pos="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63"/>
        <w:spacing w:after="0" w:line="277" w:lineRule="auto"/>
        <w:tabs>
          <w:tab w:leader="none" w:pos="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3"/>
        <w:spacing w:after="0" w:line="277" w:lineRule="auto"/>
        <w:tabs>
          <w:tab w:leader="none" w:pos="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6"/>
          <w:szCs w:val="16"/>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9"/>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80" w:hanging="259"/>
        <w:spacing w:after="0" w:line="277"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9"/>
        <w:spacing w:after="0" w:line="263"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263"/>
        <w:spacing w:after="0" w:line="263" w:lineRule="auto"/>
        <w:tabs>
          <w:tab w:leader="none" w:pos="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263"/>
        <w:spacing w:after="0" w:line="308" w:lineRule="auto"/>
        <w:tabs>
          <w:tab w:leader="none" w:pos="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263"/>
        <w:spacing w:after="0" w:line="263" w:lineRule="auto"/>
        <w:tabs>
          <w:tab w:leader="none" w:pos="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80" w:hanging="259"/>
        <w:spacing w:after="0" w:line="308" w:lineRule="auto"/>
        <w:tabs>
          <w:tab w:leader="none" w:pos="2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263"/>
        <w:spacing w:after="0" w:line="277" w:lineRule="auto"/>
        <w:tabs>
          <w:tab w:leader="none" w:pos="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3"/>
        <w:spacing w:after="0" w:line="277" w:lineRule="auto"/>
        <w:tabs>
          <w:tab w:leader="none" w:pos="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7"/>
          <w:szCs w:val="17"/>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55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2020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6"/>
          <w:szCs w:val="16"/>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March 31, 2020 as filed with the Securities and Exchange Commission on the date hereof (the “Report”), I, Mark C. Borin, Executive Vice President, Chief Financial Officer and Chief Accounting Officer of the Company, certify, pursuant to 18 U.S.C. § 1350, as adopted pursuant to Section 906 of the Sarbanes-Oxley Act of 2002, that based on my knowledge:</w:t>
      </w:r>
    </w:p>
    <w:p>
      <w:pPr>
        <w:spacing w:after="0" w:line="18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700" w:val="left"/>
          <w:tab w:leader="none" w:pos="5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7"/>
          <w:szCs w:val="17"/>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1."/>
      <w:numFmt w:val="decimal"/>
      <w:start w:val="6"/>
    </w:lvl>
  </w:abstractNum>
  <w:abstractNum w:abstractNumId="8">
    <w:nsid w:val="7C3DBD3D"/>
    <w:multiLevelType w:val="hybridMultilevel"/>
    <w:lvl w:ilvl="0">
      <w:lvlJc w:val="left"/>
      <w:lvlText w:val="%1."/>
      <w:numFmt w:val="decimal"/>
      <w:start w:val="8"/>
    </w:lvl>
  </w:abstractNum>
  <w:abstractNum w:abstractNumId="9">
    <w:nsid w:val="737B8DDC"/>
    <w:multiLevelType w:val="hybridMultilevel"/>
    <w:lvl w:ilvl="0">
      <w:lvlJc w:val="left"/>
      <w:lvlText w:val="%1."/>
      <w:numFmt w:val="decimal"/>
      <w:start w:val="9"/>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0"/>
    </w:lvl>
  </w:abstractNum>
  <w:abstractNum w:abstractNumId="12">
    <w:nsid w:val="4516DDE9"/>
    <w:multiLevelType w:val="hybridMultilevel"/>
    <w:lvl w:ilvl="0">
      <w:lvlJc w:val="left"/>
      <w:lvlText w:val="•"/>
      <w:numFmt w:val="bullet"/>
      <w:start w:val="1"/>
    </w:lvl>
    <w:lvl w:ilvl="1">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1"/>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decimal"/>
      <w:start w:val="13"/>
    </w:lvl>
  </w:abstractNum>
  <w:abstractNum w:abstractNumId="17">
    <w:nsid w:val="440BADFC"/>
    <w:multiLevelType w:val="hybridMultilevel"/>
    <w:lvl w:ilvl="0">
      <w:lvlJc w:val="left"/>
      <w:lvlText w:val="%1."/>
      <w:numFmt w:val="decimal"/>
      <w:start w:val="14"/>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5"/>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lvl w:ilvl="1">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22"/>
    </w:lvl>
  </w:abstractNum>
  <w:abstractNum w:abstractNumId="47">
    <w:nsid w:val="3DC240FB"/>
    <w:multiLevelType w:val="hybridMultilevel"/>
    <w:lvl w:ilvl="0">
      <w:lvlJc w:val="left"/>
      <w:lvlText w:val="%1"/>
      <w:numFmt w:val="decimal"/>
      <w:start w:val="101"/>
    </w:lvl>
  </w:abstractNum>
  <w:abstractNum w:abstractNumId="48">
    <w:nsid w:val="1BA026FA"/>
    <w:multiLevelType w:val="hybridMultilevel"/>
    <w:lvl w:ilvl="0">
      <w:lvlJc w:val="left"/>
      <w:lvlText w:val="%1"/>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2020-04-30T16:08:15Z</dcterms:created>
  <dcterms:modified xsi:type="dcterms:W3CDTF">2020-04-30T16:08:15Z</dcterms:modified>
</cp:coreProperties>
</file>